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214" w:type="dxa"/>
        <w:tblInd w:w="-1" w:type="dxa"/>
        <w:tblLayout w:type="fixed"/>
        <w:tblCellMar>
          <w:left w:w="70" w:type="dxa"/>
          <w:right w:w="70" w:type="dxa"/>
        </w:tblCellMar>
        <w:tblLook w:val="0000" w:firstRow="0" w:lastRow="0" w:firstColumn="0" w:lastColumn="0" w:noHBand="0" w:noVBand="0"/>
      </w:tblPr>
      <w:tblGrid>
        <w:gridCol w:w="9214"/>
      </w:tblGrid>
      <w:tr w:rsidR="00103A80" w:rsidRPr="00C525CD" w:rsidTr="00103A80">
        <w:trPr>
          <w:trHeight w:hRule="exact" w:val="713"/>
        </w:trPr>
        <w:tc>
          <w:tcPr>
            <w:tcW w:w="9214" w:type="dxa"/>
          </w:tcPr>
          <w:p w:rsidR="00103A80" w:rsidRPr="00C525CD" w:rsidRDefault="00D940AE" w:rsidP="008218F9">
            <w:pPr>
              <w:widowControl/>
              <w:ind w:firstLine="0"/>
              <w:jc w:val="left"/>
              <w:rPr>
                <w:rFonts w:ascii="Arial" w:hAnsi="Arial" w:cs="Arial"/>
                <w:b/>
                <w:sz w:val="28"/>
              </w:rPr>
            </w:pPr>
            <w:bookmarkStart w:id="0" w:name="_GoBack"/>
            <w:bookmarkEnd w:id="0"/>
            <w:r>
              <w:rPr>
                <w:rFonts w:ascii="Arial" w:hAnsi="Arial" w:cs="Arial"/>
                <w:b/>
                <w:sz w:val="28"/>
              </w:rPr>
              <w:t>Příloha č. 15.3</w:t>
            </w:r>
          </w:p>
        </w:tc>
      </w:tr>
      <w:tr w:rsidR="00103A80" w:rsidRPr="00C525CD" w:rsidTr="00103A80">
        <w:trPr>
          <w:trHeight w:hRule="exact" w:val="1422"/>
        </w:trPr>
        <w:tc>
          <w:tcPr>
            <w:tcW w:w="9214" w:type="dxa"/>
          </w:tcPr>
          <w:p w:rsidR="00103A80" w:rsidRPr="00C525CD" w:rsidRDefault="00103A80" w:rsidP="008218F9">
            <w:pPr>
              <w:pStyle w:val="Nzev"/>
              <w:widowControl/>
              <w:spacing w:before="0" w:after="0" w:line="264" w:lineRule="auto"/>
              <w:ind w:left="709" w:hanging="709"/>
              <w:rPr>
                <w:rFonts w:cs="Arial"/>
                <w:sz w:val="48"/>
              </w:rPr>
            </w:pPr>
            <w:r w:rsidRPr="00C525CD">
              <w:rPr>
                <w:rFonts w:cs="Arial"/>
                <w:sz w:val="48"/>
              </w:rPr>
              <w:t>A T E M</w:t>
            </w:r>
          </w:p>
          <w:p w:rsidR="00103A80" w:rsidRPr="00C525CD" w:rsidRDefault="00103A80" w:rsidP="008218F9">
            <w:pPr>
              <w:widowControl/>
              <w:ind w:firstLine="0"/>
              <w:jc w:val="center"/>
              <w:rPr>
                <w:rFonts w:ascii="Arial" w:hAnsi="Arial" w:cs="Arial"/>
              </w:rPr>
            </w:pPr>
            <w:r w:rsidRPr="00C525CD">
              <w:rPr>
                <w:rFonts w:ascii="Arial" w:hAnsi="Arial" w:cs="Arial"/>
                <w:b/>
                <w:sz w:val="28"/>
              </w:rPr>
              <w:t>Ateliér ekologických modelů, s. r. o.</w:t>
            </w:r>
          </w:p>
        </w:tc>
      </w:tr>
      <w:tr w:rsidR="00CD49EB" w:rsidRPr="00C525CD" w:rsidTr="00103A80">
        <w:trPr>
          <w:trHeight w:hRule="exact" w:val="6678"/>
        </w:trPr>
        <w:tc>
          <w:tcPr>
            <w:tcW w:w="9213" w:type="dxa"/>
          </w:tcPr>
          <w:p w:rsidR="00CD49EB" w:rsidRPr="00C525CD" w:rsidRDefault="00CD49EB" w:rsidP="00E00000">
            <w:pPr>
              <w:widowControl/>
              <w:spacing w:before="0"/>
              <w:ind w:firstLine="0"/>
              <w:jc w:val="center"/>
              <w:rPr>
                <w:rFonts w:ascii="Arial" w:hAnsi="Arial" w:cs="Arial"/>
                <w:b/>
                <w:sz w:val="44"/>
                <w:szCs w:val="44"/>
              </w:rPr>
            </w:pPr>
          </w:p>
          <w:p w:rsidR="00CE28B1" w:rsidRPr="00C525CD" w:rsidRDefault="00CE28B1" w:rsidP="00CE28B1">
            <w:pPr>
              <w:widowControl/>
              <w:jc w:val="center"/>
              <w:rPr>
                <w:rFonts w:ascii="Arial" w:hAnsi="Arial" w:cs="Arial"/>
                <w:b/>
                <w:caps/>
                <w:sz w:val="44"/>
                <w:szCs w:val="44"/>
              </w:rPr>
            </w:pPr>
            <w:r w:rsidRPr="00C525CD">
              <w:rPr>
                <w:rFonts w:ascii="Arial" w:hAnsi="Arial" w:cs="Arial"/>
                <w:b/>
                <w:caps/>
                <w:sz w:val="44"/>
                <w:szCs w:val="44"/>
              </w:rPr>
              <w:t>změna platného územního plánu hl.m. Prahy č. Z</w:t>
            </w:r>
            <w:r w:rsidR="00764732" w:rsidRPr="00C525CD">
              <w:rPr>
                <w:rFonts w:ascii="Arial" w:hAnsi="Arial" w:cs="Arial"/>
                <w:b/>
                <w:caps/>
                <w:sz w:val="44"/>
                <w:szCs w:val="44"/>
              </w:rPr>
              <w:t xml:space="preserve"> </w:t>
            </w:r>
            <w:r w:rsidR="007E64BA" w:rsidRPr="00C525CD">
              <w:rPr>
                <w:rFonts w:ascii="Arial" w:hAnsi="Arial" w:cs="Arial"/>
                <w:b/>
                <w:caps/>
                <w:sz w:val="44"/>
                <w:szCs w:val="44"/>
              </w:rPr>
              <w:t>3111</w:t>
            </w:r>
            <w:r w:rsidR="0081660F" w:rsidRPr="00C525CD">
              <w:rPr>
                <w:rFonts w:ascii="Arial" w:hAnsi="Arial" w:cs="Arial"/>
                <w:b/>
                <w:caps/>
                <w:sz w:val="44"/>
                <w:szCs w:val="44"/>
              </w:rPr>
              <w:t>/</w:t>
            </w:r>
            <w:r w:rsidR="007E64BA" w:rsidRPr="00C525CD">
              <w:rPr>
                <w:rFonts w:ascii="Arial" w:hAnsi="Arial" w:cs="Arial"/>
                <w:b/>
                <w:caps/>
                <w:sz w:val="44"/>
                <w:szCs w:val="44"/>
              </w:rPr>
              <w:t xml:space="preserve">10 </w:t>
            </w:r>
            <w:r w:rsidR="007E64BA" w:rsidRPr="00C525CD">
              <w:rPr>
                <w:rFonts w:ascii="Arial" w:hAnsi="Arial" w:cs="Arial"/>
                <w:b/>
                <w:caps/>
                <w:sz w:val="44"/>
                <w:szCs w:val="44"/>
              </w:rPr>
              <w:br/>
              <w:t>a ÚPRAVA platného územního plánu hl.m. Prahy Č. U 1250/2</w:t>
            </w:r>
          </w:p>
          <w:p w:rsidR="00CE28B1" w:rsidRPr="00C525CD" w:rsidRDefault="00CE28B1" w:rsidP="00E00000">
            <w:pPr>
              <w:widowControl/>
              <w:spacing w:before="0"/>
              <w:ind w:firstLine="0"/>
              <w:jc w:val="center"/>
              <w:rPr>
                <w:rFonts w:ascii="Arial" w:hAnsi="Arial" w:cs="Arial"/>
                <w:b/>
                <w:caps/>
                <w:sz w:val="40"/>
                <w:szCs w:val="40"/>
              </w:rPr>
            </w:pPr>
          </w:p>
          <w:p w:rsidR="00811618" w:rsidRPr="00C525CD" w:rsidRDefault="00103A80" w:rsidP="00811618">
            <w:pPr>
              <w:widowControl/>
              <w:spacing w:before="0"/>
              <w:ind w:firstLine="0"/>
              <w:jc w:val="center"/>
              <w:rPr>
                <w:rFonts w:ascii="Arial" w:hAnsi="Arial" w:cs="Arial"/>
                <w:b/>
                <w:sz w:val="40"/>
                <w:szCs w:val="40"/>
              </w:rPr>
            </w:pPr>
            <w:r w:rsidRPr="00C525CD">
              <w:rPr>
                <w:rFonts w:ascii="Arial" w:hAnsi="Arial" w:cs="Arial"/>
                <w:b/>
                <w:sz w:val="40"/>
                <w:szCs w:val="40"/>
              </w:rPr>
              <w:t>Akustické posouzení</w:t>
            </w:r>
            <w:r w:rsidRPr="00C525CD">
              <w:rPr>
                <w:rFonts w:ascii="Arial" w:hAnsi="Arial" w:cs="Arial"/>
                <w:b/>
                <w:sz w:val="40"/>
                <w:szCs w:val="40"/>
              </w:rPr>
              <w:br/>
              <w:t xml:space="preserve">Hodnocení vlivů na </w:t>
            </w:r>
            <w:r w:rsidR="00811618" w:rsidRPr="00C525CD">
              <w:rPr>
                <w:rFonts w:ascii="Arial" w:hAnsi="Arial" w:cs="Arial"/>
                <w:b/>
                <w:sz w:val="40"/>
                <w:szCs w:val="40"/>
              </w:rPr>
              <w:t>kvalitu ovzduší</w:t>
            </w:r>
            <w:r w:rsidRPr="00C525CD">
              <w:rPr>
                <w:rFonts w:ascii="Arial" w:hAnsi="Arial" w:cs="Arial"/>
                <w:b/>
                <w:sz w:val="40"/>
                <w:szCs w:val="40"/>
              </w:rPr>
              <w:br/>
              <w:t>Hodnocení vlivů na lidské zdraví</w:t>
            </w:r>
          </w:p>
          <w:p w:rsidR="00CD49EB" w:rsidRPr="00C525CD" w:rsidRDefault="00CD49EB" w:rsidP="00E00000">
            <w:pPr>
              <w:widowControl/>
              <w:ind w:firstLine="0"/>
              <w:jc w:val="center"/>
              <w:rPr>
                <w:rFonts w:ascii="Arial" w:hAnsi="Arial" w:cs="Arial"/>
                <w:b/>
                <w:sz w:val="40"/>
                <w:szCs w:val="40"/>
              </w:rPr>
            </w:pPr>
          </w:p>
          <w:p w:rsidR="00CD49EB" w:rsidRPr="00C525CD" w:rsidRDefault="00CD49EB" w:rsidP="007C248E">
            <w:pPr>
              <w:widowControl/>
              <w:spacing w:line="240" w:lineRule="auto"/>
              <w:ind w:firstLine="0"/>
              <w:jc w:val="center"/>
              <w:rPr>
                <w:rFonts w:ascii="Arial" w:hAnsi="Arial" w:cs="Arial"/>
              </w:rPr>
            </w:pPr>
          </w:p>
        </w:tc>
      </w:tr>
      <w:tr w:rsidR="00CD49EB" w:rsidRPr="00C525CD" w:rsidTr="00103A80">
        <w:trPr>
          <w:trHeight w:val="66"/>
        </w:trPr>
        <w:tc>
          <w:tcPr>
            <w:tcW w:w="9213" w:type="dxa"/>
          </w:tcPr>
          <w:p w:rsidR="00CD49EB" w:rsidRPr="00C525CD" w:rsidRDefault="00CD49EB" w:rsidP="00E00000">
            <w:pPr>
              <w:widowControl/>
              <w:ind w:firstLine="0"/>
              <w:jc w:val="center"/>
              <w:rPr>
                <w:rFonts w:ascii="Arial" w:hAnsi="Arial" w:cs="Arial"/>
                <w:b/>
                <w:sz w:val="28"/>
              </w:rPr>
            </w:pPr>
          </w:p>
          <w:p w:rsidR="00CD49EB" w:rsidRPr="00C525CD" w:rsidRDefault="00CD49EB" w:rsidP="00E00000">
            <w:pPr>
              <w:widowControl/>
              <w:ind w:firstLine="0"/>
              <w:jc w:val="center"/>
              <w:rPr>
                <w:rFonts w:ascii="Arial" w:hAnsi="Arial" w:cs="Arial"/>
                <w:b/>
                <w:sz w:val="28"/>
              </w:rPr>
            </w:pPr>
          </w:p>
          <w:p w:rsidR="00103A80" w:rsidRPr="00C525CD" w:rsidRDefault="00103A80" w:rsidP="00E00000">
            <w:pPr>
              <w:widowControl/>
              <w:ind w:firstLine="0"/>
              <w:jc w:val="center"/>
              <w:rPr>
                <w:rFonts w:ascii="Arial" w:hAnsi="Arial" w:cs="Arial"/>
                <w:b/>
                <w:sz w:val="28"/>
              </w:rPr>
            </w:pPr>
          </w:p>
          <w:p w:rsidR="00103A80" w:rsidRPr="00C525CD" w:rsidRDefault="00103A80" w:rsidP="00E00000">
            <w:pPr>
              <w:widowControl/>
              <w:ind w:firstLine="0"/>
              <w:jc w:val="center"/>
              <w:rPr>
                <w:rFonts w:ascii="Arial" w:hAnsi="Arial" w:cs="Arial"/>
                <w:b/>
                <w:sz w:val="28"/>
              </w:rPr>
            </w:pPr>
          </w:p>
          <w:p w:rsidR="00103A80" w:rsidRPr="00C525CD" w:rsidRDefault="00103A80" w:rsidP="00E00000">
            <w:pPr>
              <w:widowControl/>
              <w:ind w:firstLine="0"/>
              <w:jc w:val="center"/>
              <w:rPr>
                <w:rFonts w:ascii="Arial" w:hAnsi="Arial" w:cs="Arial"/>
                <w:b/>
                <w:sz w:val="28"/>
              </w:rPr>
            </w:pPr>
          </w:p>
          <w:p w:rsidR="00103A80" w:rsidRPr="00C525CD" w:rsidRDefault="00103A80" w:rsidP="00E00000">
            <w:pPr>
              <w:widowControl/>
              <w:ind w:firstLine="0"/>
              <w:jc w:val="center"/>
              <w:rPr>
                <w:rFonts w:ascii="Arial" w:hAnsi="Arial" w:cs="Arial"/>
                <w:b/>
                <w:sz w:val="28"/>
              </w:rPr>
            </w:pPr>
          </w:p>
          <w:p w:rsidR="00CD49EB" w:rsidRPr="00C525CD" w:rsidRDefault="00CD49EB" w:rsidP="00E00000">
            <w:pPr>
              <w:widowControl/>
              <w:ind w:firstLine="0"/>
              <w:jc w:val="center"/>
              <w:rPr>
                <w:rFonts w:ascii="Arial" w:hAnsi="Arial" w:cs="Arial"/>
                <w:b/>
                <w:sz w:val="28"/>
              </w:rPr>
            </w:pPr>
          </w:p>
          <w:p w:rsidR="00CD49EB" w:rsidRPr="00C525CD" w:rsidRDefault="00CE28B1" w:rsidP="00E00000">
            <w:pPr>
              <w:widowControl/>
              <w:ind w:firstLine="0"/>
              <w:jc w:val="center"/>
              <w:rPr>
                <w:rFonts w:ascii="Arial" w:hAnsi="Arial" w:cs="Arial"/>
              </w:rPr>
            </w:pPr>
            <w:r w:rsidRPr="00C525CD">
              <w:rPr>
                <w:rFonts w:ascii="Arial" w:hAnsi="Arial" w:cs="Arial"/>
                <w:b/>
                <w:sz w:val="28"/>
              </w:rPr>
              <w:t>Leden 2021</w:t>
            </w:r>
          </w:p>
        </w:tc>
      </w:tr>
    </w:tbl>
    <w:p w:rsidR="00CD49EB" w:rsidRPr="00C525CD" w:rsidRDefault="00CD49EB" w:rsidP="00E00000">
      <w:pPr>
        <w:widowControl/>
      </w:pPr>
    </w:p>
    <w:tbl>
      <w:tblPr>
        <w:tblW w:w="0" w:type="auto"/>
        <w:jc w:val="center"/>
        <w:tblLayout w:type="fixed"/>
        <w:tblCellMar>
          <w:left w:w="71" w:type="dxa"/>
          <w:right w:w="71" w:type="dxa"/>
        </w:tblCellMar>
        <w:tblLook w:val="0000" w:firstRow="0" w:lastRow="0" w:firstColumn="0" w:lastColumn="0" w:noHBand="0" w:noVBand="0"/>
      </w:tblPr>
      <w:tblGrid>
        <w:gridCol w:w="2351"/>
        <w:gridCol w:w="6355"/>
      </w:tblGrid>
      <w:tr w:rsidR="00CD49EB" w:rsidRPr="00C525CD">
        <w:trPr>
          <w:trHeight w:hRule="exact" w:val="3303"/>
          <w:jc w:val="center"/>
        </w:trPr>
        <w:tc>
          <w:tcPr>
            <w:tcW w:w="8706" w:type="dxa"/>
            <w:gridSpan w:val="2"/>
          </w:tcPr>
          <w:p w:rsidR="00CD49EB" w:rsidRPr="00C525CD" w:rsidRDefault="00CD49EB" w:rsidP="00E00000">
            <w:pPr>
              <w:widowControl/>
              <w:spacing w:before="0"/>
              <w:ind w:firstLine="0"/>
              <w:jc w:val="center"/>
              <w:rPr>
                <w:b/>
                <w:sz w:val="12"/>
                <w:szCs w:val="12"/>
              </w:rPr>
            </w:pPr>
            <w:r w:rsidRPr="00C525CD">
              <w:rPr>
                <w:b/>
                <w:sz w:val="32"/>
                <w:szCs w:val="32"/>
              </w:rPr>
              <w:lastRenderedPageBreak/>
              <w:br w:type="page"/>
            </w:r>
            <w:r w:rsidRPr="00C525CD">
              <w:rPr>
                <w:b/>
                <w:sz w:val="32"/>
                <w:szCs w:val="32"/>
              </w:rPr>
              <w:br w:type="page"/>
            </w:r>
          </w:p>
          <w:p w:rsidR="00811618" w:rsidRPr="00C525CD" w:rsidRDefault="0081660F" w:rsidP="0081660F">
            <w:pPr>
              <w:pStyle w:val="Podtitul"/>
              <w:widowControl/>
              <w:spacing w:before="0" w:line="240" w:lineRule="auto"/>
              <w:ind w:firstLine="0"/>
              <w:rPr>
                <w:rFonts w:ascii="Times New Roman" w:hAnsi="Times New Roman"/>
                <w:b/>
                <w:i w:val="0"/>
                <w:sz w:val="32"/>
                <w:szCs w:val="32"/>
              </w:rPr>
            </w:pPr>
            <w:r w:rsidRPr="00C525CD">
              <w:rPr>
                <w:rFonts w:ascii="Times New Roman" w:hAnsi="Times New Roman"/>
                <w:b/>
                <w:i w:val="0"/>
                <w:sz w:val="32"/>
                <w:szCs w:val="32"/>
              </w:rPr>
              <w:t xml:space="preserve">Změna platného územního plánu hl.m. Prahy č. </w:t>
            </w:r>
            <w:r w:rsidR="007E64BA" w:rsidRPr="00C525CD">
              <w:rPr>
                <w:rFonts w:ascii="Times New Roman" w:hAnsi="Times New Roman"/>
                <w:b/>
                <w:i w:val="0"/>
                <w:sz w:val="32"/>
                <w:szCs w:val="32"/>
              </w:rPr>
              <w:t>Z</w:t>
            </w:r>
            <w:r w:rsidR="00764732" w:rsidRPr="00C525CD">
              <w:rPr>
                <w:rFonts w:ascii="Times New Roman" w:hAnsi="Times New Roman"/>
                <w:b/>
                <w:i w:val="0"/>
                <w:sz w:val="32"/>
                <w:szCs w:val="32"/>
              </w:rPr>
              <w:t xml:space="preserve"> </w:t>
            </w:r>
            <w:r w:rsidR="007E64BA" w:rsidRPr="00C525CD">
              <w:rPr>
                <w:rFonts w:ascii="Times New Roman" w:hAnsi="Times New Roman"/>
                <w:b/>
                <w:i w:val="0"/>
                <w:sz w:val="32"/>
                <w:szCs w:val="32"/>
              </w:rPr>
              <w:t>3111</w:t>
            </w:r>
            <w:r w:rsidRPr="00C525CD">
              <w:rPr>
                <w:rFonts w:ascii="Times New Roman" w:hAnsi="Times New Roman"/>
                <w:b/>
                <w:i w:val="0"/>
                <w:sz w:val="32"/>
                <w:szCs w:val="32"/>
              </w:rPr>
              <w:t>/</w:t>
            </w:r>
            <w:r w:rsidR="007E64BA" w:rsidRPr="00C525CD">
              <w:rPr>
                <w:rFonts w:ascii="Times New Roman" w:hAnsi="Times New Roman"/>
                <w:b/>
                <w:i w:val="0"/>
                <w:sz w:val="32"/>
                <w:szCs w:val="32"/>
              </w:rPr>
              <w:t>10</w:t>
            </w:r>
            <w:r w:rsidRPr="00C525CD">
              <w:rPr>
                <w:rFonts w:ascii="Times New Roman" w:hAnsi="Times New Roman"/>
                <w:b/>
                <w:i w:val="0"/>
                <w:sz w:val="32"/>
                <w:szCs w:val="32"/>
              </w:rPr>
              <w:t xml:space="preserve"> </w:t>
            </w:r>
            <w:r w:rsidR="007E64BA" w:rsidRPr="00C525CD">
              <w:rPr>
                <w:rFonts w:ascii="Times New Roman" w:hAnsi="Times New Roman"/>
                <w:b/>
                <w:i w:val="0"/>
                <w:sz w:val="32"/>
                <w:szCs w:val="32"/>
              </w:rPr>
              <w:br/>
              <w:t>a úprava územního plánu hl.m. Prahy č. U</w:t>
            </w:r>
            <w:r w:rsidR="00764732" w:rsidRPr="00C525CD">
              <w:rPr>
                <w:rFonts w:ascii="Times New Roman" w:hAnsi="Times New Roman"/>
                <w:b/>
                <w:i w:val="0"/>
                <w:sz w:val="32"/>
                <w:szCs w:val="32"/>
              </w:rPr>
              <w:t xml:space="preserve"> </w:t>
            </w:r>
            <w:r w:rsidR="007E64BA" w:rsidRPr="00C525CD">
              <w:rPr>
                <w:rFonts w:ascii="Times New Roman" w:hAnsi="Times New Roman"/>
                <w:b/>
                <w:i w:val="0"/>
                <w:sz w:val="32"/>
                <w:szCs w:val="32"/>
              </w:rPr>
              <w:t xml:space="preserve">1250/2 </w:t>
            </w:r>
          </w:p>
          <w:p w:rsidR="0081660F" w:rsidRPr="00C525CD" w:rsidRDefault="0081660F" w:rsidP="0081660F">
            <w:pPr>
              <w:pStyle w:val="Podtitul"/>
              <w:widowControl/>
              <w:spacing w:before="0" w:line="240" w:lineRule="auto"/>
              <w:ind w:firstLine="0"/>
              <w:rPr>
                <w:rFonts w:ascii="Times New Roman" w:hAnsi="Times New Roman"/>
                <w:b/>
                <w:i w:val="0"/>
                <w:sz w:val="32"/>
                <w:szCs w:val="32"/>
              </w:rPr>
            </w:pPr>
          </w:p>
          <w:p w:rsidR="00103A80" w:rsidRPr="00C525CD" w:rsidRDefault="00103A80" w:rsidP="00103A80">
            <w:pPr>
              <w:widowControl/>
              <w:spacing w:before="0"/>
              <w:ind w:firstLine="0"/>
              <w:jc w:val="center"/>
              <w:rPr>
                <w:b/>
                <w:sz w:val="32"/>
                <w:szCs w:val="32"/>
              </w:rPr>
            </w:pPr>
            <w:r w:rsidRPr="00C525CD">
              <w:rPr>
                <w:b/>
                <w:sz w:val="32"/>
                <w:szCs w:val="32"/>
              </w:rPr>
              <w:t>Akustické posouzení</w:t>
            </w:r>
          </w:p>
          <w:p w:rsidR="00103A80" w:rsidRPr="00C525CD" w:rsidRDefault="00103A80" w:rsidP="00103A80">
            <w:pPr>
              <w:widowControl/>
              <w:spacing w:before="0"/>
              <w:ind w:firstLine="0"/>
              <w:jc w:val="center"/>
              <w:rPr>
                <w:b/>
                <w:sz w:val="32"/>
                <w:szCs w:val="32"/>
              </w:rPr>
            </w:pPr>
            <w:r w:rsidRPr="00C525CD">
              <w:rPr>
                <w:b/>
                <w:sz w:val="32"/>
                <w:szCs w:val="32"/>
              </w:rPr>
              <w:t>Hodnocení vlivů na kvalitu ovzduší</w:t>
            </w:r>
          </w:p>
          <w:p w:rsidR="00CD49EB" w:rsidRPr="00C525CD" w:rsidRDefault="00103A80" w:rsidP="00E00000">
            <w:pPr>
              <w:widowControl/>
              <w:spacing w:before="0"/>
              <w:ind w:firstLine="0"/>
              <w:jc w:val="center"/>
              <w:rPr>
                <w:b/>
                <w:sz w:val="32"/>
                <w:szCs w:val="32"/>
              </w:rPr>
            </w:pPr>
            <w:r w:rsidRPr="00C525CD">
              <w:rPr>
                <w:b/>
                <w:sz w:val="32"/>
                <w:szCs w:val="32"/>
              </w:rPr>
              <w:t xml:space="preserve">Hodnocení vlivů na lidské zdraví </w:t>
            </w:r>
          </w:p>
        </w:tc>
      </w:tr>
      <w:tr w:rsidR="00CD49EB" w:rsidRPr="00C525CD" w:rsidTr="00D17150">
        <w:trPr>
          <w:trHeight w:val="1528"/>
          <w:jc w:val="center"/>
        </w:trPr>
        <w:tc>
          <w:tcPr>
            <w:tcW w:w="2351" w:type="dxa"/>
          </w:tcPr>
          <w:p w:rsidR="00CD49EB" w:rsidRPr="00C525CD" w:rsidRDefault="00CD49EB" w:rsidP="00E00000">
            <w:pPr>
              <w:widowControl/>
              <w:spacing w:before="0"/>
              <w:ind w:firstLine="0"/>
              <w:rPr>
                <w:b/>
                <w:smallCaps/>
                <w:sz w:val="24"/>
                <w:szCs w:val="24"/>
              </w:rPr>
            </w:pPr>
            <w:r w:rsidRPr="00C525CD">
              <w:rPr>
                <w:b/>
                <w:smallCaps/>
                <w:sz w:val="24"/>
                <w:szCs w:val="24"/>
              </w:rPr>
              <w:t>Zadal:</w:t>
            </w:r>
          </w:p>
        </w:tc>
        <w:tc>
          <w:tcPr>
            <w:tcW w:w="6355" w:type="dxa"/>
          </w:tcPr>
          <w:p w:rsidR="00103A80" w:rsidRPr="00C525CD" w:rsidRDefault="00103A80" w:rsidP="00103A80">
            <w:pPr>
              <w:widowControl/>
              <w:spacing w:before="0"/>
              <w:ind w:firstLine="0"/>
              <w:rPr>
                <w:b/>
                <w:sz w:val="24"/>
              </w:rPr>
            </w:pPr>
            <w:r w:rsidRPr="00C525CD">
              <w:rPr>
                <w:b/>
                <w:sz w:val="24"/>
              </w:rPr>
              <w:t>Atelier T-plan, s.r.o.</w:t>
            </w:r>
          </w:p>
          <w:p w:rsidR="00103A80" w:rsidRPr="00C525CD" w:rsidRDefault="00103A80" w:rsidP="00103A80">
            <w:pPr>
              <w:widowControl/>
              <w:spacing w:before="0"/>
              <w:ind w:firstLine="0"/>
              <w:rPr>
                <w:sz w:val="24"/>
              </w:rPr>
            </w:pPr>
            <w:r w:rsidRPr="00C525CD">
              <w:rPr>
                <w:sz w:val="24"/>
              </w:rPr>
              <w:t>Sezimova 380/13</w:t>
            </w:r>
          </w:p>
          <w:p w:rsidR="00CD49EB" w:rsidRPr="00C525CD" w:rsidRDefault="00103A80" w:rsidP="00103A80">
            <w:pPr>
              <w:widowControl/>
              <w:spacing w:before="0"/>
              <w:ind w:firstLine="0"/>
              <w:rPr>
                <w:b/>
                <w:sz w:val="24"/>
                <w:szCs w:val="24"/>
              </w:rPr>
            </w:pPr>
            <w:r w:rsidRPr="00C525CD">
              <w:rPr>
                <w:sz w:val="24"/>
              </w:rPr>
              <w:t>140 00 Praha 4</w:t>
            </w:r>
          </w:p>
        </w:tc>
      </w:tr>
      <w:tr w:rsidR="00CD49EB" w:rsidRPr="00C525CD" w:rsidTr="00D17150">
        <w:trPr>
          <w:trHeight w:val="2272"/>
          <w:jc w:val="center"/>
        </w:trPr>
        <w:tc>
          <w:tcPr>
            <w:tcW w:w="2351" w:type="dxa"/>
          </w:tcPr>
          <w:p w:rsidR="00CD49EB" w:rsidRPr="00C525CD" w:rsidRDefault="00CD49EB" w:rsidP="00E00000">
            <w:pPr>
              <w:widowControl/>
              <w:spacing w:before="0"/>
              <w:ind w:firstLine="0"/>
              <w:rPr>
                <w:b/>
                <w:smallCaps/>
                <w:sz w:val="24"/>
              </w:rPr>
            </w:pPr>
            <w:r w:rsidRPr="00C525CD">
              <w:rPr>
                <w:b/>
                <w:smallCaps/>
                <w:sz w:val="24"/>
              </w:rPr>
              <w:t>Zpracoval:</w:t>
            </w:r>
          </w:p>
        </w:tc>
        <w:tc>
          <w:tcPr>
            <w:tcW w:w="6355" w:type="dxa"/>
          </w:tcPr>
          <w:p w:rsidR="00CD49EB" w:rsidRPr="00C525CD" w:rsidRDefault="00CD49EB" w:rsidP="00E00000">
            <w:pPr>
              <w:widowControl/>
              <w:spacing w:before="0"/>
              <w:ind w:firstLine="0"/>
              <w:rPr>
                <w:b/>
                <w:sz w:val="24"/>
              </w:rPr>
            </w:pPr>
            <w:r w:rsidRPr="00C525CD">
              <w:rPr>
                <w:b/>
                <w:sz w:val="24"/>
              </w:rPr>
              <w:t>ATEM – Ateliér ekologických modelů, s. r. o.</w:t>
            </w:r>
          </w:p>
          <w:p w:rsidR="00CD49EB" w:rsidRPr="00C525CD" w:rsidRDefault="00CD49EB" w:rsidP="00E00000">
            <w:pPr>
              <w:widowControl/>
              <w:spacing w:before="0"/>
              <w:ind w:firstLine="0"/>
              <w:rPr>
                <w:sz w:val="24"/>
              </w:rPr>
            </w:pPr>
            <w:r w:rsidRPr="00C525CD">
              <w:rPr>
                <w:sz w:val="24"/>
              </w:rPr>
              <w:t>Roztylská 1860/1</w:t>
            </w:r>
          </w:p>
          <w:p w:rsidR="00CD49EB" w:rsidRPr="00C525CD" w:rsidRDefault="00CD49EB" w:rsidP="00E00000">
            <w:pPr>
              <w:widowControl/>
              <w:spacing w:before="0"/>
              <w:ind w:firstLine="0"/>
              <w:rPr>
                <w:sz w:val="24"/>
              </w:rPr>
            </w:pPr>
            <w:r w:rsidRPr="00C525CD">
              <w:rPr>
                <w:sz w:val="24"/>
              </w:rPr>
              <w:t>148 00 Praha 4</w:t>
            </w:r>
          </w:p>
          <w:p w:rsidR="00CD49EB" w:rsidRPr="00C525CD" w:rsidRDefault="00CD49EB" w:rsidP="00E00000">
            <w:pPr>
              <w:widowControl/>
              <w:spacing w:before="0"/>
              <w:ind w:firstLine="0"/>
              <w:rPr>
                <w:sz w:val="24"/>
              </w:rPr>
            </w:pPr>
            <w:r w:rsidRPr="00C525CD">
              <w:rPr>
                <w:sz w:val="24"/>
              </w:rPr>
              <w:t>e-mail: atem@atem.cz</w:t>
            </w:r>
          </w:p>
          <w:p w:rsidR="00CD49EB" w:rsidRPr="00C525CD" w:rsidRDefault="00CD49EB" w:rsidP="00E00000">
            <w:pPr>
              <w:widowControl/>
              <w:spacing w:before="0"/>
              <w:ind w:firstLine="0"/>
              <w:rPr>
                <w:sz w:val="24"/>
              </w:rPr>
            </w:pPr>
            <w:r w:rsidRPr="00C525CD">
              <w:rPr>
                <w:sz w:val="24"/>
              </w:rPr>
              <w:t>tel.: 241 494 425</w:t>
            </w:r>
          </w:p>
          <w:p w:rsidR="00CD49EB" w:rsidRPr="00C525CD" w:rsidRDefault="00CD49EB" w:rsidP="00E00000">
            <w:pPr>
              <w:widowControl/>
              <w:spacing w:before="0"/>
              <w:ind w:firstLine="0"/>
              <w:rPr>
                <w:rFonts w:ascii="Arial" w:hAnsi="Arial"/>
                <w:sz w:val="24"/>
              </w:rPr>
            </w:pPr>
          </w:p>
        </w:tc>
      </w:tr>
      <w:tr w:rsidR="00AC52B4" w:rsidRPr="00C525CD" w:rsidTr="00D17150">
        <w:trPr>
          <w:trHeight w:val="1861"/>
          <w:jc w:val="center"/>
        </w:trPr>
        <w:tc>
          <w:tcPr>
            <w:tcW w:w="2351" w:type="dxa"/>
          </w:tcPr>
          <w:p w:rsidR="00AC52B4" w:rsidRPr="00C525CD" w:rsidRDefault="00AC52B4" w:rsidP="00E00000">
            <w:pPr>
              <w:widowControl/>
              <w:spacing w:before="0"/>
              <w:ind w:firstLine="0"/>
              <w:rPr>
                <w:b/>
                <w:smallCaps/>
                <w:sz w:val="24"/>
              </w:rPr>
            </w:pPr>
            <w:r w:rsidRPr="00C525CD">
              <w:rPr>
                <w:b/>
                <w:smallCaps/>
                <w:sz w:val="24"/>
              </w:rPr>
              <w:t>Vedoucí projektu:</w:t>
            </w:r>
          </w:p>
        </w:tc>
        <w:tc>
          <w:tcPr>
            <w:tcW w:w="6355" w:type="dxa"/>
          </w:tcPr>
          <w:p w:rsidR="00AC52B4" w:rsidRPr="00C525CD" w:rsidRDefault="00AC52B4" w:rsidP="00E00000">
            <w:pPr>
              <w:widowControl/>
              <w:spacing w:before="0"/>
              <w:ind w:firstLine="0"/>
              <w:rPr>
                <w:b/>
                <w:sz w:val="24"/>
              </w:rPr>
            </w:pPr>
            <w:r w:rsidRPr="00C525CD">
              <w:rPr>
                <w:b/>
                <w:sz w:val="24"/>
              </w:rPr>
              <w:t>Mgr. Robert Polák</w:t>
            </w:r>
          </w:p>
          <w:p w:rsidR="00AC52B4" w:rsidRPr="00C525CD" w:rsidRDefault="00AC52B4" w:rsidP="00103A80">
            <w:pPr>
              <w:pStyle w:val="Prosttext1"/>
              <w:overflowPunct/>
              <w:autoSpaceDE/>
              <w:autoSpaceDN/>
              <w:adjustRightInd/>
              <w:spacing w:before="40"/>
              <w:textAlignment w:val="auto"/>
              <w:rPr>
                <w:rFonts w:ascii="Times New Roman" w:hAnsi="Times New Roman"/>
              </w:rPr>
            </w:pPr>
            <w:r w:rsidRPr="00C525CD">
              <w:rPr>
                <w:rFonts w:ascii="Times New Roman" w:hAnsi="Times New Roman"/>
              </w:rPr>
              <w:t xml:space="preserve">držitel autorizace ke zpracování rozptylových studií </w:t>
            </w:r>
            <w:r w:rsidR="00103A80" w:rsidRPr="00C525CD">
              <w:rPr>
                <w:rFonts w:ascii="Times New Roman" w:hAnsi="Times New Roman"/>
              </w:rPr>
              <w:br/>
            </w:r>
            <w:r w:rsidRPr="00C525CD">
              <w:rPr>
                <w:rFonts w:ascii="Times New Roman" w:hAnsi="Times New Roman"/>
              </w:rPr>
              <w:t>dle zák. č. 86/2002 Sb.</w:t>
            </w:r>
            <w:r w:rsidR="00103A80" w:rsidRPr="00C525CD">
              <w:rPr>
                <w:rFonts w:ascii="Times New Roman" w:hAnsi="Times New Roman"/>
              </w:rPr>
              <w:t xml:space="preserve"> </w:t>
            </w:r>
            <w:r w:rsidRPr="00C525CD">
              <w:rPr>
                <w:rFonts w:ascii="Times New Roman" w:hAnsi="Times New Roman"/>
              </w:rPr>
              <w:t>osvědčení MŽP č. j. 2733/780/10/KS</w:t>
            </w:r>
          </w:p>
          <w:p w:rsidR="00103A80" w:rsidRPr="00C525CD" w:rsidRDefault="00103A80" w:rsidP="00103A80">
            <w:pPr>
              <w:spacing w:before="40"/>
              <w:ind w:firstLine="0"/>
              <w:jc w:val="left"/>
              <w:rPr>
                <w:sz w:val="20"/>
              </w:rPr>
            </w:pPr>
            <w:r w:rsidRPr="00C525CD">
              <w:rPr>
                <w:sz w:val="20"/>
              </w:rPr>
              <w:t xml:space="preserve">držitel osvědčení odborné způsobilosti pro oblast posuzování vlivů </w:t>
            </w:r>
            <w:r w:rsidRPr="00C525CD">
              <w:rPr>
                <w:sz w:val="20"/>
              </w:rPr>
              <w:br/>
              <w:t xml:space="preserve">na veřejné zdraví MZd, poř. č. osvědčení </w:t>
            </w:r>
            <w:r w:rsidR="00764732" w:rsidRPr="00C525CD">
              <w:rPr>
                <w:sz w:val="20"/>
              </w:rPr>
              <w:t>10/2019</w:t>
            </w:r>
          </w:p>
          <w:p w:rsidR="00103A80" w:rsidRPr="00C525CD" w:rsidRDefault="00103A80" w:rsidP="00E00000">
            <w:pPr>
              <w:widowControl/>
              <w:spacing w:before="0"/>
              <w:ind w:firstLine="0"/>
              <w:jc w:val="left"/>
              <w:rPr>
                <w:sz w:val="20"/>
              </w:rPr>
            </w:pPr>
          </w:p>
          <w:p w:rsidR="00AC52B4" w:rsidRPr="00C525CD" w:rsidRDefault="00AC52B4" w:rsidP="00E00000">
            <w:pPr>
              <w:pStyle w:val="Zkladntext"/>
              <w:widowControl/>
              <w:spacing w:line="264" w:lineRule="auto"/>
              <w:rPr>
                <w:color w:val="auto"/>
              </w:rPr>
            </w:pPr>
          </w:p>
        </w:tc>
      </w:tr>
      <w:tr w:rsidR="00AC52B4" w:rsidRPr="00C525CD" w:rsidTr="00D17150">
        <w:trPr>
          <w:trHeight w:val="1984"/>
          <w:jc w:val="center"/>
        </w:trPr>
        <w:tc>
          <w:tcPr>
            <w:tcW w:w="2351" w:type="dxa"/>
          </w:tcPr>
          <w:p w:rsidR="00AC52B4" w:rsidRPr="00C525CD" w:rsidRDefault="00AC52B4" w:rsidP="00E00000">
            <w:pPr>
              <w:widowControl/>
              <w:spacing w:before="0"/>
              <w:ind w:firstLine="0"/>
              <w:rPr>
                <w:b/>
                <w:smallCaps/>
                <w:sz w:val="24"/>
              </w:rPr>
            </w:pPr>
            <w:r w:rsidRPr="00C525CD">
              <w:rPr>
                <w:b/>
                <w:smallCaps/>
                <w:sz w:val="24"/>
              </w:rPr>
              <w:t>Spolupráce:</w:t>
            </w:r>
          </w:p>
        </w:tc>
        <w:tc>
          <w:tcPr>
            <w:tcW w:w="6355" w:type="dxa"/>
          </w:tcPr>
          <w:p w:rsidR="00103A80" w:rsidRPr="00C525CD" w:rsidRDefault="00103A80" w:rsidP="00103A80">
            <w:pPr>
              <w:widowControl/>
              <w:spacing w:before="0"/>
              <w:ind w:firstLine="0"/>
              <w:rPr>
                <w:sz w:val="24"/>
              </w:rPr>
            </w:pPr>
            <w:r w:rsidRPr="00C525CD">
              <w:rPr>
                <w:sz w:val="24"/>
              </w:rPr>
              <w:t>Mgr. Jan Karel</w:t>
            </w:r>
          </w:p>
          <w:p w:rsidR="00610B8B" w:rsidRPr="00C525CD" w:rsidRDefault="00610B8B" w:rsidP="00E00000">
            <w:pPr>
              <w:widowControl/>
              <w:spacing w:before="0"/>
              <w:ind w:firstLine="0"/>
              <w:rPr>
                <w:sz w:val="24"/>
              </w:rPr>
            </w:pPr>
            <w:r w:rsidRPr="00C525CD">
              <w:rPr>
                <w:sz w:val="24"/>
              </w:rPr>
              <w:t>Mgr. Radek Jareš</w:t>
            </w:r>
          </w:p>
          <w:p w:rsidR="00AC52B4" w:rsidRPr="00C525CD" w:rsidRDefault="00AC52B4" w:rsidP="00103A80">
            <w:pPr>
              <w:widowControl/>
              <w:spacing w:before="0"/>
              <w:ind w:firstLine="0"/>
              <w:jc w:val="left"/>
              <w:rPr>
                <w:sz w:val="24"/>
              </w:rPr>
            </w:pPr>
            <w:r w:rsidRPr="00C525CD">
              <w:rPr>
                <w:sz w:val="24"/>
              </w:rPr>
              <w:t>Ing. Josef Martinovský</w:t>
            </w:r>
            <w:r w:rsidR="00103A80" w:rsidRPr="00C525CD">
              <w:rPr>
                <w:sz w:val="24"/>
              </w:rPr>
              <w:t xml:space="preserve"> </w:t>
            </w:r>
            <w:r w:rsidR="00D17150" w:rsidRPr="00C525CD">
              <w:rPr>
                <w:sz w:val="24"/>
              </w:rPr>
              <w:t>(odborný garant – akustika)</w:t>
            </w:r>
          </w:p>
          <w:p w:rsidR="00AC52B4" w:rsidRPr="00C525CD" w:rsidRDefault="00AC52B4" w:rsidP="00E00000">
            <w:pPr>
              <w:widowControl/>
              <w:spacing w:before="0"/>
              <w:ind w:firstLine="0"/>
              <w:rPr>
                <w:sz w:val="24"/>
              </w:rPr>
            </w:pPr>
            <w:r w:rsidRPr="00C525CD">
              <w:rPr>
                <w:sz w:val="24"/>
              </w:rPr>
              <w:t>Ing. Eva Smolová</w:t>
            </w:r>
          </w:p>
          <w:p w:rsidR="00610B8B" w:rsidRPr="00C525CD" w:rsidRDefault="00610B8B" w:rsidP="00E00000">
            <w:pPr>
              <w:widowControl/>
              <w:spacing w:before="0"/>
              <w:ind w:firstLine="0"/>
              <w:rPr>
                <w:sz w:val="24"/>
              </w:rPr>
            </w:pPr>
          </w:p>
        </w:tc>
      </w:tr>
      <w:tr w:rsidR="00CD49EB" w:rsidRPr="00C525CD" w:rsidTr="00103A80">
        <w:trPr>
          <w:trHeight w:hRule="exact" w:val="1621"/>
          <w:jc w:val="center"/>
        </w:trPr>
        <w:tc>
          <w:tcPr>
            <w:tcW w:w="8706" w:type="dxa"/>
            <w:gridSpan w:val="2"/>
          </w:tcPr>
          <w:p w:rsidR="00CD49EB" w:rsidRPr="00C525CD" w:rsidRDefault="00CD49EB" w:rsidP="00E00000">
            <w:pPr>
              <w:widowControl/>
              <w:ind w:firstLine="0"/>
              <w:jc w:val="center"/>
              <w:rPr>
                <w:sz w:val="24"/>
              </w:rPr>
            </w:pPr>
          </w:p>
          <w:p w:rsidR="00103A80" w:rsidRPr="00C525CD" w:rsidRDefault="00103A80" w:rsidP="00E00000">
            <w:pPr>
              <w:widowControl/>
              <w:ind w:firstLine="0"/>
              <w:jc w:val="center"/>
              <w:rPr>
                <w:sz w:val="24"/>
              </w:rPr>
            </w:pPr>
          </w:p>
          <w:p w:rsidR="00CD49EB" w:rsidRPr="00C525CD" w:rsidRDefault="007B5871" w:rsidP="00E00000">
            <w:pPr>
              <w:widowControl/>
              <w:ind w:firstLine="0"/>
              <w:jc w:val="center"/>
              <w:rPr>
                <w:sz w:val="24"/>
              </w:rPr>
            </w:pPr>
            <w:r w:rsidRPr="00C525CD">
              <w:rPr>
                <w:sz w:val="24"/>
              </w:rPr>
              <w:t>Leden 2021</w:t>
            </w:r>
          </w:p>
        </w:tc>
      </w:tr>
    </w:tbl>
    <w:p w:rsidR="00CD49EB" w:rsidRPr="00C525CD" w:rsidRDefault="00CD49EB" w:rsidP="00E00000">
      <w:pPr>
        <w:widowControl/>
      </w:pPr>
      <w:r w:rsidRPr="00C525CD">
        <w:br w:type="page"/>
      </w:r>
    </w:p>
    <w:p w:rsidR="00CD49EB" w:rsidRPr="00C525CD" w:rsidRDefault="00CD49EB" w:rsidP="00E00000">
      <w:pPr>
        <w:widowControl/>
        <w:ind w:firstLine="0"/>
        <w:jc w:val="center"/>
        <w:rPr>
          <w:b/>
          <w:caps/>
          <w:sz w:val="30"/>
        </w:rPr>
      </w:pPr>
      <w:r w:rsidRPr="00C525CD">
        <w:rPr>
          <w:b/>
          <w:caps/>
          <w:sz w:val="30"/>
        </w:rPr>
        <w:lastRenderedPageBreak/>
        <w:t>O b s a h</w:t>
      </w:r>
    </w:p>
    <w:p w:rsidR="00B90EAB" w:rsidRDefault="00CD49EB">
      <w:pPr>
        <w:pStyle w:val="Obsah1"/>
        <w:rPr>
          <w:b w:val="0"/>
          <w:caps w:val="0"/>
          <w:szCs w:val="24"/>
        </w:rPr>
      </w:pPr>
      <w:r w:rsidRPr="00C525CD">
        <w:rPr>
          <w:smallCaps/>
          <w:sz w:val="30"/>
        </w:rPr>
        <w:fldChar w:fldCharType="begin"/>
      </w:r>
      <w:r w:rsidRPr="00C525CD">
        <w:rPr>
          <w:smallCaps/>
          <w:sz w:val="30"/>
        </w:rPr>
        <w:instrText xml:space="preserve"> TOC \o "1-</w:instrText>
      </w:r>
      <w:r w:rsidR="00570AC1" w:rsidRPr="00C525CD">
        <w:rPr>
          <w:smallCaps/>
          <w:sz w:val="30"/>
        </w:rPr>
        <w:instrText>2</w:instrText>
      </w:r>
      <w:r w:rsidRPr="00C525CD">
        <w:rPr>
          <w:smallCaps/>
          <w:sz w:val="30"/>
        </w:rPr>
        <w:instrText xml:space="preserve">" </w:instrText>
      </w:r>
      <w:r w:rsidRPr="00C525CD">
        <w:rPr>
          <w:smallCaps/>
          <w:sz w:val="30"/>
        </w:rPr>
        <w:fldChar w:fldCharType="separate"/>
      </w:r>
      <w:r w:rsidR="00B90EAB">
        <w:t>1.</w:t>
      </w:r>
      <w:r w:rsidR="00B90EAB">
        <w:rPr>
          <w:b w:val="0"/>
          <w:caps w:val="0"/>
          <w:szCs w:val="24"/>
        </w:rPr>
        <w:tab/>
      </w:r>
      <w:r w:rsidR="00B90EAB">
        <w:t>Úvod</w:t>
      </w:r>
      <w:r w:rsidR="00B90EAB">
        <w:tab/>
      </w:r>
      <w:r w:rsidR="00B90EAB">
        <w:fldChar w:fldCharType="begin"/>
      </w:r>
      <w:r w:rsidR="00B90EAB">
        <w:instrText xml:space="preserve"> PAGEREF _Toc73358416 \h </w:instrText>
      </w:r>
      <w:r w:rsidR="00B90EAB">
        <w:fldChar w:fldCharType="separate"/>
      </w:r>
      <w:r w:rsidR="0065370B">
        <w:t>4</w:t>
      </w:r>
      <w:r w:rsidR="00B90EAB">
        <w:fldChar w:fldCharType="end"/>
      </w:r>
    </w:p>
    <w:p w:rsidR="00B90EAB" w:rsidRDefault="00B90EAB">
      <w:pPr>
        <w:pStyle w:val="Obsah1"/>
        <w:rPr>
          <w:b w:val="0"/>
          <w:caps w:val="0"/>
          <w:szCs w:val="24"/>
        </w:rPr>
      </w:pPr>
      <w:r>
        <w:t>2.</w:t>
      </w:r>
      <w:r>
        <w:rPr>
          <w:b w:val="0"/>
          <w:caps w:val="0"/>
          <w:szCs w:val="24"/>
        </w:rPr>
        <w:tab/>
      </w:r>
      <w:r>
        <w:t>VSTUPNÍ dopravní data</w:t>
      </w:r>
      <w:r>
        <w:tab/>
      </w:r>
      <w:r>
        <w:fldChar w:fldCharType="begin"/>
      </w:r>
      <w:r>
        <w:instrText xml:space="preserve"> PAGEREF _Toc73358417 \h </w:instrText>
      </w:r>
      <w:r>
        <w:fldChar w:fldCharType="separate"/>
      </w:r>
      <w:r w:rsidR="0065370B">
        <w:t>5</w:t>
      </w:r>
      <w:r>
        <w:fldChar w:fldCharType="end"/>
      </w:r>
    </w:p>
    <w:p w:rsidR="00B90EAB" w:rsidRDefault="00B90EAB">
      <w:pPr>
        <w:pStyle w:val="Obsah1"/>
        <w:rPr>
          <w:b w:val="0"/>
          <w:caps w:val="0"/>
          <w:szCs w:val="24"/>
        </w:rPr>
      </w:pPr>
      <w:r>
        <w:t>3.</w:t>
      </w:r>
      <w:r>
        <w:rPr>
          <w:b w:val="0"/>
          <w:caps w:val="0"/>
          <w:szCs w:val="24"/>
        </w:rPr>
        <w:tab/>
      </w:r>
      <w:r>
        <w:t>CHArakteristika obytné zástavby v okolí záměru</w:t>
      </w:r>
      <w:r>
        <w:tab/>
      </w:r>
      <w:r>
        <w:fldChar w:fldCharType="begin"/>
      </w:r>
      <w:r>
        <w:instrText xml:space="preserve"> PAGEREF _Toc73358418 \h </w:instrText>
      </w:r>
      <w:r>
        <w:fldChar w:fldCharType="separate"/>
      </w:r>
      <w:r w:rsidR="0065370B">
        <w:t>8</w:t>
      </w:r>
      <w:r>
        <w:fldChar w:fldCharType="end"/>
      </w:r>
    </w:p>
    <w:p w:rsidR="00B90EAB" w:rsidRDefault="00B90EAB">
      <w:pPr>
        <w:pStyle w:val="Obsah1"/>
        <w:rPr>
          <w:b w:val="0"/>
          <w:caps w:val="0"/>
          <w:szCs w:val="24"/>
        </w:rPr>
      </w:pPr>
      <w:r>
        <w:t>4.</w:t>
      </w:r>
      <w:r>
        <w:rPr>
          <w:b w:val="0"/>
          <w:caps w:val="0"/>
          <w:szCs w:val="24"/>
        </w:rPr>
        <w:tab/>
      </w:r>
      <w:r>
        <w:t>akustické posouzení</w:t>
      </w:r>
      <w:r>
        <w:tab/>
      </w:r>
      <w:r>
        <w:fldChar w:fldCharType="begin"/>
      </w:r>
      <w:r>
        <w:instrText xml:space="preserve"> PAGEREF _Toc73358419 \h </w:instrText>
      </w:r>
      <w:r>
        <w:fldChar w:fldCharType="separate"/>
      </w:r>
      <w:r w:rsidR="0065370B">
        <w:t>8</w:t>
      </w:r>
      <w:r>
        <w:fldChar w:fldCharType="end"/>
      </w:r>
    </w:p>
    <w:p w:rsidR="00B90EAB" w:rsidRDefault="00B90EAB">
      <w:pPr>
        <w:pStyle w:val="Obsah2"/>
        <w:rPr>
          <w:sz w:val="24"/>
          <w:szCs w:val="24"/>
        </w:rPr>
      </w:pPr>
      <w:r>
        <w:t>4.1.</w:t>
      </w:r>
      <w:r>
        <w:rPr>
          <w:sz w:val="24"/>
          <w:szCs w:val="24"/>
        </w:rPr>
        <w:tab/>
      </w:r>
      <w:r>
        <w:t>Hluk v území ve stávajícím stavu</w:t>
      </w:r>
      <w:r>
        <w:tab/>
      </w:r>
      <w:r>
        <w:fldChar w:fldCharType="begin"/>
      </w:r>
      <w:r>
        <w:instrText xml:space="preserve"> PAGEREF _Toc73358420 \h </w:instrText>
      </w:r>
      <w:r>
        <w:fldChar w:fldCharType="separate"/>
      </w:r>
      <w:r w:rsidR="0065370B">
        <w:t>8</w:t>
      </w:r>
      <w:r>
        <w:fldChar w:fldCharType="end"/>
      </w:r>
    </w:p>
    <w:p w:rsidR="00B90EAB" w:rsidRDefault="00B90EAB">
      <w:pPr>
        <w:pStyle w:val="Obsah2"/>
        <w:rPr>
          <w:sz w:val="24"/>
          <w:szCs w:val="24"/>
        </w:rPr>
      </w:pPr>
      <w:r>
        <w:t>4.2.</w:t>
      </w:r>
      <w:r>
        <w:rPr>
          <w:sz w:val="24"/>
          <w:szCs w:val="24"/>
        </w:rPr>
        <w:tab/>
      </w:r>
      <w:r>
        <w:t>Výpočtové body</w:t>
      </w:r>
      <w:r>
        <w:tab/>
      </w:r>
      <w:r>
        <w:fldChar w:fldCharType="begin"/>
      </w:r>
      <w:r>
        <w:instrText xml:space="preserve"> PAGEREF _Toc73358421 \h </w:instrText>
      </w:r>
      <w:r>
        <w:fldChar w:fldCharType="separate"/>
      </w:r>
      <w:r w:rsidR="0065370B">
        <w:t>10</w:t>
      </w:r>
      <w:r>
        <w:fldChar w:fldCharType="end"/>
      </w:r>
    </w:p>
    <w:p w:rsidR="00B90EAB" w:rsidRDefault="00B90EAB">
      <w:pPr>
        <w:pStyle w:val="Obsah2"/>
        <w:rPr>
          <w:sz w:val="24"/>
          <w:szCs w:val="24"/>
        </w:rPr>
      </w:pPr>
      <w:r>
        <w:t>4.3.</w:t>
      </w:r>
      <w:r>
        <w:rPr>
          <w:sz w:val="24"/>
          <w:szCs w:val="24"/>
        </w:rPr>
        <w:tab/>
      </w:r>
      <w:r>
        <w:t>Metodika výpočtu</w:t>
      </w:r>
      <w:r>
        <w:tab/>
      </w:r>
      <w:r>
        <w:fldChar w:fldCharType="begin"/>
      </w:r>
      <w:r>
        <w:instrText xml:space="preserve"> PAGEREF _Toc73358422 \h </w:instrText>
      </w:r>
      <w:r>
        <w:fldChar w:fldCharType="separate"/>
      </w:r>
      <w:r w:rsidR="0065370B">
        <w:t>11</w:t>
      </w:r>
      <w:r>
        <w:fldChar w:fldCharType="end"/>
      </w:r>
    </w:p>
    <w:p w:rsidR="00B90EAB" w:rsidRDefault="00B90EAB">
      <w:pPr>
        <w:pStyle w:val="Obsah2"/>
        <w:rPr>
          <w:sz w:val="24"/>
          <w:szCs w:val="24"/>
        </w:rPr>
      </w:pPr>
      <w:r>
        <w:t>4.4.</w:t>
      </w:r>
      <w:r>
        <w:rPr>
          <w:sz w:val="24"/>
          <w:szCs w:val="24"/>
        </w:rPr>
        <w:tab/>
      </w:r>
      <w:r>
        <w:t>Nejvyšší přípustné hodnoty venkovního hluku</w:t>
      </w:r>
      <w:r>
        <w:tab/>
      </w:r>
      <w:r>
        <w:fldChar w:fldCharType="begin"/>
      </w:r>
      <w:r>
        <w:instrText xml:space="preserve"> PAGEREF _Toc73358423 \h </w:instrText>
      </w:r>
      <w:r>
        <w:fldChar w:fldCharType="separate"/>
      </w:r>
      <w:r w:rsidR="0065370B">
        <w:t>12</w:t>
      </w:r>
      <w:r>
        <w:fldChar w:fldCharType="end"/>
      </w:r>
    </w:p>
    <w:p w:rsidR="00B90EAB" w:rsidRDefault="00B90EAB">
      <w:pPr>
        <w:pStyle w:val="Obsah2"/>
        <w:rPr>
          <w:sz w:val="24"/>
          <w:szCs w:val="24"/>
        </w:rPr>
      </w:pPr>
      <w:r>
        <w:t>4.5.</w:t>
      </w:r>
      <w:r>
        <w:rPr>
          <w:sz w:val="24"/>
          <w:szCs w:val="24"/>
        </w:rPr>
        <w:tab/>
      </w:r>
      <w:r>
        <w:t>Výsledky modelových výpočtů</w:t>
      </w:r>
      <w:r>
        <w:tab/>
      </w:r>
      <w:r>
        <w:fldChar w:fldCharType="begin"/>
      </w:r>
      <w:r>
        <w:instrText xml:space="preserve"> PAGEREF _Toc73358424 \h </w:instrText>
      </w:r>
      <w:r>
        <w:fldChar w:fldCharType="separate"/>
      </w:r>
      <w:r w:rsidR="0065370B">
        <w:t>15</w:t>
      </w:r>
      <w:r>
        <w:fldChar w:fldCharType="end"/>
      </w:r>
    </w:p>
    <w:p w:rsidR="00B90EAB" w:rsidRDefault="00B90EAB">
      <w:pPr>
        <w:pStyle w:val="Obsah2"/>
        <w:rPr>
          <w:sz w:val="24"/>
          <w:szCs w:val="24"/>
        </w:rPr>
      </w:pPr>
      <w:r>
        <w:t>4.5.1.</w:t>
      </w:r>
      <w:r>
        <w:rPr>
          <w:sz w:val="24"/>
          <w:szCs w:val="24"/>
        </w:rPr>
        <w:tab/>
      </w:r>
      <w:r>
        <w:t>Stav bez provedení změny – výchozí stav</w:t>
      </w:r>
      <w:r>
        <w:tab/>
      </w:r>
      <w:r>
        <w:fldChar w:fldCharType="begin"/>
      </w:r>
      <w:r>
        <w:instrText xml:space="preserve"> PAGEREF _Toc73358425 \h </w:instrText>
      </w:r>
      <w:r>
        <w:fldChar w:fldCharType="separate"/>
      </w:r>
      <w:r w:rsidR="0065370B">
        <w:t>15</w:t>
      </w:r>
      <w:r>
        <w:fldChar w:fldCharType="end"/>
      </w:r>
    </w:p>
    <w:p w:rsidR="00B90EAB" w:rsidRDefault="00B90EAB">
      <w:pPr>
        <w:pStyle w:val="Obsah2"/>
        <w:rPr>
          <w:sz w:val="24"/>
          <w:szCs w:val="24"/>
        </w:rPr>
      </w:pPr>
      <w:r>
        <w:t>4.5.2.</w:t>
      </w:r>
      <w:r>
        <w:rPr>
          <w:sz w:val="24"/>
          <w:szCs w:val="24"/>
        </w:rPr>
        <w:tab/>
      </w:r>
      <w:r>
        <w:t>Stav po odsouhlasení změny Z 3111/10</w:t>
      </w:r>
      <w:r>
        <w:tab/>
      </w:r>
      <w:r>
        <w:fldChar w:fldCharType="begin"/>
      </w:r>
      <w:r>
        <w:instrText xml:space="preserve"> PAGEREF _Toc73358426 \h </w:instrText>
      </w:r>
      <w:r>
        <w:fldChar w:fldCharType="separate"/>
      </w:r>
      <w:r w:rsidR="0065370B">
        <w:t>15</w:t>
      </w:r>
      <w:r>
        <w:fldChar w:fldCharType="end"/>
      </w:r>
    </w:p>
    <w:p w:rsidR="00B90EAB" w:rsidRDefault="00B90EAB">
      <w:pPr>
        <w:pStyle w:val="Obsah2"/>
        <w:rPr>
          <w:sz w:val="24"/>
          <w:szCs w:val="24"/>
        </w:rPr>
      </w:pPr>
      <w:r>
        <w:t>4.5.3.</w:t>
      </w:r>
      <w:r>
        <w:rPr>
          <w:sz w:val="24"/>
          <w:szCs w:val="24"/>
        </w:rPr>
        <w:tab/>
      </w:r>
      <w:r>
        <w:t>Stav po odsouhlasení úpravy U 1250/2</w:t>
      </w:r>
      <w:r>
        <w:tab/>
      </w:r>
      <w:r>
        <w:fldChar w:fldCharType="begin"/>
      </w:r>
      <w:r>
        <w:instrText xml:space="preserve"> PAGEREF _Toc73358427 \h </w:instrText>
      </w:r>
      <w:r>
        <w:fldChar w:fldCharType="separate"/>
      </w:r>
      <w:r w:rsidR="0065370B">
        <w:t>16</w:t>
      </w:r>
      <w:r>
        <w:fldChar w:fldCharType="end"/>
      </w:r>
    </w:p>
    <w:p w:rsidR="00B90EAB" w:rsidRDefault="00B90EAB">
      <w:pPr>
        <w:pStyle w:val="Obsah2"/>
        <w:rPr>
          <w:sz w:val="24"/>
          <w:szCs w:val="24"/>
        </w:rPr>
      </w:pPr>
      <w:r>
        <w:t>4.6.</w:t>
      </w:r>
      <w:r>
        <w:rPr>
          <w:sz w:val="24"/>
          <w:szCs w:val="24"/>
        </w:rPr>
        <w:tab/>
      </w:r>
      <w:r>
        <w:t>Návrh opatření</w:t>
      </w:r>
      <w:r>
        <w:tab/>
      </w:r>
      <w:r>
        <w:fldChar w:fldCharType="begin"/>
      </w:r>
      <w:r>
        <w:instrText xml:space="preserve"> PAGEREF _Toc73358428 \h </w:instrText>
      </w:r>
      <w:r>
        <w:fldChar w:fldCharType="separate"/>
      </w:r>
      <w:r w:rsidR="0065370B">
        <w:t>17</w:t>
      </w:r>
      <w:r>
        <w:fldChar w:fldCharType="end"/>
      </w:r>
    </w:p>
    <w:p w:rsidR="00B90EAB" w:rsidRDefault="00B90EAB">
      <w:pPr>
        <w:pStyle w:val="Obsah2"/>
        <w:rPr>
          <w:sz w:val="24"/>
          <w:szCs w:val="24"/>
        </w:rPr>
      </w:pPr>
      <w:r>
        <w:t>4.7.</w:t>
      </w:r>
      <w:r>
        <w:rPr>
          <w:sz w:val="24"/>
          <w:szCs w:val="24"/>
        </w:rPr>
        <w:tab/>
      </w:r>
      <w:r>
        <w:t>Návrh opatření</w:t>
      </w:r>
      <w:r>
        <w:tab/>
      </w:r>
      <w:r>
        <w:fldChar w:fldCharType="begin"/>
      </w:r>
      <w:r>
        <w:instrText xml:space="preserve"> PAGEREF _Toc73358429 \h </w:instrText>
      </w:r>
      <w:r>
        <w:fldChar w:fldCharType="separate"/>
      </w:r>
      <w:r w:rsidR="0065370B">
        <w:t>17</w:t>
      </w:r>
      <w:r>
        <w:fldChar w:fldCharType="end"/>
      </w:r>
    </w:p>
    <w:p w:rsidR="00B90EAB" w:rsidRDefault="00B90EAB">
      <w:pPr>
        <w:pStyle w:val="Obsah2"/>
        <w:rPr>
          <w:sz w:val="24"/>
          <w:szCs w:val="24"/>
        </w:rPr>
      </w:pPr>
      <w:r>
        <w:t>4.8.</w:t>
      </w:r>
      <w:r>
        <w:rPr>
          <w:sz w:val="24"/>
          <w:szCs w:val="24"/>
        </w:rPr>
        <w:tab/>
      </w:r>
      <w:r>
        <w:t>Závěrečné zhodnocení</w:t>
      </w:r>
      <w:r>
        <w:tab/>
      </w:r>
      <w:r>
        <w:fldChar w:fldCharType="begin"/>
      </w:r>
      <w:r>
        <w:instrText xml:space="preserve"> PAGEREF _Toc73358430 \h </w:instrText>
      </w:r>
      <w:r>
        <w:fldChar w:fldCharType="separate"/>
      </w:r>
      <w:r w:rsidR="0065370B">
        <w:t>17</w:t>
      </w:r>
      <w:r>
        <w:fldChar w:fldCharType="end"/>
      </w:r>
    </w:p>
    <w:p w:rsidR="00B90EAB" w:rsidRDefault="00B90EAB">
      <w:pPr>
        <w:pStyle w:val="Obsah1"/>
        <w:rPr>
          <w:b w:val="0"/>
          <w:caps w:val="0"/>
          <w:szCs w:val="24"/>
        </w:rPr>
      </w:pPr>
      <w:r>
        <w:t>5.</w:t>
      </w:r>
      <w:r>
        <w:rPr>
          <w:b w:val="0"/>
          <w:caps w:val="0"/>
          <w:szCs w:val="24"/>
        </w:rPr>
        <w:tab/>
      </w:r>
      <w:r>
        <w:t>Hodnocení vlivů na kvalitu ovzduší</w:t>
      </w:r>
      <w:r>
        <w:tab/>
      </w:r>
      <w:r>
        <w:fldChar w:fldCharType="begin"/>
      </w:r>
      <w:r>
        <w:instrText xml:space="preserve"> PAGEREF _Toc73358431 \h </w:instrText>
      </w:r>
      <w:r>
        <w:fldChar w:fldCharType="separate"/>
      </w:r>
      <w:r w:rsidR="0065370B">
        <w:t>18</w:t>
      </w:r>
      <w:r>
        <w:fldChar w:fldCharType="end"/>
      </w:r>
    </w:p>
    <w:p w:rsidR="00B90EAB" w:rsidRDefault="00B90EAB">
      <w:pPr>
        <w:pStyle w:val="Obsah2"/>
        <w:rPr>
          <w:sz w:val="24"/>
          <w:szCs w:val="24"/>
        </w:rPr>
      </w:pPr>
      <w:r>
        <w:t>5.1.</w:t>
      </w:r>
      <w:r>
        <w:rPr>
          <w:sz w:val="24"/>
          <w:szCs w:val="24"/>
        </w:rPr>
        <w:tab/>
      </w:r>
      <w:r>
        <w:t>Současný stav kvality ovzduší</w:t>
      </w:r>
      <w:r>
        <w:tab/>
      </w:r>
      <w:r>
        <w:fldChar w:fldCharType="begin"/>
      </w:r>
      <w:r>
        <w:instrText xml:space="preserve"> PAGEREF _Toc73358432 \h </w:instrText>
      </w:r>
      <w:r>
        <w:fldChar w:fldCharType="separate"/>
      </w:r>
      <w:r w:rsidR="0065370B">
        <w:t>18</w:t>
      </w:r>
      <w:r>
        <w:fldChar w:fldCharType="end"/>
      </w:r>
    </w:p>
    <w:p w:rsidR="00B90EAB" w:rsidRDefault="00B90EAB">
      <w:pPr>
        <w:pStyle w:val="Obsah2"/>
        <w:rPr>
          <w:sz w:val="24"/>
          <w:szCs w:val="24"/>
        </w:rPr>
      </w:pPr>
      <w:r>
        <w:t>5.2.</w:t>
      </w:r>
      <w:r>
        <w:rPr>
          <w:sz w:val="24"/>
          <w:szCs w:val="24"/>
        </w:rPr>
        <w:tab/>
      </w:r>
      <w:r>
        <w:t>Modelované znečišťující látky a příslušné imisní limity</w:t>
      </w:r>
      <w:r>
        <w:tab/>
      </w:r>
      <w:r>
        <w:fldChar w:fldCharType="begin"/>
      </w:r>
      <w:r>
        <w:instrText xml:space="preserve"> PAGEREF _Toc73358433 \h </w:instrText>
      </w:r>
      <w:r>
        <w:fldChar w:fldCharType="separate"/>
      </w:r>
      <w:r w:rsidR="0065370B">
        <w:t>18</w:t>
      </w:r>
      <w:r>
        <w:fldChar w:fldCharType="end"/>
      </w:r>
    </w:p>
    <w:p w:rsidR="00B90EAB" w:rsidRDefault="00B90EAB">
      <w:pPr>
        <w:pStyle w:val="Obsah2"/>
        <w:rPr>
          <w:sz w:val="24"/>
          <w:szCs w:val="24"/>
        </w:rPr>
      </w:pPr>
      <w:r>
        <w:t>5.3.</w:t>
      </w:r>
      <w:r>
        <w:rPr>
          <w:sz w:val="24"/>
          <w:szCs w:val="24"/>
        </w:rPr>
        <w:tab/>
      </w:r>
      <w:r>
        <w:t>Zdroje emisí znečišťujících látek</w:t>
      </w:r>
      <w:r>
        <w:tab/>
      </w:r>
      <w:r>
        <w:fldChar w:fldCharType="begin"/>
      </w:r>
      <w:r>
        <w:instrText xml:space="preserve"> PAGEREF _Toc73358434 \h </w:instrText>
      </w:r>
      <w:r>
        <w:fldChar w:fldCharType="separate"/>
      </w:r>
      <w:r w:rsidR="0065370B">
        <w:t>19</w:t>
      </w:r>
      <w:r>
        <w:fldChar w:fldCharType="end"/>
      </w:r>
    </w:p>
    <w:p w:rsidR="00B90EAB" w:rsidRDefault="00B90EAB">
      <w:pPr>
        <w:pStyle w:val="Obsah2"/>
        <w:rPr>
          <w:sz w:val="24"/>
          <w:szCs w:val="24"/>
        </w:rPr>
      </w:pPr>
      <w:r>
        <w:t>5.4.</w:t>
      </w:r>
      <w:r>
        <w:rPr>
          <w:sz w:val="24"/>
          <w:szCs w:val="24"/>
        </w:rPr>
        <w:tab/>
      </w:r>
      <w:r>
        <w:t>Použitá metodika výpočtu</w:t>
      </w:r>
      <w:r>
        <w:tab/>
      </w:r>
      <w:r>
        <w:fldChar w:fldCharType="begin"/>
      </w:r>
      <w:r>
        <w:instrText xml:space="preserve"> PAGEREF _Toc73358435 \h </w:instrText>
      </w:r>
      <w:r>
        <w:fldChar w:fldCharType="separate"/>
      </w:r>
      <w:r w:rsidR="0065370B">
        <w:t>21</w:t>
      </w:r>
      <w:r>
        <w:fldChar w:fldCharType="end"/>
      </w:r>
    </w:p>
    <w:p w:rsidR="00B90EAB" w:rsidRDefault="00B90EAB">
      <w:pPr>
        <w:pStyle w:val="Obsah2"/>
        <w:rPr>
          <w:sz w:val="24"/>
          <w:szCs w:val="24"/>
        </w:rPr>
      </w:pPr>
      <w:r>
        <w:t>5.5.</w:t>
      </w:r>
      <w:r>
        <w:rPr>
          <w:sz w:val="24"/>
          <w:szCs w:val="24"/>
        </w:rPr>
        <w:tab/>
      </w:r>
      <w:r>
        <w:t>Výsledky modelových výpočtů</w:t>
      </w:r>
      <w:r>
        <w:tab/>
      </w:r>
      <w:r>
        <w:fldChar w:fldCharType="begin"/>
      </w:r>
      <w:r>
        <w:instrText xml:space="preserve"> PAGEREF _Toc73358436 \h </w:instrText>
      </w:r>
      <w:r>
        <w:fldChar w:fldCharType="separate"/>
      </w:r>
      <w:r w:rsidR="0065370B">
        <w:t>21</w:t>
      </w:r>
      <w:r>
        <w:fldChar w:fldCharType="end"/>
      </w:r>
    </w:p>
    <w:p w:rsidR="00B90EAB" w:rsidRDefault="00B90EAB">
      <w:pPr>
        <w:pStyle w:val="Obsah2"/>
        <w:rPr>
          <w:sz w:val="24"/>
          <w:szCs w:val="24"/>
        </w:rPr>
      </w:pPr>
      <w:r>
        <w:t>5.6.</w:t>
      </w:r>
      <w:r>
        <w:rPr>
          <w:sz w:val="24"/>
          <w:szCs w:val="24"/>
        </w:rPr>
        <w:tab/>
      </w:r>
      <w:r>
        <w:t>Návrh opatření</w:t>
      </w:r>
      <w:r>
        <w:tab/>
      </w:r>
      <w:r>
        <w:fldChar w:fldCharType="begin"/>
      </w:r>
      <w:r>
        <w:instrText xml:space="preserve"> PAGEREF _Toc73358437 \h </w:instrText>
      </w:r>
      <w:r>
        <w:fldChar w:fldCharType="separate"/>
      </w:r>
      <w:r w:rsidR="0065370B">
        <w:t>24</w:t>
      </w:r>
      <w:r>
        <w:fldChar w:fldCharType="end"/>
      </w:r>
    </w:p>
    <w:p w:rsidR="00B90EAB" w:rsidRDefault="00B90EAB">
      <w:pPr>
        <w:pStyle w:val="Obsah2"/>
        <w:rPr>
          <w:sz w:val="24"/>
          <w:szCs w:val="24"/>
        </w:rPr>
      </w:pPr>
      <w:r>
        <w:t>5.7.</w:t>
      </w:r>
      <w:r>
        <w:rPr>
          <w:sz w:val="24"/>
          <w:szCs w:val="24"/>
        </w:rPr>
        <w:tab/>
      </w:r>
      <w:r>
        <w:t>Závěrečné zhodnocení</w:t>
      </w:r>
      <w:r>
        <w:tab/>
      </w:r>
      <w:r>
        <w:fldChar w:fldCharType="begin"/>
      </w:r>
      <w:r>
        <w:instrText xml:space="preserve"> PAGEREF _Toc73358438 \h </w:instrText>
      </w:r>
      <w:r>
        <w:fldChar w:fldCharType="separate"/>
      </w:r>
      <w:r w:rsidR="0065370B">
        <w:t>24</w:t>
      </w:r>
      <w:r>
        <w:fldChar w:fldCharType="end"/>
      </w:r>
    </w:p>
    <w:p w:rsidR="00B90EAB" w:rsidRDefault="00B90EAB">
      <w:pPr>
        <w:pStyle w:val="Obsah1"/>
        <w:rPr>
          <w:b w:val="0"/>
          <w:caps w:val="0"/>
          <w:szCs w:val="24"/>
        </w:rPr>
      </w:pPr>
      <w:r>
        <w:t>6.</w:t>
      </w:r>
      <w:r>
        <w:rPr>
          <w:b w:val="0"/>
          <w:caps w:val="0"/>
          <w:szCs w:val="24"/>
        </w:rPr>
        <w:tab/>
      </w:r>
      <w:r>
        <w:t>vlivy na lidské zdraví</w:t>
      </w:r>
      <w:r>
        <w:tab/>
      </w:r>
      <w:r>
        <w:fldChar w:fldCharType="begin"/>
      </w:r>
      <w:r>
        <w:instrText xml:space="preserve"> PAGEREF _Toc73358439 \h </w:instrText>
      </w:r>
      <w:r>
        <w:fldChar w:fldCharType="separate"/>
      </w:r>
      <w:r w:rsidR="0065370B">
        <w:t>25</w:t>
      </w:r>
      <w:r>
        <w:fldChar w:fldCharType="end"/>
      </w:r>
    </w:p>
    <w:p w:rsidR="00B90EAB" w:rsidRDefault="00B90EAB">
      <w:pPr>
        <w:pStyle w:val="Obsah2"/>
        <w:rPr>
          <w:sz w:val="24"/>
          <w:szCs w:val="24"/>
        </w:rPr>
      </w:pPr>
      <w:r>
        <w:t>6.1.</w:t>
      </w:r>
      <w:r>
        <w:rPr>
          <w:sz w:val="24"/>
          <w:szCs w:val="24"/>
        </w:rPr>
        <w:tab/>
      </w:r>
      <w:r>
        <w:t>Metodika hodnocení</w:t>
      </w:r>
      <w:r>
        <w:tab/>
      </w:r>
      <w:r>
        <w:fldChar w:fldCharType="begin"/>
      </w:r>
      <w:r>
        <w:instrText xml:space="preserve"> PAGEREF _Toc73358440 \h </w:instrText>
      </w:r>
      <w:r>
        <w:fldChar w:fldCharType="separate"/>
      </w:r>
      <w:r w:rsidR="0065370B">
        <w:t>25</w:t>
      </w:r>
      <w:r>
        <w:fldChar w:fldCharType="end"/>
      </w:r>
    </w:p>
    <w:p w:rsidR="00B90EAB" w:rsidRDefault="00B90EAB">
      <w:pPr>
        <w:pStyle w:val="Obsah2"/>
        <w:rPr>
          <w:sz w:val="24"/>
          <w:szCs w:val="24"/>
        </w:rPr>
      </w:pPr>
      <w:r>
        <w:t>6.2.</w:t>
      </w:r>
      <w:r>
        <w:rPr>
          <w:sz w:val="24"/>
          <w:szCs w:val="24"/>
        </w:rPr>
        <w:tab/>
      </w:r>
      <w:r>
        <w:t>Vlivy znečištění ovzduší na zdraví obyvatel</w:t>
      </w:r>
      <w:r>
        <w:tab/>
      </w:r>
      <w:r>
        <w:fldChar w:fldCharType="begin"/>
      </w:r>
      <w:r>
        <w:instrText xml:space="preserve"> PAGEREF _Toc73358441 \h </w:instrText>
      </w:r>
      <w:r>
        <w:fldChar w:fldCharType="separate"/>
      </w:r>
      <w:r w:rsidR="0065370B">
        <w:t>26</w:t>
      </w:r>
      <w:r>
        <w:fldChar w:fldCharType="end"/>
      </w:r>
    </w:p>
    <w:p w:rsidR="00B90EAB" w:rsidRDefault="00B90EAB">
      <w:pPr>
        <w:pStyle w:val="Obsah2"/>
        <w:rPr>
          <w:sz w:val="24"/>
          <w:szCs w:val="24"/>
        </w:rPr>
      </w:pPr>
      <w:r>
        <w:t>6.3.</w:t>
      </w:r>
      <w:r>
        <w:rPr>
          <w:sz w:val="24"/>
          <w:szCs w:val="24"/>
        </w:rPr>
        <w:tab/>
      </w:r>
      <w:r>
        <w:t>Vlivy hluku na zdraví obyvatel</w:t>
      </w:r>
      <w:r>
        <w:tab/>
      </w:r>
      <w:r>
        <w:fldChar w:fldCharType="begin"/>
      </w:r>
      <w:r>
        <w:instrText xml:space="preserve"> PAGEREF _Toc73358442 \h </w:instrText>
      </w:r>
      <w:r>
        <w:fldChar w:fldCharType="separate"/>
      </w:r>
      <w:r w:rsidR="0065370B">
        <w:t>35</w:t>
      </w:r>
      <w:r>
        <w:fldChar w:fldCharType="end"/>
      </w:r>
    </w:p>
    <w:p w:rsidR="00B90EAB" w:rsidRDefault="00B90EAB">
      <w:pPr>
        <w:pStyle w:val="Obsah2"/>
        <w:rPr>
          <w:sz w:val="24"/>
          <w:szCs w:val="24"/>
        </w:rPr>
      </w:pPr>
      <w:r>
        <w:t>6.4.</w:t>
      </w:r>
      <w:r>
        <w:rPr>
          <w:sz w:val="24"/>
          <w:szCs w:val="24"/>
        </w:rPr>
        <w:tab/>
      </w:r>
      <w:r>
        <w:t>Návrh opatření</w:t>
      </w:r>
      <w:r>
        <w:tab/>
      </w:r>
      <w:r>
        <w:fldChar w:fldCharType="begin"/>
      </w:r>
      <w:r>
        <w:instrText xml:space="preserve"> PAGEREF _Toc73358443 \h </w:instrText>
      </w:r>
      <w:r>
        <w:fldChar w:fldCharType="separate"/>
      </w:r>
      <w:r w:rsidR="0065370B">
        <w:t>39</w:t>
      </w:r>
      <w:r>
        <w:fldChar w:fldCharType="end"/>
      </w:r>
    </w:p>
    <w:p w:rsidR="00B90EAB" w:rsidRDefault="00B90EAB">
      <w:pPr>
        <w:pStyle w:val="Obsah2"/>
        <w:rPr>
          <w:sz w:val="24"/>
          <w:szCs w:val="24"/>
        </w:rPr>
      </w:pPr>
      <w:r>
        <w:t>6.5.</w:t>
      </w:r>
      <w:r>
        <w:rPr>
          <w:sz w:val="24"/>
          <w:szCs w:val="24"/>
        </w:rPr>
        <w:tab/>
      </w:r>
      <w:r>
        <w:t>Závěrečné zhodnocení</w:t>
      </w:r>
      <w:r>
        <w:tab/>
      </w:r>
      <w:r>
        <w:fldChar w:fldCharType="begin"/>
      </w:r>
      <w:r>
        <w:instrText xml:space="preserve"> PAGEREF _Toc73358444 \h </w:instrText>
      </w:r>
      <w:r>
        <w:fldChar w:fldCharType="separate"/>
      </w:r>
      <w:r w:rsidR="0065370B">
        <w:t>40</w:t>
      </w:r>
      <w:r>
        <w:fldChar w:fldCharType="end"/>
      </w:r>
    </w:p>
    <w:p w:rsidR="00B90EAB" w:rsidRDefault="00B90EAB">
      <w:pPr>
        <w:pStyle w:val="Obsah1"/>
        <w:rPr>
          <w:b w:val="0"/>
          <w:caps w:val="0"/>
          <w:szCs w:val="24"/>
        </w:rPr>
      </w:pPr>
      <w:r>
        <w:t>7.</w:t>
      </w:r>
      <w:r>
        <w:rPr>
          <w:b w:val="0"/>
          <w:caps w:val="0"/>
          <w:szCs w:val="24"/>
        </w:rPr>
        <w:tab/>
      </w:r>
      <w:r>
        <w:t>Závěr</w:t>
      </w:r>
      <w:r>
        <w:tab/>
      </w:r>
      <w:r>
        <w:fldChar w:fldCharType="begin"/>
      </w:r>
      <w:r>
        <w:instrText xml:space="preserve"> PAGEREF _Toc73358445 \h </w:instrText>
      </w:r>
      <w:r>
        <w:fldChar w:fldCharType="separate"/>
      </w:r>
      <w:r w:rsidR="0065370B">
        <w:t>41</w:t>
      </w:r>
      <w:r>
        <w:fldChar w:fldCharType="end"/>
      </w:r>
    </w:p>
    <w:p w:rsidR="00B90EAB" w:rsidRDefault="00B90EAB">
      <w:pPr>
        <w:pStyle w:val="Obsah1"/>
        <w:rPr>
          <w:b w:val="0"/>
          <w:caps w:val="0"/>
          <w:szCs w:val="24"/>
        </w:rPr>
      </w:pPr>
      <w:r>
        <w:t>8.</w:t>
      </w:r>
      <w:r>
        <w:rPr>
          <w:b w:val="0"/>
          <w:caps w:val="0"/>
          <w:szCs w:val="24"/>
        </w:rPr>
        <w:tab/>
      </w:r>
      <w:r>
        <w:t>Seznam použitých podkladů</w:t>
      </w:r>
      <w:r>
        <w:tab/>
      </w:r>
      <w:r>
        <w:fldChar w:fldCharType="begin"/>
      </w:r>
      <w:r>
        <w:instrText xml:space="preserve"> PAGEREF _Toc73358446 \h </w:instrText>
      </w:r>
      <w:r>
        <w:fldChar w:fldCharType="separate"/>
      </w:r>
      <w:r w:rsidR="0065370B">
        <w:t>43</w:t>
      </w:r>
      <w:r>
        <w:fldChar w:fldCharType="end"/>
      </w:r>
    </w:p>
    <w:p w:rsidR="00CD49EB" w:rsidRPr="00C525CD" w:rsidRDefault="00CD49EB" w:rsidP="00E00000">
      <w:pPr>
        <w:widowControl/>
        <w:tabs>
          <w:tab w:val="left" w:pos="709"/>
          <w:tab w:val="right" w:pos="9072"/>
        </w:tabs>
        <w:spacing w:before="180"/>
        <w:ind w:left="709" w:hanging="709"/>
        <w:rPr>
          <w:b/>
          <w:caps/>
          <w:sz w:val="24"/>
        </w:rPr>
      </w:pPr>
      <w:r w:rsidRPr="00C525CD">
        <w:rPr>
          <w:smallCaps/>
          <w:sz w:val="30"/>
        </w:rPr>
        <w:fldChar w:fldCharType="end"/>
      </w:r>
    </w:p>
    <w:p w:rsidR="00811618" w:rsidRPr="00C525CD" w:rsidRDefault="00811618" w:rsidP="00D17150">
      <w:pPr>
        <w:pStyle w:val="Nadpis1"/>
        <w:widowControl/>
        <w:numPr>
          <w:ilvl w:val="0"/>
          <w:numId w:val="6"/>
        </w:numPr>
        <w:tabs>
          <w:tab w:val="clear" w:pos="567"/>
        </w:tabs>
        <w:spacing w:after="0"/>
        <w:ind w:left="426" w:hanging="426"/>
      </w:pPr>
      <w:bookmarkStart w:id="1" w:name="_Toc519065567"/>
      <w:bookmarkStart w:id="2" w:name="_Toc73358416"/>
      <w:bookmarkStart w:id="3" w:name="_Toc368721765"/>
      <w:bookmarkStart w:id="4" w:name="_Toc368734410"/>
      <w:bookmarkStart w:id="5" w:name="_Toc424493362"/>
      <w:r w:rsidRPr="00C525CD">
        <w:lastRenderedPageBreak/>
        <w:t>Úvod</w:t>
      </w:r>
      <w:bookmarkEnd w:id="1"/>
      <w:bookmarkEnd w:id="2"/>
    </w:p>
    <w:p w:rsidR="0081660F" w:rsidRPr="00C525CD" w:rsidRDefault="00CE28B1" w:rsidP="0081660F">
      <w:pPr>
        <w:ind w:right="140"/>
      </w:pPr>
      <w:r w:rsidRPr="00C525CD">
        <w:t xml:space="preserve">Cílem předložené studie je posoudit vliv změny č. </w:t>
      </w:r>
      <w:r w:rsidR="00764732" w:rsidRPr="00C525CD">
        <w:t>Z 3111</w:t>
      </w:r>
      <w:r w:rsidR="008D166D" w:rsidRPr="00C525CD">
        <w:t>/</w:t>
      </w:r>
      <w:r w:rsidR="00764732" w:rsidRPr="00C525CD">
        <w:t>10</w:t>
      </w:r>
      <w:r w:rsidR="008D166D" w:rsidRPr="00C525CD">
        <w:t xml:space="preserve"> </w:t>
      </w:r>
      <w:r w:rsidRPr="00C525CD">
        <w:t xml:space="preserve"> </w:t>
      </w:r>
      <w:r w:rsidR="007E64BA" w:rsidRPr="00C525CD">
        <w:t>a úpravy č.</w:t>
      </w:r>
      <w:r w:rsidR="00266037">
        <w:t> </w:t>
      </w:r>
      <w:r w:rsidR="00764732" w:rsidRPr="00C525CD">
        <w:t>U</w:t>
      </w:r>
      <w:r w:rsidR="00266037">
        <w:t> </w:t>
      </w:r>
      <w:r w:rsidR="00764732" w:rsidRPr="00C525CD">
        <w:t>1250</w:t>
      </w:r>
      <w:r w:rsidR="007E64BA" w:rsidRPr="00C525CD">
        <w:t xml:space="preserve">/2 </w:t>
      </w:r>
      <w:r w:rsidRPr="00C525CD">
        <w:t xml:space="preserve">územního plánu sídelního útvaru hl.m. Praha </w:t>
      </w:r>
      <w:r w:rsidR="003C5BB9" w:rsidRPr="00C525CD">
        <w:t>na kvalitu ovzduší</w:t>
      </w:r>
      <w:r w:rsidRPr="00C525CD">
        <w:t>, akustickou situaci</w:t>
      </w:r>
      <w:r w:rsidR="003C5BB9" w:rsidRPr="00C525CD">
        <w:t xml:space="preserve"> a míru zdravotního rizika z expozice chemickým látkám v</w:t>
      </w:r>
      <w:r w:rsidRPr="00C525CD">
        <w:t> </w:t>
      </w:r>
      <w:r w:rsidR="003C5BB9" w:rsidRPr="00C525CD">
        <w:t>ovzduší</w:t>
      </w:r>
      <w:r w:rsidRPr="00C525CD">
        <w:t xml:space="preserve"> a </w:t>
      </w:r>
      <w:r w:rsidR="0081660F" w:rsidRPr="00C525CD">
        <w:t>z expozice hlukem.</w:t>
      </w:r>
    </w:p>
    <w:p w:rsidR="007E64BA" w:rsidRPr="00C525CD" w:rsidRDefault="007E64BA" w:rsidP="007E64BA">
      <w:pPr>
        <w:ind w:right="140"/>
      </w:pPr>
      <w:r w:rsidRPr="00C525CD">
        <w:t xml:space="preserve">Řešené území se nachází </w:t>
      </w:r>
      <w:r w:rsidR="00E26063" w:rsidRPr="00C525CD">
        <w:t>na území hl. m. Prahy, městská část Praha 12. k. ú. Komořany.</w:t>
      </w:r>
      <w:r w:rsidRPr="00C525CD">
        <w:t xml:space="preserve"> Změna č. </w:t>
      </w:r>
      <w:r w:rsidR="00764732" w:rsidRPr="00C525CD">
        <w:t>Z 3111</w:t>
      </w:r>
      <w:r w:rsidRPr="00C525CD">
        <w:t xml:space="preserve">/10 navrhuje nové zastavitelné plochy /OB-C/ na úkor </w:t>
      </w:r>
      <w:r w:rsidR="00266037" w:rsidRPr="00C525CD">
        <w:t>zastavitelné plochy /OB-</w:t>
      </w:r>
      <w:r w:rsidR="00266037">
        <w:t>A</w:t>
      </w:r>
      <w:r w:rsidR="00266037" w:rsidRPr="00C525CD">
        <w:t xml:space="preserve">/ </w:t>
      </w:r>
      <w:r w:rsidR="00266037">
        <w:t xml:space="preserve">a </w:t>
      </w:r>
      <w:r w:rsidRPr="00C525CD">
        <w:t>nezastavitelného území /NL/ a /PZO/</w:t>
      </w:r>
      <w:r w:rsidR="00266037">
        <w:t xml:space="preserve">, v celkovém </w:t>
      </w:r>
      <w:r w:rsidRPr="00C525CD">
        <w:t xml:space="preserve">rozsahu </w:t>
      </w:r>
      <w:r w:rsidR="00266037">
        <w:t>87 753</w:t>
      </w:r>
      <w:r w:rsidRPr="00C525CD">
        <w:t xml:space="preserve"> m</w:t>
      </w:r>
      <w:r w:rsidRPr="00C525CD">
        <w:rPr>
          <w:vertAlign w:val="superscript"/>
        </w:rPr>
        <w:t>2</w:t>
      </w:r>
      <w:r w:rsidRPr="00C525CD">
        <w:t xml:space="preserve">. Úprava č. </w:t>
      </w:r>
      <w:r w:rsidR="00764732" w:rsidRPr="00C525CD">
        <w:t>U 1250</w:t>
      </w:r>
      <w:r w:rsidRPr="00C525CD">
        <w:t xml:space="preserve">/2 se nachází v části území vymezeného pro změnu č. </w:t>
      </w:r>
      <w:r w:rsidR="00764732" w:rsidRPr="00C525CD">
        <w:t>Z </w:t>
      </w:r>
      <w:r w:rsidRPr="00C525CD">
        <w:t xml:space="preserve">3111/10, a to v rozsahu </w:t>
      </w:r>
      <w:r w:rsidR="00266037">
        <w:t xml:space="preserve">29 726 </w:t>
      </w:r>
      <w:r w:rsidRPr="00C525CD">
        <w:t>m</w:t>
      </w:r>
      <w:r w:rsidRPr="00C525CD">
        <w:rPr>
          <w:vertAlign w:val="superscript"/>
        </w:rPr>
        <w:t>2</w:t>
      </w:r>
      <w:r w:rsidRPr="00C525CD">
        <w:t xml:space="preserve">. Úprava představuje alternativu změny č. </w:t>
      </w:r>
      <w:r w:rsidR="00764732" w:rsidRPr="00C525CD">
        <w:t>Z </w:t>
      </w:r>
      <w:r w:rsidRPr="00C525CD">
        <w:t>3111/10 a týká se funkční plochy /OB/, u níž navyšuje míru využití území z kódu „A“ na kód „C“.</w:t>
      </w:r>
    </w:p>
    <w:p w:rsidR="00811618" w:rsidRPr="00C525CD" w:rsidRDefault="00811618" w:rsidP="00811618">
      <w:r w:rsidRPr="00C525CD">
        <w:t>Předložené posouzení je zpracováno pro potřeby vyhodnocení vliv</w:t>
      </w:r>
      <w:r w:rsidR="003C5BB9" w:rsidRPr="00C525CD">
        <w:t>ů</w:t>
      </w:r>
      <w:r w:rsidRPr="00C525CD">
        <w:t xml:space="preserve"> na udržitelný rozvoj území. Svým významem by mělo sloužit především k potřebám strategického plánování v předmětných územích. </w:t>
      </w:r>
    </w:p>
    <w:p w:rsidR="00CE28B1" w:rsidRPr="00C525CD" w:rsidRDefault="00CE28B1" w:rsidP="00CE28B1">
      <w:pPr>
        <w:widowControl/>
      </w:pPr>
      <w:r w:rsidRPr="00C525CD">
        <w:t xml:space="preserve">Ve studii je porovnávána očekávaná </w:t>
      </w:r>
      <w:r w:rsidR="00D17150" w:rsidRPr="00C525CD">
        <w:t xml:space="preserve">situace </w:t>
      </w:r>
      <w:r w:rsidRPr="00C525CD">
        <w:t>pro výhledové období ÚP hl. m. Prahy pro stav bez navrhované změny</w:t>
      </w:r>
      <w:r w:rsidR="008D166D" w:rsidRPr="00C525CD">
        <w:t xml:space="preserve"> </w:t>
      </w:r>
      <w:r w:rsidRPr="00C525CD">
        <w:t>a po jejím odsouhlasení. Vyhodnocení proběhlo na základě podkladového dopravního mo</w:t>
      </w:r>
      <w:r w:rsidR="00D17150" w:rsidRPr="00C525CD">
        <w:t>delu, který zpracoval IPR Praha.</w:t>
      </w:r>
    </w:p>
    <w:p w:rsidR="00CE28B1" w:rsidRPr="00C525CD" w:rsidRDefault="00CE28B1" w:rsidP="00811618"/>
    <w:p w:rsidR="00CE28B1" w:rsidRPr="00C525CD" w:rsidRDefault="00CE28B1" w:rsidP="00811618"/>
    <w:p w:rsidR="007B5871" w:rsidRPr="00C525CD" w:rsidRDefault="007B5871" w:rsidP="007B5871">
      <w:pPr>
        <w:pStyle w:val="Nadpis1"/>
        <w:widowControl/>
        <w:numPr>
          <w:ilvl w:val="0"/>
          <w:numId w:val="6"/>
        </w:numPr>
        <w:tabs>
          <w:tab w:val="clear" w:pos="567"/>
        </w:tabs>
        <w:spacing w:after="0"/>
        <w:ind w:left="426" w:hanging="426"/>
      </w:pPr>
      <w:bookmarkStart w:id="6" w:name="_Toc73358417"/>
      <w:r w:rsidRPr="00C525CD">
        <w:lastRenderedPageBreak/>
        <w:t xml:space="preserve">VSTUPNÍ </w:t>
      </w:r>
      <w:r w:rsidR="00D17150" w:rsidRPr="00C525CD">
        <w:t>dopravní data</w:t>
      </w:r>
      <w:bookmarkEnd w:id="6"/>
    </w:p>
    <w:p w:rsidR="003059E3" w:rsidRPr="00C525CD" w:rsidRDefault="003059E3" w:rsidP="007B5871">
      <w:pPr>
        <w:widowControl/>
      </w:pPr>
      <w:r w:rsidRPr="00C525CD">
        <w:t xml:space="preserve">Podkladem pro vyhodnocení </w:t>
      </w:r>
      <w:r w:rsidR="007E64BA" w:rsidRPr="00C525CD">
        <w:t xml:space="preserve">změny </w:t>
      </w:r>
      <w:r w:rsidR="00764732" w:rsidRPr="00C525CD">
        <w:t>č. Z 3111/</w:t>
      </w:r>
      <w:r w:rsidR="007E64BA" w:rsidRPr="00C525CD">
        <w:t xml:space="preserve">10 </w:t>
      </w:r>
      <w:r w:rsidRPr="00C525CD">
        <w:t>je dopravní model, zpracovaný IPR Praha pro výhledové období ÚP hl. m. Prahy</w:t>
      </w:r>
      <w:r w:rsidR="007F1650" w:rsidRPr="00C525CD">
        <w:t xml:space="preserve"> [28]</w:t>
      </w:r>
      <w:r w:rsidRPr="00C525CD">
        <w:t xml:space="preserve">. </w:t>
      </w:r>
      <w:r w:rsidR="007B5871" w:rsidRPr="00C525CD">
        <w:t xml:space="preserve">Výchozí dopravní zatížení </w:t>
      </w:r>
      <w:r w:rsidRPr="00C525CD">
        <w:t xml:space="preserve">dle platného </w:t>
      </w:r>
      <w:r w:rsidR="007B5871" w:rsidRPr="00C525CD">
        <w:t xml:space="preserve">ÚP hl. m. Prahy ukazuje schéma </w:t>
      </w:r>
      <w:r w:rsidR="005F5511" w:rsidRPr="00C525CD">
        <w:t>1</w:t>
      </w:r>
      <w:r w:rsidRPr="00C525CD">
        <w:t>, předpokládaná četnost autobusů MHD je uvedena na schématu č. 2. Stav po odsouhlasení změny zobrazuje schéma 3, rozdílové intenzity dopravy poté schéma 4.</w:t>
      </w:r>
    </w:p>
    <w:p w:rsidR="007E64BA" w:rsidRPr="00C525CD" w:rsidRDefault="007E64BA" w:rsidP="007E64BA">
      <w:pPr>
        <w:ind w:right="140"/>
      </w:pPr>
      <w:r w:rsidRPr="00C525CD">
        <w:t xml:space="preserve">Pro vliv úpravy </w:t>
      </w:r>
      <w:r w:rsidR="00764732" w:rsidRPr="00C525CD">
        <w:t>U 1250</w:t>
      </w:r>
      <w:r w:rsidRPr="00C525CD">
        <w:t xml:space="preserve">/2 lze dle podkladů IPR Praha obdobné rozložení změn v dopravním zatížení, jako v případě změny č. </w:t>
      </w:r>
      <w:r w:rsidR="00764732" w:rsidRPr="00C525CD">
        <w:t>Z 3111</w:t>
      </w:r>
      <w:r w:rsidRPr="00C525CD">
        <w:t xml:space="preserve">/10 (schéma 4) s tím, že úprava č. </w:t>
      </w:r>
      <w:r w:rsidR="00764732" w:rsidRPr="00C525CD">
        <w:t xml:space="preserve">U </w:t>
      </w:r>
      <w:r w:rsidRPr="00C525CD">
        <w:t xml:space="preserve">1250/2 generuje oproti změně </w:t>
      </w:r>
      <w:r w:rsidR="00764732" w:rsidRPr="00C525CD">
        <w:t>Z 3111</w:t>
      </w:r>
      <w:r w:rsidRPr="00C525CD">
        <w:t xml:space="preserve">/10 přibližně třetinu objemu vyvolané dopravy. </w:t>
      </w:r>
    </w:p>
    <w:p w:rsidR="003059E3" w:rsidRPr="00C525CD" w:rsidRDefault="003059E3" w:rsidP="003059E3">
      <w:pPr>
        <w:widowControl/>
      </w:pPr>
      <w:r w:rsidRPr="00C525CD">
        <w:t>Podíl noční dopravy na hodnocených komunikacích byl zadán dle podkladů TSK hl. m. Prahy, které uvádí tabulka 2.1.</w:t>
      </w:r>
    </w:p>
    <w:p w:rsidR="003059E3" w:rsidRPr="00C525CD" w:rsidRDefault="003059E3" w:rsidP="003059E3">
      <w:pPr>
        <w:keepNext/>
        <w:keepLines/>
        <w:spacing w:after="60"/>
        <w:ind w:left="992" w:hanging="992"/>
        <w:jc w:val="left"/>
        <w:rPr>
          <w:b/>
          <w:sz w:val="24"/>
        </w:rPr>
      </w:pPr>
      <w:r w:rsidRPr="00C525CD">
        <w:rPr>
          <w:b/>
          <w:sz w:val="24"/>
        </w:rPr>
        <w:t>Tab. 2.1. Podíl noční dopravy na posuzovaných profilech</w:t>
      </w:r>
    </w:p>
    <w:tbl>
      <w:tblPr>
        <w:tblW w:w="5000"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85" w:type="dxa"/>
          <w:right w:w="85" w:type="dxa"/>
        </w:tblCellMar>
        <w:tblLook w:val="0000" w:firstRow="0" w:lastRow="0" w:firstColumn="0" w:lastColumn="0" w:noHBand="0" w:noVBand="0"/>
      </w:tblPr>
      <w:tblGrid>
        <w:gridCol w:w="3141"/>
        <w:gridCol w:w="2942"/>
        <w:gridCol w:w="2943"/>
      </w:tblGrid>
      <w:tr w:rsidR="00751912" w:rsidRPr="00C525CD" w:rsidTr="00D72CC3">
        <w:trPr>
          <w:cantSplit/>
          <w:trHeight w:val="252"/>
          <w:tblHeader/>
        </w:trPr>
        <w:tc>
          <w:tcPr>
            <w:tcW w:w="0" w:type="auto"/>
            <w:vMerge w:val="restart"/>
            <w:tcBorders>
              <w:right w:val="single" w:sz="12"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left"/>
              <w:rPr>
                <w:b/>
                <w:bCs/>
                <w:sz w:val="20"/>
              </w:rPr>
            </w:pPr>
            <w:r w:rsidRPr="00C525CD">
              <w:rPr>
                <w:b/>
                <w:bCs/>
                <w:sz w:val="20"/>
              </w:rPr>
              <w:t>Silniční úsek, vymezení</w:t>
            </w:r>
          </w:p>
        </w:tc>
        <w:tc>
          <w:tcPr>
            <w:tcW w:w="2942" w:type="dxa"/>
            <w:vMerge w:val="restart"/>
            <w:tcBorders>
              <w:left w:val="single" w:sz="12" w:space="0" w:color="auto"/>
              <w:right w:val="single" w:sz="4"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center"/>
              <w:rPr>
                <w:b/>
                <w:bCs/>
                <w:sz w:val="20"/>
              </w:rPr>
            </w:pPr>
            <w:r w:rsidRPr="00C525CD">
              <w:rPr>
                <w:b/>
                <w:bCs/>
                <w:sz w:val="20"/>
              </w:rPr>
              <w:t>Podíl noční  dopravy</w:t>
            </w:r>
          </w:p>
          <w:p w:rsidR="00751912" w:rsidRPr="00C525CD" w:rsidRDefault="00751912" w:rsidP="00D72CC3">
            <w:pPr>
              <w:widowControl/>
              <w:suppressAutoHyphens/>
              <w:spacing w:before="20" w:after="20" w:line="240" w:lineRule="auto"/>
              <w:ind w:firstLine="0"/>
              <w:jc w:val="center"/>
              <w:rPr>
                <w:b/>
                <w:bCs/>
                <w:sz w:val="20"/>
              </w:rPr>
            </w:pPr>
            <w:r w:rsidRPr="00C525CD">
              <w:rPr>
                <w:b/>
                <w:bCs/>
                <w:sz w:val="20"/>
              </w:rPr>
              <w:t>všech vozidel</w:t>
            </w:r>
          </w:p>
        </w:tc>
        <w:tc>
          <w:tcPr>
            <w:tcW w:w="2943" w:type="dxa"/>
            <w:vMerge w:val="restart"/>
            <w:tcBorders>
              <w:left w:val="single" w:sz="4" w:space="0" w:color="auto"/>
              <w:right w:val="single" w:sz="18" w:space="0" w:color="auto"/>
            </w:tcBorders>
            <w:shd w:val="clear" w:color="auto" w:fill="auto"/>
            <w:vAlign w:val="center"/>
          </w:tcPr>
          <w:p w:rsidR="00751912" w:rsidRPr="00C525CD" w:rsidRDefault="00751912" w:rsidP="00D72CC3">
            <w:pPr>
              <w:widowControl/>
              <w:suppressAutoHyphens/>
              <w:spacing w:before="20" w:after="20" w:line="240" w:lineRule="auto"/>
              <w:ind w:firstLine="0"/>
              <w:jc w:val="center"/>
              <w:rPr>
                <w:b/>
                <w:bCs/>
                <w:sz w:val="20"/>
              </w:rPr>
            </w:pPr>
            <w:r w:rsidRPr="00C525CD">
              <w:rPr>
                <w:b/>
                <w:bCs/>
                <w:sz w:val="20"/>
              </w:rPr>
              <w:t>Podíl noční dopravy</w:t>
            </w:r>
          </w:p>
          <w:p w:rsidR="00751912" w:rsidRPr="00C525CD" w:rsidRDefault="00751912" w:rsidP="00D72CC3">
            <w:pPr>
              <w:widowControl/>
              <w:suppressAutoHyphens/>
              <w:spacing w:before="20" w:after="20" w:line="240" w:lineRule="auto"/>
              <w:ind w:firstLine="0"/>
              <w:jc w:val="center"/>
              <w:rPr>
                <w:b/>
                <w:bCs/>
                <w:sz w:val="20"/>
              </w:rPr>
            </w:pPr>
            <w:r w:rsidRPr="00C525CD">
              <w:rPr>
                <w:b/>
                <w:bCs/>
                <w:sz w:val="20"/>
              </w:rPr>
              <w:t>nákladních vozidel</w:t>
            </w:r>
          </w:p>
        </w:tc>
      </w:tr>
      <w:tr w:rsidR="00751912" w:rsidRPr="00C525CD" w:rsidTr="00D72CC3">
        <w:trPr>
          <w:cantSplit/>
          <w:trHeight w:val="271"/>
          <w:tblHeader/>
        </w:trPr>
        <w:tc>
          <w:tcPr>
            <w:tcW w:w="0" w:type="auto"/>
            <w:vMerge/>
            <w:tcBorders>
              <w:bottom w:val="single" w:sz="12" w:space="0" w:color="auto"/>
              <w:right w:val="single" w:sz="12"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left"/>
              <w:rPr>
                <w:b/>
                <w:bCs/>
                <w:sz w:val="20"/>
              </w:rPr>
            </w:pPr>
          </w:p>
        </w:tc>
        <w:tc>
          <w:tcPr>
            <w:tcW w:w="2942" w:type="dxa"/>
            <w:vMerge/>
            <w:tcBorders>
              <w:left w:val="single" w:sz="12" w:space="0" w:color="auto"/>
              <w:bottom w:val="single" w:sz="12" w:space="0" w:color="auto"/>
              <w:right w:val="single" w:sz="4"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center"/>
              <w:rPr>
                <w:b/>
                <w:bCs/>
                <w:sz w:val="20"/>
              </w:rPr>
            </w:pPr>
          </w:p>
        </w:tc>
        <w:tc>
          <w:tcPr>
            <w:tcW w:w="2943" w:type="dxa"/>
            <w:vMerge/>
            <w:tcBorders>
              <w:left w:val="single" w:sz="4" w:space="0" w:color="auto"/>
              <w:bottom w:val="single" w:sz="12" w:space="0" w:color="auto"/>
              <w:right w:val="single" w:sz="18" w:space="0" w:color="auto"/>
            </w:tcBorders>
            <w:shd w:val="clear" w:color="auto" w:fill="auto"/>
            <w:vAlign w:val="center"/>
          </w:tcPr>
          <w:p w:rsidR="00751912" w:rsidRPr="00C525CD" w:rsidRDefault="00751912" w:rsidP="00D72CC3">
            <w:pPr>
              <w:widowControl/>
              <w:suppressAutoHyphens/>
              <w:spacing w:before="20" w:after="20" w:line="240" w:lineRule="auto"/>
              <w:ind w:firstLine="0"/>
              <w:jc w:val="center"/>
              <w:rPr>
                <w:b/>
                <w:bCs/>
                <w:sz w:val="20"/>
              </w:rPr>
            </w:pPr>
          </w:p>
        </w:tc>
      </w:tr>
      <w:tr w:rsidR="00751912" w:rsidRPr="00C525CD" w:rsidTr="00D72CC3">
        <w:trPr>
          <w:cantSplit/>
        </w:trPr>
        <w:tc>
          <w:tcPr>
            <w:tcW w:w="0" w:type="auto"/>
            <w:tcBorders>
              <w:top w:val="single" w:sz="12" w:space="0" w:color="auto"/>
              <w:right w:val="single" w:sz="12" w:space="0" w:color="auto"/>
            </w:tcBorders>
            <w:shd w:val="clear" w:color="auto" w:fill="auto"/>
            <w:noWrap/>
            <w:vAlign w:val="center"/>
          </w:tcPr>
          <w:p w:rsidR="00751912" w:rsidRPr="00C525CD" w:rsidRDefault="00751912" w:rsidP="00D72CC3">
            <w:pPr>
              <w:widowControl/>
              <w:suppressAutoHyphens/>
              <w:autoSpaceDE w:val="0"/>
              <w:autoSpaceDN w:val="0"/>
              <w:adjustRightInd w:val="0"/>
              <w:spacing w:before="20" w:after="20" w:line="240" w:lineRule="auto"/>
              <w:ind w:firstLine="0"/>
              <w:jc w:val="left"/>
              <w:rPr>
                <w:sz w:val="20"/>
              </w:rPr>
            </w:pPr>
            <w:r w:rsidRPr="00C525CD">
              <w:rPr>
                <w:sz w:val="20"/>
              </w:rPr>
              <w:t>Komořanská</w:t>
            </w:r>
          </w:p>
        </w:tc>
        <w:tc>
          <w:tcPr>
            <w:tcW w:w="2942" w:type="dxa"/>
            <w:tcBorders>
              <w:top w:val="single" w:sz="12" w:space="0" w:color="auto"/>
              <w:left w:val="single" w:sz="12" w:space="0" w:color="auto"/>
              <w:right w:val="single" w:sz="4"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5 %</w:t>
            </w:r>
          </w:p>
        </w:tc>
        <w:tc>
          <w:tcPr>
            <w:tcW w:w="2943" w:type="dxa"/>
            <w:tcBorders>
              <w:top w:val="single" w:sz="12" w:space="0" w:color="auto"/>
              <w:left w:val="single" w:sz="4" w:space="0" w:color="auto"/>
              <w:right w:val="single" w:sz="18" w:space="0" w:color="auto"/>
            </w:tcBorders>
            <w:shd w:val="clear" w:color="auto" w:fill="auto"/>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7 %</w:t>
            </w:r>
          </w:p>
        </w:tc>
      </w:tr>
      <w:tr w:rsidR="00751912" w:rsidRPr="00C525CD" w:rsidTr="00D72CC3">
        <w:trPr>
          <w:cantSplit/>
        </w:trPr>
        <w:tc>
          <w:tcPr>
            <w:tcW w:w="0" w:type="auto"/>
            <w:tcBorders>
              <w:right w:val="single" w:sz="12" w:space="0" w:color="auto"/>
            </w:tcBorders>
            <w:shd w:val="clear" w:color="auto" w:fill="auto"/>
            <w:noWrap/>
            <w:vAlign w:val="center"/>
          </w:tcPr>
          <w:p w:rsidR="00751912" w:rsidRPr="00C525CD" w:rsidRDefault="00751912" w:rsidP="00D72CC3">
            <w:pPr>
              <w:widowControl/>
              <w:suppressAutoHyphens/>
              <w:autoSpaceDE w:val="0"/>
              <w:autoSpaceDN w:val="0"/>
              <w:adjustRightInd w:val="0"/>
              <w:spacing w:before="20" w:after="20" w:line="240" w:lineRule="auto"/>
              <w:ind w:firstLine="0"/>
              <w:jc w:val="left"/>
              <w:rPr>
                <w:sz w:val="20"/>
              </w:rPr>
            </w:pPr>
            <w:r w:rsidRPr="00C525CD">
              <w:rPr>
                <w:sz w:val="20"/>
              </w:rPr>
              <w:t>Nová Komořanská (KOMOKO)</w:t>
            </w:r>
          </w:p>
        </w:tc>
        <w:tc>
          <w:tcPr>
            <w:tcW w:w="2942" w:type="dxa"/>
            <w:tcBorders>
              <w:left w:val="single" w:sz="12" w:space="0" w:color="auto"/>
              <w:right w:val="single" w:sz="4"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7 %</w:t>
            </w:r>
          </w:p>
        </w:tc>
        <w:tc>
          <w:tcPr>
            <w:tcW w:w="2943" w:type="dxa"/>
            <w:tcBorders>
              <w:left w:val="single" w:sz="4" w:space="0" w:color="auto"/>
              <w:right w:val="single" w:sz="18" w:space="0" w:color="auto"/>
            </w:tcBorders>
            <w:shd w:val="clear" w:color="auto" w:fill="auto"/>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10 %</w:t>
            </w:r>
          </w:p>
        </w:tc>
      </w:tr>
      <w:tr w:rsidR="00751912" w:rsidRPr="00C525CD" w:rsidTr="00D72CC3">
        <w:trPr>
          <w:cantSplit/>
        </w:trPr>
        <w:tc>
          <w:tcPr>
            <w:tcW w:w="0" w:type="auto"/>
            <w:tcBorders>
              <w:right w:val="single" w:sz="12" w:space="0" w:color="auto"/>
            </w:tcBorders>
            <w:shd w:val="clear" w:color="auto" w:fill="auto"/>
            <w:noWrap/>
            <w:vAlign w:val="center"/>
          </w:tcPr>
          <w:p w:rsidR="00751912" w:rsidRPr="00C525CD" w:rsidRDefault="00751912" w:rsidP="00D72CC3">
            <w:pPr>
              <w:widowControl/>
              <w:suppressAutoHyphens/>
              <w:autoSpaceDE w:val="0"/>
              <w:autoSpaceDN w:val="0"/>
              <w:adjustRightInd w:val="0"/>
              <w:spacing w:before="20" w:after="20" w:line="240" w:lineRule="auto"/>
              <w:ind w:firstLine="0"/>
              <w:jc w:val="left"/>
              <w:rPr>
                <w:sz w:val="20"/>
              </w:rPr>
            </w:pPr>
            <w:r w:rsidRPr="00C525CD">
              <w:rPr>
                <w:sz w:val="20"/>
              </w:rPr>
              <w:t>SOKP</w:t>
            </w:r>
          </w:p>
        </w:tc>
        <w:tc>
          <w:tcPr>
            <w:tcW w:w="2942" w:type="dxa"/>
            <w:tcBorders>
              <w:left w:val="single" w:sz="12" w:space="0" w:color="auto"/>
              <w:right w:val="single" w:sz="4" w:space="0" w:color="auto"/>
            </w:tcBorders>
            <w:shd w:val="clear" w:color="auto" w:fill="auto"/>
            <w:noWrap/>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10 %</w:t>
            </w:r>
          </w:p>
        </w:tc>
        <w:tc>
          <w:tcPr>
            <w:tcW w:w="2943" w:type="dxa"/>
            <w:tcBorders>
              <w:left w:val="single" w:sz="4" w:space="0" w:color="auto"/>
              <w:right w:val="single" w:sz="18" w:space="0" w:color="auto"/>
            </w:tcBorders>
            <w:shd w:val="clear" w:color="auto" w:fill="auto"/>
            <w:vAlign w:val="center"/>
          </w:tcPr>
          <w:p w:rsidR="00751912" w:rsidRPr="00C525CD" w:rsidRDefault="00751912" w:rsidP="00D72CC3">
            <w:pPr>
              <w:widowControl/>
              <w:suppressAutoHyphens/>
              <w:spacing w:before="20" w:after="20" w:line="240" w:lineRule="auto"/>
              <w:ind w:firstLine="0"/>
              <w:jc w:val="center"/>
              <w:rPr>
                <w:sz w:val="20"/>
              </w:rPr>
            </w:pPr>
            <w:r w:rsidRPr="00C525CD">
              <w:rPr>
                <w:sz w:val="20"/>
              </w:rPr>
              <w:t>19 %</w:t>
            </w:r>
          </w:p>
        </w:tc>
      </w:tr>
    </w:tbl>
    <w:p w:rsidR="003059E3" w:rsidRPr="00C525CD" w:rsidRDefault="003059E3" w:rsidP="00927965"/>
    <w:p w:rsidR="00751912" w:rsidRPr="00C525CD" w:rsidRDefault="00751912" w:rsidP="00751912">
      <w:pPr>
        <w:keepNext/>
        <w:keepLines/>
        <w:pageBreakBefore/>
        <w:widowControl/>
        <w:spacing w:before="0"/>
        <w:ind w:left="992" w:hanging="992"/>
        <w:jc w:val="left"/>
        <w:rPr>
          <w:b/>
          <w:sz w:val="24"/>
        </w:rPr>
      </w:pPr>
      <w:r w:rsidRPr="00C525CD">
        <w:rPr>
          <w:b/>
          <w:sz w:val="24"/>
        </w:rPr>
        <w:lastRenderedPageBreak/>
        <w:t>Schéma 1. Dopravní zatížení oblasti pro výhledový horizont ÚPn, výchozí stav</w:t>
      </w:r>
    </w:p>
    <w:p w:rsidR="00751912" w:rsidRPr="00C525CD" w:rsidRDefault="00D940AE" w:rsidP="00751912">
      <w:pPr>
        <w:widowControl/>
        <w:spacing w:before="0"/>
        <w:ind w:firstLine="0"/>
      </w:pPr>
      <w:r w:rsidRPr="00C525CD">
        <w:rPr>
          <w:noProof/>
        </w:rPr>
        <w:drawing>
          <wp:inline distT="0" distB="0" distL="0" distR="0">
            <wp:extent cx="5615940" cy="3764280"/>
            <wp:effectExtent l="0" t="0" r="381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15940" cy="3764280"/>
                    </a:xfrm>
                    <a:prstGeom prst="rect">
                      <a:avLst/>
                    </a:prstGeom>
                    <a:noFill/>
                    <a:ln>
                      <a:noFill/>
                    </a:ln>
                  </pic:spPr>
                </pic:pic>
              </a:graphicData>
            </a:graphic>
          </wp:inline>
        </w:drawing>
      </w:r>
    </w:p>
    <w:p w:rsidR="00751912" w:rsidRPr="00C525CD" w:rsidRDefault="00751912" w:rsidP="00751912">
      <w:pPr>
        <w:keepNext/>
        <w:keepLines/>
        <w:widowControl/>
        <w:spacing w:before="240"/>
        <w:ind w:left="992" w:hanging="992"/>
        <w:jc w:val="left"/>
        <w:rPr>
          <w:b/>
          <w:sz w:val="24"/>
        </w:rPr>
      </w:pPr>
      <w:r w:rsidRPr="00C525CD">
        <w:rPr>
          <w:b/>
          <w:sz w:val="24"/>
        </w:rPr>
        <w:t>Schéma 2. Počet linek MHD pro výhledový horizont ÚPn</w:t>
      </w:r>
    </w:p>
    <w:p w:rsidR="00751912" w:rsidRPr="00C525CD" w:rsidRDefault="00D940AE" w:rsidP="00751912">
      <w:pPr>
        <w:widowControl/>
        <w:spacing w:before="0"/>
        <w:ind w:firstLine="0"/>
      </w:pPr>
      <w:r w:rsidRPr="00C525CD">
        <w:rPr>
          <w:noProof/>
        </w:rPr>
        <w:drawing>
          <wp:inline distT="0" distB="0" distL="0" distR="0">
            <wp:extent cx="5615940" cy="3863340"/>
            <wp:effectExtent l="0" t="0" r="381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5940" cy="3863340"/>
                    </a:xfrm>
                    <a:prstGeom prst="rect">
                      <a:avLst/>
                    </a:prstGeom>
                    <a:noFill/>
                    <a:ln>
                      <a:noFill/>
                    </a:ln>
                  </pic:spPr>
                </pic:pic>
              </a:graphicData>
            </a:graphic>
          </wp:inline>
        </w:drawing>
      </w:r>
    </w:p>
    <w:p w:rsidR="00751912" w:rsidRPr="00C525CD" w:rsidRDefault="00751912" w:rsidP="00751912">
      <w:pPr>
        <w:keepNext/>
        <w:keepLines/>
        <w:widowControl/>
        <w:spacing w:before="0"/>
        <w:ind w:firstLine="0"/>
        <w:jc w:val="left"/>
        <w:rPr>
          <w:b/>
          <w:sz w:val="24"/>
        </w:rPr>
      </w:pPr>
      <w:r w:rsidRPr="00C525CD">
        <w:rPr>
          <w:b/>
          <w:bCs/>
          <w:sz w:val="24"/>
          <w:szCs w:val="26"/>
        </w:rPr>
        <w:lastRenderedPageBreak/>
        <w:t xml:space="preserve">Schéma 3. </w:t>
      </w:r>
      <w:r w:rsidRPr="00C525CD">
        <w:rPr>
          <w:b/>
          <w:sz w:val="24"/>
        </w:rPr>
        <w:t>Dopravní zatížení oblasti pro výhledový horizont ÚPn, stav po změně</w:t>
      </w:r>
    </w:p>
    <w:p w:rsidR="00751912" w:rsidRPr="00C525CD" w:rsidRDefault="00D940AE" w:rsidP="00751912">
      <w:pPr>
        <w:keepNext/>
        <w:keepLines/>
        <w:widowControl/>
        <w:spacing w:before="0"/>
        <w:ind w:firstLine="0"/>
        <w:jc w:val="left"/>
        <w:rPr>
          <w:b/>
          <w:bCs/>
          <w:sz w:val="24"/>
          <w:szCs w:val="26"/>
        </w:rPr>
      </w:pPr>
      <w:r w:rsidRPr="00C525CD">
        <w:rPr>
          <w:b/>
          <w:bCs/>
          <w:noProof/>
          <w:sz w:val="24"/>
          <w:szCs w:val="26"/>
        </w:rPr>
        <w:drawing>
          <wp:inline distT="0" distB="0" distL="0" distR="0">
            <wp:extent cx="5615940" cy="381000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940" cy="3810000"/>
                    </a:xfrm>
                    <a:prstGeom prst="rect">
                      <a:avLst/>
                    </a:prstGeom>
                    <a:noFill/>
                    <a:ln>
                      <a:noFill/>
                    </a:ln>
                  </pic:spPr>
                </pic:pic>
              </a:graphicData>
            </a:graphic>
          </wp:inline>
        </w:drawing>
      </w:r>
    </w:p>
    <w:p w:rsidR="00751912" w:rsidRPr="00C525CD" w:rsidRDefault="00751912" w:rsidP="00751912">
      <w:pPr>
        <w:keepNext/>
        <w:keepLines/>
        <w:widowControl/>
        <w:spacing w:before="240"/>
        <w:ind w:firstLine="0"/>
        <w:jc w:val="left"/>
        <w:rPr>
          <w:b/>
          <w:sz w:val="24"/>
        </w:rPr>
      </w:pPr>
      <w:r w:rsidRPr="00C525CD">
        <w:rPr>
          <w:b/>
          <w:bCs/>
          <w:sz w:val="24"/>
          <w:szCs w:val="26"/>
        </w:rPr>
        <w:t xml:space="preserve">Schéma 4. </w:t>
      </w:r>
      <w:r w:rsidRPr="00C525CD">
        <w:rPr>
          <w:b/>
          <w:sz w:val="24"/>
        </w:rPr>
        <w:t>Dopravní zatížení oblasti pro výhledový horizont ÚPn, rozdílové intenzity</w:t>
      </w:r>
    </w:p>
    <w:p w:rsidR="00751912" w:rsidRPr="00C525CD" w:rsidRDefault="00D940AE" w:rsidP="00751912">
      <w:pPr>
        <w:keepNext/>
        <w:keepLines/>
        <w:widowControl/>
        <w:spacing w:before="0"/>
        <w:ind w:firstLine="0"/>
        <w:jc w:val="left"/>
        <w:rPr>
          <w:b/>
          <w:sz w:val="24"/>
        </w:rPr>
      </w:pPr>
      <w:r w:rsidRPr="00C525CD">
        <w:rPr>
          <w:b/>
          <w:noProof/>
          <w:sz w:val="24"/>
        </w:rPr>
        <w:drawing>
          <wp:inline distT="0" distB="0" distL="0" distR="0">
            <wp:extent cx="5615940" cy="3810000"/>
            <wp:effectExtent l="0" t="0" r="381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5940" cy="3810000"/>
                    </a:xfrm>
                    <a:prstGeom prst="rect">
                      <a:avLst/>
                    </a:prstGeom>
                    <a:noFill/>
                    <a:ln>
                      <a:noFill/>
                    </a:ln>
                  </pic:spPr>
                </pic:pic>
              </a:graphicData>
            </a:graphic>
          </wp:inline>
        </w:drawing>
      </w:r>
    </w:p>
    <w:p w:rsidR="00927965" w:rsidRPr="00C525CD" w:rsidRDefault="00927965" w:rsidP="00927965">
      <w:pPr>
        <w:pStyle w:val="Nadpis1"/>
        <w:widowControl/>
        <w:numPr>
          <w:ilvl w:val="0"/>
          <w:numId w:val="6"/>
        </w:numPr>
        <w:tabs>
          <w:tab w:val="clear" w:pos="567"/>
        </w:tabs>
        <w:spacing w:after="0"/>
        <w:ind w:left="426" w:hanging="426"/>
      </w:pPr>
      <w:bookmarkStart w:id="7" w:name="_Toc59530263"/>
      <w:bookmarkStart w:id="8" w:name="_Toc73358418"/>
      <w:r w:rsidRPr="00C525CD">
        <w:lastRenderedPageBreak/>
        <w:t>CHArakteristika obytné zástavby v okolí záměru</w:t>
      </w:r>
      <w:bookmarkEnd w:id="7"/>
      <w:bookmarkEnd w:id="8"/>
      <w:r w:rsidRPr="00C525CD">
        <w:t xml:space="preserve"> </w:t>
      </w:r>
    </w:p>
    <w:p w:rsidR="00927965" w:rsidRPr="00C525CD" w:rsidRDefault="00927965" w:rsidP="00927965">
      <w:pPr>
        <w:rPr>
          <w:spacing w:val="-4"/>
          <w:szCs w:val="26"/>
        </w:rPr>
      </w:pPr>
      <w:r w:rsidRPr="00C525CD">
        <w:rPr>
          <w:spacing w:val="-4"/>
          <w:szCs w:val="26"/>
        </w:rPr>
        <w:t>Stávající i výhledovou obytnou zástavbu v bezprostřední blízkosti posuzovan</w:t>
      </w:r>
      <w:r w:rsidR="00451717" w:rsidRPr="00C525CD">
        <w:rPr>
          <w:spacing w:val="-4"/>
          <w:szCs w:val="26"/>
        </w:rPr>
        <w:t>ých</w:t>
      </w:r>
      <w:r w:rsidRPr="00C525CD">
        <w:rPr>
          <w:spacing w:val="-4"/>
          <w:szCs w:val="26"/>
        </w:rPr>
        <w:t xml:space="preserve"> ploch reprezentují objekty </w:t>
      </w:r>
      <w:r w:rsidR="00451717" w:rsidRPr="00C525CD">
        <w:rPr>
          <w:spacing w:val="-4"/>
          <w:szCs w:val="26"/>
        </w:rPr>
        <w:t>zejména v oblasti ulice Komořanská</w:t>
      </w:r>
      <w:r w:rsidRPr="00C525CD">
        <w:rPr>
          <w:spacing w:val="-4"/>
          <w:szCs w:val="26"/>
        </w:rPr>
        <w:t xml:space="preserve">. Počet obyvatel dotčených nárůstem </w:t>
      </w:r>
      <w:r w:rsidR="00451717" w:rsidRPr="00C525CD">
        <w:rPr>
          <w:spacing w:val="-4"/>
          <w:szCs w:val="26"/>
        </w:rPr>
        <w:t xml:space="preserve">nejvyšší úrovně </w:t>
      </w:r>
      <w:r w:rsidRPr="00C525CD">
        <w:rPr>
          <w:spacing w:val="-4"/>
          <w:szCs w:val="26"/>
        </w:rPr>
        <w:t xml:space="preserve">imisní a hlukové zátěže se dá předpokládat v řádu </w:t>
      </w:r>
      <w:r w:rsidR="00451717" w:rsidRPr="00C525CD">
        <w:rPr>
          <w:spacing w:val="-4"/>
          <w:szCs w:val="26"/>
        </w:rPr>
        <w:t xml:space="preserve">desítek, </w:t>
      </w:r>
      <w:r w:rsidRPr="00C525CD">
        <w:rPr>
          <w:spacing w:val="-4"/>
          <w:szCs w:val="26"/>
        </w:rPr>
        <w:t>kvantitativní hodnocení je provedeno na počet obyvatel na úrovni 100 osob.</w:t>
      </w:r>
    </w:p>
    <w:p w:rsidR="00927965" w:rsidRPr="00C525CD" w:rsidRDefault="00927965" w:rsidP="00927965"/>
    <w:p w:rsidR="009F18F9" w:rsidRPr="00C525CD" w:rsidRDefault="009F18F9" w:rsidP="00B04485">
      <w:pPr>
        <w:pStyle w:val="Nadpis1"/>
        <w:keepNext w:val="0"/>
        <w:pageBreakBefore w:val="0"/>
        <w:widowControl/>
        <w:numPr>
          <w:ilvl w:val="0"/>
          <w:numId w:val="4"/>
        </w:numPr>
        <w:tabs>
          <w:tab w:val="clear" w:pos="567"/>
        </w:tabs>
        <w:spacing w:after="0"/>
        <w:ind w:left="426" w:hanging="426"/>
      </w:pPr>
      <w:bookmarkStart w:id="9" w:name="_Toc60977795"/>
      <w:bookmarkStart w:id="10" w:name="_Toc73358419"/>
      <w:r w:rsidRPr="00C525CD">
        <w:t>akustické posouzení</w:t>
      </w:r>
      <w:bookmarkEnd w:id="9"/>
      <w:bookmarkEnd w:id="10"/>
    </w:p>
    <w:p w:rsidR="009F18F9" w:rsidRPr="00C525CD" w:rsidRDefault="009F18F9" w:rsidP="00B04485">
      <w:pPr>
        <w:pStyle w:val="Nadpis2"/>
        <w:keepNext w:val="0"/>
        <w:numPr>
          <w:ilvl w:val="1"/>
          <w:numId w:val="4"/>
        </w:numPr>
      </w:pPr>
      <w:bookmarkStart w:id="11" w:name="_Toc73358420"/>
      <w:r w:rsidRPr="00C525CD">
        <w:t>Hluk v území ve stávajícím stavu</w:t>
      </w:r>
      <w:bookmarkEnd w:id="11"/>
    </w:p>
    <w:p w:rsidR="009F18F9" w:rsidRPr="00C525CD" w:rsidRDefault="009F18F9" w:rsidP="00B04485">
      <w:r w:rsidRPr="00C525CD">
        <w:t>Hlavním zdrojem hluku v území je silniční doprava. Jedná se především o hlavní dopravní tepnu, která je vedena severně od posuzované plochy, Pražský okruh. Vlastní změnou poté prochází ulice Komořanská. V širším okolí působí další silniční dopravní zdroje (Strakonická, K Přehradám) a železniční trať č. 523A.</w:t>
      </w:r>
    </w:p>
    <w:p w:rsidR="009F18F9" w:rsidRPr="00C525CD" w:rsidRDefault="009F18F9" w:rsidP="00B04485">
      <w:r w:rsidRPr="00C525CD">
        <w:t>Pro posouzení lokality byly převzaty výsledky z Hlukové mapy Prahy. Základní informační vrstvy hlukové mapy prezentují hladiny hluku ve dne a v noci (deskriptory L</w:t>
      </w:r>
      <w:r w:rsidRPr="00C525CD">
        <w:rPr>
          <w:vertAlign w:val="subscript"/>
        </w:rPr>
        <w:t>Aeq,16h</w:t>
      </w:r>
      <w:r w:rsidRPr="00C525CD">
        <w:t xml:space="preserve"> a L</w:t>
      </w:r>
      <w:r w:rsidRPr="00C525CD">
        <w:rPr>
          <w:vertAlign w:val="subscript"/>
        </w:rPr>
        <w:t>Aeq,8h</w:t>
      </w:r>
      <w:r w:rsidRPr="00C525CD">
        <w:t xml:space="preserve">). Hluk z automobilové a železniční dopravy ukazují následující mapy povrchové dopravy. Celková akustická situace pro denní dobu (06:00 – 22:00) a pro noční dobu (22:00 – 06:00) prezentuje stav k roku 2016. Pro IPR Praha ji zpracovala EKOLA group, spol. s.r.o. v roce 2017. Jsou popisovány hodnoty akustické zátěže  v trase komunikací, nikoliv hodnoty dopadajícího hluku u nejbližší chráněné zástavby, uvedené hodnoty tak nelze přímo porovnávat s hygienickými limity. </w:t>
      </w:r>
    </w:p>
    <w:p w:rsidR="009F18F9" w:rsidRPr="00C525CD" w:rsidRDefault="009F18F9" w:rsidP="00B04485">
      <w:r w:rsidRPr="00C525CD">
        <w:t xml:space="preserve">Nejvyšší celková hladina hluku v denní dobu je v území patrná podél Pražského okruhu, a to nad hranicí 75 dB, podél Komořanské lze zaznamenat hodnoty zejména mezi </w:t>
      </w:r>
      <w:smartTag w:uri="urn:schemas-microsoft-com:office:smarttags" w:element="metricconverter">
        <w:smartTagPr>
          <w:attr w:name="ProductID" w:val="65 a"/>
        </w:smartTagPr>
        <w:r w:rsidRPr="00C525CD">
          <w:t>65 a</w:t>
        </w:r>
      </w:smartTag>
      <w:r w:rsidRPr="00C525CD">
        <w:t xml:space="preserve"> 70 dB. Prostorem posuzované změny procházejí v denní dobu pásma hlukové zátěže v intervalu od 50 do 70 dB.</w:t>
      </w:r>
    </w:p>
    <w:p w:rsidR="009F18F9" w:rsidRPr="00C525CD" w:rsidRDefault="009F18F9" w:rsidP="00B04485">
      <w:r w:rsidRPr="00C525CD">
        <w:t xml:space="preserve">V noční dobu odpovídá rozložení hlukové zátěže denní době. Nejvyšší celkovou hladinu hluku v noční dobu lze v území zaznamenat severně od posuzované změny podél Pražského okruhu, a to nad hranicí 70 dB. Podél Komořanské se nejvyšší ekvivalentní hladiny akustického tlaku pohybují mezi </w:t>
      </w:r>
      <w:smartTag w:uri="urn:schemas-microsoft-com:office:smarttags" w:element="metricconverter">
        <w:smartTagPr>
          <w:attr w:name="ProductID" w:val="60 a"/>
        </w:smartTagPr>
        <w:r w:rsidRPr="00C525CD">
          <w:t>60 a</w:t>
        </w:r>
      </w:smartTag>
      <w:r w:rsidRPr="00C525CD">
        <w:t xml:space="preserve"> 65 dB. Prostorem posuzované změny procházejí v noční dobu pásma hlukové zátěže v intervalu od 45 do 65 dB.</w:t>
      </w:r>
    </w:p>
    <w:p w:rsidR="009F18F9" w:rsidRPr="00C525CD" w:rsidRDefault="009F18F9" w:rsidP="00B04485">
      <w:r w:rsidRPr="00C525CD">
        <w:t xml:space="preserve">Schémata </w:t>
      </w:r>
      <w:smartTag w:uri="urn:schemas-microsoft-com:office:smarttags" w:element="metricconverter">
        <w:smartTagPr>
          <w:attr w:name="ProductID" w:val="5 a"/>
        </w:smartTagPr>
        <w:r w:rsidRPr="00C525CD">
          <w:t>5 a</w:t>
        </w:r>
      </w:smartTag>
      <w:r w:rsidRPr="00C525CD">
        <w:t xml:space="preserve"> 6 ukazují hlukovou situaci v zájmovém území v denní (6:00 - 22:00 hod) a noční době (22:00 - 6:00 hod). </w:t>
      </w:r>
    </w:p>
    <w:p w:rsidR="009F18F9" w:rsidRPr="00C525CD" w:rsidRDefault="009F18F9" w:rsidP="009F18F9"/>
    <w:p w:rsidR="009F18F9" w:rsidRPr="00C525CD" w:rsidRDefault="009F18F9" w:rsidP="009F18F9"/>
    <w:p w:rsidR="009F18F9" w:rsidRPr="00C525CD" w:rsidRDefault="009F18F9" w:rsidP="009F18F9">
      <w:pPr>
        <w:keepNext/>
        <w:keepLines/>
        <w:widowControl/>
        <w:spacing w:before="0"/>
        <w:ind w:left="992" w:hanging="992"/>
        <w:jc w:val="left"/>
        <w:rPr>
          <w:b/>
          <w:sz w:val="24"/>
        </w:rPr>
      </w:pPr>
      <w:r w:rsidRPr="00C525CD">
        <w:rPr>
          <w:b/>
          <w:sz w:val="24"/>
        </w:rPr>
        <w:lastRenderedPageBreak/>
        <w:t>Schéma 5. Hluk ze všech zdrojů v zájmovém území ve dne v roce 2016 [10]</w:t>
      </w:r>
    </w:p>
    <w:p w:rsidR="009F18F9" w:rsidRPr="00C525CD" w:rsidRDefault="00D940AE" w:rsidP="009F18F9">
      <w:pPr>
        <w:keepNext/>
        <w:keepLines/>
        <w:widowControl/>
        <w:spacing w:before="0"/>
        <w:ind w:left="992" w:hanging="992"/>
        <w:jc w:val="left"/>
        <w:rPr>
          <w:b/>
          <w:sz w:val="24"/>
        </w:rPr>
      </w:pPr>
      <w:r w:rsidRPr="00C525CD">
        <w:rPr>
          <w:b/>
          <w:noProof/>
          <w:sz w:val="24"/>
        </w:rPr>
        <w:drawing>
          <wp:inline distT="0" distB="0" distL="0" distR="0">
            <wp:extent cx="5455920" cy="3848100"/>
            <wp:effectExtent l="0" t="0" r="0" b="0"/>
            <wp:docPr id="6" name="obrázek 6" descr="Auta-2016-DEN-v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uta-2016-DEN-vs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55920" cy="3848100"/>
                    </a:xfrm>
                    <a:prstGeom prst="rect">
                      <a:avLst/>
                    </a:prstGeom>
                    <a:noFill/>
                    <a:ln>
                      <a:noFill/>
                    </a:ln>
                  </pic:spPr>
                </pic:pic>
              </a:graphicData>
            </a:graphic>
          </wp:inline>
        </w:drawing>
      </w:r>
    </w:p>
    <w:p w:rsidR="009F18F9" w:rsidRPr="00C525CD" w:rsidRDefault="009F18F9" w:rsidP="009F18F9">
      <w:pPr>
        <w:keepNext/>
        <w:keepLines/>
        <w:widowControl/>
        <w:spacing w:before="0"/>
        <w:ind w:left="992" w:hanging="992"/>
        <w:jc w:val="left"/>
        <w:rPr>
          <w:b/>
          <w:sz w:val="24"/>
        </w:rPr>
      </w:pPr>
      <w:r w:rsidRPr="00C525CD">
        <w:rPr>
          <w:b/>
          <w:sz w:val="24"/>
        </w:rPr>
        <w:t>Schéma 6. Hluk ze všech zdrojů v zájmovém území v noci v roce 2016 [10]</w:t>
      </w:r>
    </w:p>
    <w:p w:rsidR="009F18F9" w:rsidRPr="00C525CD" w:rsidRDefault="00D940AE" w:rsidP="009F18F9">
      <w:pPr>
        <w:keepNext/>
        <w:keepLines/>
        <w:widowControl/>
        <w:spacing w:before="0"/>
        <w:ind w:left="992" w:hanging="992"/>
        <w:jc w:val="left"/>
        <w:rPr>
          <w:b/>
          <w:sz w:val="24"/>
        </w:rPr>
      </w:pPr>
      <w:r w:rsidRPr="00C525CD">
        <w:rPr>
          <w:b/>
          <w:noProof/>
          <w:sz w:val="24"/>
        </w:rPr>
        <w:drawing>
          <wp:inline distT="0" distB="0" distL="0" distR="0">
            <wp:extent cx="5455920" cy="3848100"/>
            <wp:effectExtent l="0" t="0" r="0" b="0"/>
            <wp:docPr id="7" name="obrázek 7" descr="Auta-2016-noc-v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uta-2016-noc-vs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55920" cy="3848100"/>
                    </a:xfrm>
                    <a:prstGeom prst="rect">
                      <a:avLst/>
                    </a:prstGeom>
                    <a:noFill/>
                    <a:ln>
                      <a:noFill/>
                    </a:ln>
                  </pic:spPr>
                </pic:pic>
              </a:graphicData>
            </a:graphic>
          </wp:inline>
        </w:drawing>
      </w:r>
    </w:p>
    <w:p w:rsidR="009F18F9" w:rsidRPr="00C525CD" w:rsidRDefault="009F18F9" w:rsidP="009F18F9">
      <w:pPr>
        <w:spacing w:before="0"/>
        <w:ind w:firstLine="0"/>
        <w:rPr>
          <w:bCs/>
          <w:sz w:val="20"/>
        </w:rPr>
      </w:pPr>
    </w:p>
    <w:p w:rsidR="009F18F9" w:rsidRPr="00C525CD" w:rsidRDefault="009F18F9" w:rsidP="009F18F9">
      <w:pPr>
        <w:pStyle w:val="Nadpis2"/>
        <w:numPr>
          <w:ilvl w:val="1"/>
          <w:numId w:val="4"/>
        </w:numPr>
      </w:pPr>
      <w:bookmarkStart w:id="12" w:name="_Toc73358421"/>
      <w:r w:rsidRPr="00C525CD">
        <w:lastRenderedPageBreak/>
        <w:t>Výpočtové body</w:t>
      </w:r>
      <w:bookmarkEnd w:id="12"/>
      <w:r w:rsidRPr="00C525CD">
        <w:t xml:space="preserve"> </w:t>
      </w:r>
    </w:p>
    <w:p w:rsidR="009F18F9" w:rsidRPr="00C525CD" w:rsidRDefault="009F18F9" w:rsidP="009F18F9">
      <w:r w:rsidRPr="00C525CD">
        <w:t>Vyhodnocení ekvivalentní hladiny akustického tlaku ve výpočtových bodech bylo provedeno v chráněném venkovním prostoru a v chráněném venkovním prostoru staveb. Dle zákona č. 258/2000 Sb., o ochraně veřejného zdraví, se chrán</w:t>
      </w:r>
      <w:r w:rsidRPr="00C525CD">
        <w:rPr>
          <w:rFonts w:hint="eastAsia"/>
        </w:rPr>
        <w:t>ě</w:t>
      </w:r>
      <w:r w:rsidRPr="00C525CD">
        <w:t xml:space="preserve">ným venkovním prostorem staveb se rozumí prostor do vzdálenosti </w:t>
      </w:r>
      <w:smartTag w:uri="urn:schemas-microsoft-com:office:smarttags" w:element="metricconverter">
        <w:smartTagPr>
          <w:attr w:name="ProductID" w:val="2ﾠm"/>
        </w:smartTagPr>
        <w:r w:rsidRPr="00C525CD">
          <w:t>2 m</w:t>
        </w:r>
      </w:smartTag>
      <w:r w:rsidRPr="00C525CD">
        <w:t xml:space="preserve"> před částí jejich obvodového pláště, významný z hlediska pronikání hluku zvenčí do chráněného vnitřního prostoru bytových domů, rodinných domů, staveb pro předškolní a školní výchovu a vzdělávání, staveb pro zdravotní a sociální účely, jakož i funkčně obdobných staveb.</w:t>
      </w:r>
    </w:p>
    <w:p w:rsidR="009F18F9" w:rsidRPr="00C525CD" w:rsidRDefault="009F18F9" w:rsidP="009F18F9">
      <w:pPr>
        <w:widowControl/>
        <w:spacing w:before="60"/>
      </w:pPr>
      <w:r w:rsidRPr="00C525CD">
        <w:t>Podle nařízení vlády č. 272/2011 Sb., o ochraně zdraví před nepříznivými účinky hluku a vibrací, ve znění pozdějších předpisů je poté prostorem významným z hlediska pronikání hluku prostor před výplní otvoru obvodového pláště stavby zajišťující přímé přirozené větrání, za níž se nachází chráněný vnitřní prostor stavby, pokud tento chráněný prostor nelze přímo větrat jinak. Prostorem významným může být stejně tak boční fasáda domu s okenními prvky, která je méně hlukově zatížená než čelní fasáda domu, která tak nemá chráněný venkovní prostor stavby definován, blíže schéma 7.</w:t>
      </w:r>
    </w:p>
    <w:p w:rsidR="009F18F9" w:rsidRPr="00C525CD" w:rsidRDefault="009F18F9" w:rsidP="009F18F9">
      <w:pPr>
        <w:keepNext/>
        <w:keepLines/>
        <w:widowControl/>
        <w:spacing w:after="60"/>
        <w:ind w:left="992" w:hanging="992"/>
        <w:jc w:val="left"/>
        <w:rPr>
          <w:b/>
          <w:sz w:val="24"/>
        </w:rPr>
      </w:pPr>
      <w:r w:rsidRPr="00C525CD">
        <w:rPr>
          <w:b/>
          <w:sz w:val="24"/>
        </w:rPr>
        <w:t>Schéma 7. Definice chráněného venkovního prostoru staveb</w:t>
      </w:r>
    </w:p>
    <w:p w:rsidR="009F18F9" w:rsidRPr="00C525CD" w:rsidRDefault="00D940AE" w:rsidP="009F18F9">
      <w:pPr>
        <w:widowControl/>
        <w:spacing w:before="60"/>
        <w:ind w:firstLine="0"/>
      </w:pPr>
      <w:r w:rsidRPr="00C525CD">
        <w:rPr>
          <w:noProof/>
        </w:rPr>
        <w:drawing>
          <wp:inline distT="0" distB="0" distL="0" distR="0">
            <wp:extent cx="5806440" cy="1965960"/>
            <wp:effectExtent l="0" t="0" r="3810" b="0"/>
            <wp:docPr id="8" name="obrázek 8" descr="schema_CH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hema_CHVP"/>
                    <pic:cNvPicPr>
                      <a:picLocks noChangeAspect="1" noChangeArrowheads="1"/>
                    </pic:cNvPicPr>
                  </pic:nvPicPr>
                  <pic:blipFill>
                    <a:blip r:embed="rId13" cstate="print">
                      <a:extLst>
                        <a:ext uri="{28A0092B-C50C-407E-A947-70E740481C1C}">
                          <a14:useLocalDpi xmlns:a14="http://schemas.microsoft.com/office/drawing/2010/main" val="0"/>
                        </a:ext>
                      </a:extLst>
                    </a:blip>
                    <a:srcRect l="2420" t="8087" r="3957" b="46812"/>
                    <a:stretch>
                      <a:fillRect/>
                    </a:stretch>
                  </pic:blipFill>
                  <pic:spPr bwMode="auto">
                    <a:xfrm>
                      <a:off x="0" y="0"/>
                      <a:ext cx="5806440" cy="1965960"/>
                    </a:xfrm>
                    <a:prstGeom prst="rect">
                      <a:avLst/>
                    </a:prstGeom>
                    <a:noFill/>
                    <a:ln>
                      <a:noFill/>
                    </a:ln>
                  </pic:spPr>
                </pic:pic>
              </a:graphicData>
            </a:graphic>
          </wp:inline>
        </w:drawing>
      </w:r>
    </w:p>
    <w:p w:rsidR="009F18F9" w:rsidRPr="00C525CD" w:rsidRDefault="009F18F9" w:rsidP="009F18F9">
      <w:pPr>
        <w:widowControl/>
        <w:spacing w:before="60"/>
      </w:pPr>
    </w:p>
    <w:p w:rsidR="009F18F9" w:rsidRPr="00C525CD" w:rsidRDefault="009F18F9" w:rsidP="009F18F9">
      <w:pPr>
        <w:widowControl/>
        <w:spacing w:before="60"/>
      </w:pPr>
    </w:p>
    <w:p w:rsidR="009F18F9" w:rsidRPr="00C525CD" w:rsidRDefault="009F18F9" w:rsidP="009F18F9">
      <w:pPr>
        <w:widowControl/>
        <w:spacing w:before="60"/>
      </w:pPr>
      <w:r w:rsidRPr="00C525CD">
        <w:t xml:space="preserve">Ve studii jsou vyhodnoceny akustické dopady u staveb, které by mohly být posuzovaným návrhem významněji zasaženy. Jedná se vybrané objekty v místech, kde dojde vlivem navrhované změny k významným úpravám dopravních poměrů. </w:t>
      </w:r>
    </w:p>
    <w:p w:rsidR="009F18F9" w:rsidRPr="00C525CD" w:rsidRDefault="009F18F9" w:rsidP="009F18F9">
      <w:pPr>
        <w:widowControl/>
        <w:spacing w:before="60"/>
      </w:pPr>
      <w:r w:rsidRPr="00C525CD">
        <w:t xml:space="preserve">Výpočet v bodech byl proveden na hranici chráněného venkovního prostoru staveb (tj. </w:t>
      </w:r>
      <w:smartTag w:uri="urn:schemas-microsoft-com:office:smarttags" w:element="metricconverter">
        <w:smartTagPr>
          <w:attr w:name="ProductID" w:val="2 m"/>
        </w:smartTagPr>
        <w:r w:rsidRPr="00C525CD">
          <w:t>2 m</w:t>
        </w:r>
      </w:smartTag>
      <w:r w:rsidRPr="00C525CD">
        <w:t xml:space="preserve"> od fasády hodnocených objektů) ve výšce prvního chráněného a posledního nadzemního podlaží. Seznam hodnocených bodů prezentuje tabulka 4.1, jejich umístění ukazuje schéma 8. </w:t>
      </w:r>
    </w:p>
    <w:p w:rsidR="009F18F9" w:rsidRPr="00C525CD" w:rsidRDefault="009F18F9" w:rsidP="009F18F9">
      <w:pPr>
        <w:widowControl/>
        <w:spacing w:before="60"/>
      </w:pPr>
    </w:p>
    <w:p w:rsidR="009F18F9" w:rsidRPr="00C525CD" w:rsidRDefault="009F18F9" w:rsidP="009F18F9">
      <w:pPr>
        <w:keepNext/>
        <w:keepLines/>
        <w:widowControl/>
        <w:spacing w:after="60"/>
        <w:ind w:left="992" w:hanging="992"/>
        <w:jc w:val="left"/>
        <w:rPr>
          <w:b/>
          <w:sz w:val="24"/>
        </w:rPr>
      </w:pPr>
      <w:r w:rsidRPr="00C525CD">
        <w:rPr>
          <w:b/>
          <w:sz w:val="24"/>
        </w:rPr>
        <w:lastRenderedPageBreak/>
        <w:t>Tab. 4.1. Seznam výpočtových bodů</w:t>
      </w:r>
    </w:p>
    <w:tbl>
      <w:tblPr>
        <w:tblW w:w="5000"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57" w:type="dxa"/>
          <w:right w:w="57" w:type="dxa"/>
        </w:tblCellMar>
        <w:tblLook w:val="0000" w:firstRow="0" w:lastRow="0" w:firstColumn="0" w:lastColumn="0" w:noHBand="0" w:noVBand="0"/>
      </w:tblPr>
      <w:tblGrid>
        <w:gridCol w:w="834"/>
        <w:gridCol w:w="2266"/>
        <w:gridCol w:w="1337"/>
        <w:gridCol w:w="2108"/>
        <w:gridCol w:w="2481"/>
      </w:tblGrid>
      <w:tr w:rsidR="009F18F9" w:rsidRPr="00C525CD" w:rsidTr="00D72CC3">
        <w:trPr>
          <w:cantSplit/>
          <w:tblHeader/>
        </w:trPr>
        <w:tc>
          <w:tcPr>
            <w:tcW w:w="0" w:type="auto"/>
            <w:tcBorders>
              <w:top w:val="single" w:sz="18" w:space="0" w:color="auto"/>
              <w:bottom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b/>
                <w:bCs/>
                <w:sz w:val="20"/>
              </w:rPr>
            </w:pPr>
            <w:r w:rsidRPr="00C525CD">
              <w:rPr>
                <w:b/>
                <w:bCs/>
                <w:sz w:val="20"/>
              </w:rPr>
              <w:t>Body</w:t>
            </w:r>
          </w:p>
        </w:tc>
        <w:tc>
          <w:tcPr>
            <w:tcW w:w="0" w:type="auto"/>
            <w:tcBorders>
              <w:top w:val="single" w:sz="18" w:space="0" w:color="auto"/>
              <w:bottom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rFonts w:eastAsia="Arial Unicode MS"/>
                <w:b/>
                <w:bCs/>
                <w:sz w:val="20"/>
              </w:rPr>
            </w:pPr>
            <w:r w:rsidRPr="00C525CD">
              <w:rPr>
                <w:rFonts w:eastAsia="Arial Unicode MS"/>
                <w:b/>
                <w:bCs/>
                <w:sz w:val="20"/>
              </w:rPr>
              <w:t>Chráněný prvek</w:t>
            </w:r>
          </w:p>
        </w:tc>
        <w:tc>
          <w:tcPr>
            <w:tcW w:w="0" w:type="auto"/>
            <w:tcBorders>
              <w:top w:val="single" w:sz="18" w:space="0" w:color="auto"/>
              <w:bottom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rFonts w:eastAsia="Arial Unicode MS"/>
                <w:b/>
                <w:bCs/>
                <w:sz w:val="20"/>
              </w:rPr>
            </w:pPr>
            <w:r w:rsidRPr="00C525CD">
              <w:rPr>
                <w:rFonts w:eastAsia="Arial Unicode MS"/>
                <w:b/>
                <w:bCs/>
                <w:sz w:val="20"/>
              </w:rPr>
              <w:t>Počet NP</w:t>
            </w:r>
          </w:p>
        </w:tc>
        <w:tc>
          <w:tcPr>
            <w:tcW w:w="0" w:type="auto"/>
            <w:tcBorders>
              <w:top w:val="single" w:sz="18" w:space="0" w:color="auto"/>
              <w:bottom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rFonts w:eastAsia="Arial Unicode MS"/>
                <w:b/>
                <w:bCs/>
                <w:sz w:val="20"/>
              </w:rPr>
            </w:pPr>
            <w:r w:rsidRPr="00C525CD">
              <w:rPr>
                <w:rFonts w:eastAsia="Arial Unicode MS"/>
                <w:b/>
                <w:bCs/>
                <w:sz w:val="20"/>
              </w:rPr>
              <w:t>Využití</w:t>
            </w:r>
          </w:p>
        </w:tc>
        <w:tc>
          <w:tcPr>
            <w:tcW w:w="0" w:type="auto"/>
            <w:tcBorders>
              <w:top w:val="single" w:sz="18" w:space="0" w:color="auto"/>
              <w:bottom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rFonts w:eastAsia="Arial Unicode MS"/>
                <w:b/>
                <w:sz w:val="20"/>
              </w:rPr>
            </w:pPr>
            <w:r w:rsidRPr="00C525CD">
              <w:rPr>
                <w:b/>
                <w:bCs/>
                <w:sz w:val="20"/>
              </w:rPr>
              <w:t>Umístění</w:t>
            </w:r>
          </w:p>
        </w:tc>
      </w:tr>
      <w:tr w:rsidR="009F18F9" w:rsidRPr="00C525CD" w:rsidTr="00D72CC3">
        <w:tc>
          <w:tcPr>
            <w:tcW w:w="0" w:type="auto"/>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0" w:type="auto"/>
            <w:tcBorders>
              <w:top w:val="single" w:sz="12"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byt</w:t>
            </w:r>
          </w:p>
        </w:tc>
        <w:tc>
          <w:tcPr>
            <w:tcW w:w="0" w:type="auto"/>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objekt k bydlení</w:t>
            </w:r>
          </w:p>
        </w:tc>
        <w:tc>
          <w:tcPr>
            <w:tcW w:w="0" w:type="auto"/>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Palmetová 2104/40</w:t>
            </w:r>
          </w:p>
        </w:tc>
      </w:tr>
      <w:tr w:rsidR="009F18F9" w:rsidRPr="00C525CD" w:rsidTr="00D72CC3">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shd w:val="clear" w:color="auto" w:fill="auto"/>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byt</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rodinný dům</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Hudcova 18</w:t>
            </w:r>
          </w:p>
        </w:tc>
      </w:tr>
      <w:tr w:rsidR="009F18F9" w:rsidRPr="00C525CD" w:rsidTr="00D72CC3">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0" w:type="auto"/>
            <w:shd w:val="clear" w:color="auto" w:fill="auto"/>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byt</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objekt k bydlení</w:t>
            </w:r>
          </w:p>
        </w:tc>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Závist 1172</w:t>
            </w:r>
          </w:p>
        </w:tc>
      </w:tr>
    </w:tbl>
    <w:p w:rsidR="009F18F9" w:rsidRPr="00C525CD" w:rsidRDefault="009F18F9" w:rsidP="009F18F9">
      <w:pPr>
        <w:widowControl/>
        <w:ind w:firstLine="0"/>
      </w:pPr>
    </w:p>
    <w:p w:rsidR="009F18F9" w:rsidRPr="00C525CD" w:rsidRDefault="009F18F9" w:rsidP="009F18F9">
      <w:pPr>
        <w:keepNext/>
        <w:keepLines/>
        <w:widowControl/>
        <w:spacing w:after="60"/>
        <w:ind w:left="992" w:hanging="992"/>
        <w:jc w:val="left"/>
        <w:rPr>
          <w:b/>
          <w:sz w:val="24"/>
        </w:rPr>
      </w:pPr>
      <w:r w:rsidRPr="00C525CD">
        <w:rPr>
          <w:b/>
          <w:sz w:val="24"/>
        </w:rPr>
        <w:t>Schéma 8. Rozmístění výpočtových bodů</w:t>
      </w:r>
    </w:p>
    <w:p w:rsidR="009F18F9" w:rsidRPr="00C525CD" w:rsidRDefault="00D940AE" w:rsidP="009F18F9">
      <w:pPr>
        <w:ind w:firstLine="0"/>
      </w:pPr>
      <w:r w:rsidRPr="00C525CD">
        <w:rPr>
          <w:noProof/>
        </w:rPr>
        <w:drawing>
          <wp:inline distT="0" distB="0" distL="0" distR="0">
            <wp:extent cx="5760720" cy="3505200"/>
            <wp:effectExtent l="0" t="0" r="0" b="0"/>
            <wp:docPr id="9" name="obrázek 9" descr="vyp-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yp-body"/>
                    <pic:cNvPicPr>
                      <a:picLocks noChangeAspect="1" noChangeArrowheads="1"/>
                    </pic:cNvPicPr>
                  </pic:nvPicPr>
                  <pic:blipFill>
                    <a:blip r:embed="rId14" cstate="print">
                      <a:extLst>
                        <a:ext uri="{28A0092B-C50C-407E-A947-70E740481C1C}">
                          <a14:useLocalDpi xmlns:a14="http://schemas.microsoft.com/office/drawing/2010/main" val="0"/>
                        </a:ext>
                      </a:extLst>
                    </a:blip>
                    <a:srcRect t="13902"/>
                    <a:stretch>
                      <a:fillRect/>
                    </a:stretch>
                  </pic:blipFill>
                  <pic:spPr bwMode="auto">
                    <a:xfrm>
                      <a:off x="0" y="0"/>
                      <a:ext cx="5760720" cy="3505200"/>
                    </a:xfrm>
                    <a:prstGeom prst="rect">
                      <a:avLst/>
                    </a:prstGeom>
                    <a:noFill/>
                    <a:ln>
                      <a:noFill/>
                    </a:ln>
                  </pic:spPr>
                </pic:pic>
              </a:graphicData>
            </a:graphic>
          </wp:inline>
        </w:drawing>
      </w:r>
    </w:p>
    <w:p w:rsidR="009F18F9" w:rsidRPr="00C525CD" w:rsidRDefault="009F18F9" w:rsidP="009F18F9"/>
    <w:p w:rsidR="009F18F9" w:rsidRPr="00C525CD" w:rsidRDefault="009F18F9" w:rsidP="009F18F9">
      <w:pPr>
        <w:pStyle w:val="Nadpis2"/>
        <w:numPr>
          <w:ilvl w:val="1"/>
          <w:numId w:val="4"/>
        </w:numPr>
      </w:pPr>
      <w:bookmarkStart w:id="13" w:name="_Toc73358422"/>
      <w:r w:rsidRPr="00C525CD">
        <w:t>Metodika výpočtu</w:t>
      </w:r>
      <w:bookmarkEnd w:id="13"/>
    </w:p>
    <w:p w:rsidR="009F18F9" w:rsidRPr="00C525CD" w:rsidRDefault="009F18F9" w:rsidP="009F18F9">
      <w:pPr>
        <w:rPr>
          <w:szCs w:val="26"/>
        </w:rPr>
      </w:pPr>
      <w:r w:rsidRPr="00C525CD">
        <w:t xml:space="preserve">Modelování hlukové zátěže bylo provedeno pomocí programu </w:t>
      </w:r>
      <w:r w:rsidRPr="00C525CD">
        <w:rPr>
          <w:szCs w:val="26"/>
        </w:rPr>
        <w:t xml:space="preserve">Hluk+, verze 13.08. Profi </w:t>
      </w:r>
      <w:r w:rsidRPr="00C525CD">
        <w:t xml:space="preserve">[2]. Program umožňuje výpočet hladin hluku ve venkovním prostředí, způsobeného dopravními a stacionárními zdroji akustického zatížení. Program je kompatibilní s "Metodickým návodem pro měření a hodnocení hluku v mimopracovním prostředí" (Věstník MZ ČR, částka 11/2017 ze dne 18. 10. 2017) [5]. Současně zahrnuje </w:t>
      </w:r>
      <w:r w:rsidRPr="00C525CD">
        <w:rPr>
          <w:szCs w:val="26"/>
        </w:rPr>
        <w:t xml:space="preserve">metodický materiál </w:t>
      </w:r>
      <w:r w:rsidRPr="00C525CD">
        <w:t>„Výpočet hluku z automobilové dopravy –Manuál 2018“</w:t>
      </w:r>
      <w:r w:rsidRPr="00C525CD">
        <w:rPr>
          <w:szCs w:val="26"/>
        </w:rPr>
        <w:t xml:space="preserve"> autorizovaný ŘSD ČR [3], který byl projednán, posouzen a schválen Centrální komisí Ministerstva dopravy ČR dne 5. 2. 2019, zn. 90/2019-910-UPR/3.</w:t>
      </w:r>
    </w:p>
    <w:p w:rsidR="009F18F9" w:rsidRPr="00C525CD" w:rsidRDefault="009F18F9" w:rsidP="009F18F9">
      <w:r w:rsidRPr="00C525CD">
        <w:t xml:space="preserve">V akustické studii je poté Příloha C Manuálu 2018 uvažována v souladu s metodickým usměrněním č. j. MZDR 39345/2019-1/OVZ ze dne 20. 9. 2019 [7]. Pro přílohy A a B Manuálu 2018 byl zohledněn výklad dle navržené úpravy, která byla akceptována dopisem Ministerstva zdravotnictví „Dodatek č. 1 – Metodické usměrnění </w:t>
      </w:r>
      <w:r w:rsidRPr="00C525CD">
        <w:lastRenderedPageBreak/>
        <w:t>pro zajištění jednotného postupu orgánů veřejného zdraví a zdravotních ústavů při posuzování, resp. realizaci výpočtů hluku z automobilové dopravy“ s č. j. MZDR 39345/2019-2/OVZ dne 27. 7. 2020 [9].</w:t>
      </w:r>
    </w:p>
    <w:p w:rsidR="009F18F9" w:rsidRPr="00C525CD" w:rsidRDefault="009F18F9" w:rsidP="009F18F9">
      <w:r w:rsidRPr="00C525CD">
        <w:t>Na základě grafického zadání konkrétní situace a podrobných dat o posuzovaném zdroji hluku model umožňuje:</w:t>
      </w:r>
    </w:p>
    <w:p w:rsidR="009F18F9" w:rsidRPr="00C525CD" w:rsidRDefault="009F18F9" w:rsidP="009F18F9">
      <w:pPr>
        <w:pStyle w:val="Seznamsodrkami"/>
      </w:pPr>
      <w:r w:rsidRPr="00C525CD">
        <w:t>výpočet hluku v jednotlivých vybraných bodech,</w:t>
      </w:r>
    </w:p>
    <w:p w:rsidR="009F18F9" w:rsidRPr="00C525CD" w:rsidRDefault="009F18F9" w:rsidP="009F18F9">
      <w:pPr>
        <w:pStyle w:val="Seznamsodrkami"/>
      </w:pPr>
      <w:r w:rsidRPr="00C525CD">
        <w:t>výpočet polohy charakteristických izofon L</w:t>
      </w:r>
      <w:r w:rsidRPr="00C525CD">
        <w:rPr>
          <w:vertAlign w:val="subscript"/>
        </w:rPr>
        <w:t>Aeq</w:t>
      </w:r>
      <w:r w:rsidRPr="00C525CD">
        <w:t>,</w:t>
      </w:r>
    </w:p>
    <w:p w:rsidR="009F18F9" w:rsidRPr="00C525CD" w:rsidRDefault="009F18F9" w:rsidP="009F18F9">
      <w:pPr>
        <w:pStyle w:val="Seznamsodrkami"/>
      </w:pPr>
      <w:r w:rsidRPr="00C525CD">
        <w:t>vyhodnocení plošného rozložení hluku v zadaných pásmech L</w:t>
      </w:r>
      <w:r w:rsidRPr="00C525CD">
        <w:rPr>
          <w:vertAlign w:val="subscript"/>
        </w:rPr>
        <w:t>Aeq</w:t>
      </w:r>
      <w:r w:rsidRPr="00C525CD">
        <w:t>.</w:t>
      </w:r>
    </w:p>
    <w:p w:rsidR="009F18F9" w:rsidRPr="00C525CD" w:rsidRDefault="009F18F9" w:rsidP="009F18F9">
      <w:r w:rsidRPr="00C525CD">
        <w:rPr>
          <w:szCs w:val="26"/>
        </w:rPr>
        <w:t xml:space="preserve">Program Hluk+ pracuje na základě metody raytracing, pracuje s 3D výpočty a automaticky používá vícenásobnou difrakci. </w:t>
      </w:r>
      <w:r w:rsidRPr="00C525CD">
        <w:t xml:space="preserve">Model zohledňuje podélný profil hodnocených komunikací včetně zářezů, násypů, estakád a jejich vliv na šíření zvukových vln. V modelu byl zohledněn digitální model terénu území. </w:t>
      </w:r>
    </w:p>
    <w:p w:rsidR="009F18F9" w:rsidRPr="00C525CD" w:rsidRDefault="009F18F9" w:rsidP="009F18F9">
      <w:r w:rsidRPr="00C525CD">
        <w:rPr>
          <w:szCs w:val="26"/>
        </w:rPr>
        <w:t>Výpočty byly provedeny pro denní i noční dobu.</w:t>
      </w:r>
      <w:r w:rsidRPr="00C525CD">
        <w:t xml:space="preserve"> Intenzity dopravy byly zadány v dělení na automobily do 3,5 tuny (osobní automobily) a automobily s hmotností nad 3,5 tuny (pomalá vozidla). </w:t>
      </w:r>
    </w:p>
    <w:p w:rsidR="009F18F9" w:rsidRPr="00C525CD" w:rsidRDefault="009F18F9" w:rsidP="009F18F9">
      <w:pPr>
        <w:widowControl/>
        <w:rPr>
          <w:spacing w:val="-2"/>
          <w:szCs w:val="26"/>
        </w:rPr>
      </w:pPr>
      <w:r w:rsidRPr="00C525CD">
        <w:rPr>
          <w:szCs w:val="26"/>
        </w:rPr>
        <w:t xml:space="preserve">Nejistota výpočtu je uváděna o hodnotě ± 2 </w:t>
      </w:r>
      <w:r w:rsidRPr="00C525CD">
        <w:rPr>
          <w:noProof/>
          <w:szCs w:val="26"/>
        </w:rPr>
        <w:t>dB</w:t>
      </w:r>
      <w:r w:rsidRPr="00C525CD">
        <w:rPr>
          <w:szCs w:val="26"/>
        </w:rPr>
        <w:t>.</w:t>
      </w:r>
      <w:r w:rsidRPr="00C525CD">
        <w:t xml:space="preserve"> Terén byl posuzován jako plně odrazivý, výsledky jsou na straně bezpečnosti. </w:t>
      </w:r>
      <w:r w:rsidRPr="00C525CD">
        <w:rPr>
          <w:spacing w:val="-2"/>
          <w:szCs w:val="26"/>
        </w:rPr>
        <w:t xml:space="preserve">V modelových výpočtech byly uvažovány standardní odrazy od fasád objektů, korekce pro odraz od stěn byla uvažována ve výši 3 </w:t>
      </w:r>
      <w:r w:rsidRPr="00C525CD">
        <w:rPr>
          <w:noProof/>
          <w:spacing w:val="-2"/>
          <w:szCs w:val="26"/>
        </w:rPr>
        <w:t>dB</w:t>
      </w:r>
      <w:r w:rsidRPr="00C525CD">
        <w:rPr>
          <w:spacing w:val="-2"/>
          <w:szCs w:val="26"/>
        </w:rPr>
        <w:t xml:space="preserve"> (činitel pohltivosti stěn = 0).</w:t>
      </w:r>
      <w:r w:rsidRPr="00C525CD">
        <w:rPr>
          <w:b/>
          <w:spacing w:val="-2"/>
          <w:szCs w:val="26"/>
        </w:rPr>
        <w:t xml:space="preserve"> </w:t>
      </w:r>
      <w:r w:rsidRPr="00C525CD">
        <w:rPr>
          <w:spacing w:val="-2"/>
          <w:szCs w:val="26"/>
        </w:rPr>
        <w:t>Za účelem</w:t>
      </w:r>
      <w:r w:rsidRPr="00C525CD">
        <w:rPr>
          <w:szCs w:val="26"/>
        </w:rPr>
        <w:t xml:space="preserve"> porovnání hodnot s hygienickým limitem je </w:t>
      </w:r>
      <w:r w:rsidRPr="00C525CD">
        <w:rPr>
          <w:spacing w:val="-2"/>
          <w:szCs w:val="26"/>
        </w:rPr>
        <w:t xml:space="preserve">hodnocen pouze dopadající hluk, tj. bez odrazu od přilehlé fasády, a to </w:t>
      </w:r>
      <w:r w:rsidRPr="00C525CD">
        <w:rPr>
          <w:szCs w:val="26"/>
        </w:rPr>
        <w:t>v</w:t>
      </w:r>
      <w:r w:rsidRPr="00C525CD">
        <w:rPr>
          <w:spacing w:val="-2"/>
          <w:szCs w:val="26"/>
        </w:rPr>
        <w:t xml:space="preserve"> souladu s </w:t>
      </w:r>
      <w:r w:rsidRPr="00C525CD">
        <w:rPr>
          <w:szCs w:val="26"/>
        </w:rPr>
        <w:t>normou ČSN ISO 1996-</w:t>
      </w:r>
      <w:smartTag w:uri="urn:schemas-microsoft-com:office:smarttags" w:element="metricconverter">
        <w:smartTagPr>
          <w:attr w:name="ProductID" w:val="2 a"/>
        </w:smartTagPr>
        <w:r w:rsidRPr="00C525CD">
          <w:rPr>
            <w:szCs w:val="26"/>
          </w:rPr>
          <w:t>2 a</w:t>
        </w:r>
      </w:smartTag>
      <w:r w:rsidRPr="00C525CD">
        <w:rPr>
          <w:szCs w:val="26"/>
        </w:rPr>
        <w:t xml:space="preserve"> Metodickým návodem pro měření a hodnocení hluku v mimopracovním prostředí </w:t>
      </w:r>
      <w:r w:rsidRPr="00C525CD">
        <w:rPr>
          <w:spacing w:val="-2"/>
          <w:szCs w:val="26"/>
        </w:rPr>
        <w:t xml:space="preserve">MZdr </w:t>
      </w:r>
      <w:r w:rsidRPr="00C525CD">
        <w:rPr>
          <w:szCs w:val="26"/>
        </w:rPr>
        <w:t>ze dne 18. 10. 2017</w:t>
      </w:r>
      <w:r w:rsidRPr="00C525CD">
        <w:rPr>
          <w:spacing w:val="-2"/>
          <w:szCs w:val="26"/>
        </w:rPr>
        <w:t xml:space="preserve">, který je v programu Hluk+ implementován. </w:t>
      </w:r>
    </w:p>
    <w:p w:rsidR="009F18F9" w:rsidRPr="00C525CD" w:rsidRDefault="009F18F9" w:rsidP="009F18F9"/>
    <w:p w:rsidR="009F18F9" w:rsidRPr="00C525CD" w:rsidRDefault="009F18F9" w:rsidP="009F18F9">
      <w:pPr>
        <w:pStyle w:val="Nadpis2"/>
        <w:numPr>
          <w:ilvl w:val="1"/>
          <w:numId w:val="4"/>
        </w:numPr>
      </w:pPr>
      <w:bookmarkStart w:id="14" w:name="_Toc73358423"/>
      <w:r w:rsidRPr="00C525CD">
        <w:t>Nejvyšší přípustné hodnoty venkovního hluku</w:t>
      </w:r>
      <w:bookmarkEnd w:id="14"/>
    </w:p>
    <w:p w:rsidR="009F18F9" w:rsidRPr="00C525CD" w:rsidRDefault="009F18F9" w:rsidP="009F18F9">
      <w:pPr>
        <w:keepNext/>
        <w:keepLines/>
        <w:widowControl/>
      </w:pPr>
      <w:r w:rsidRPr="00C525CD">
        <w:t xml:space="preserve">Základní požadavky na ochranu obyvatel před hlukem jsou stanoveny v zákoně </w:t>
      </w:r>
      <w:r w:rsidRPr="00C525CD">
        <w:rPr>
          <w:b/>
          <w:bCs/>
        </w:rPr>
        <w:t>č. 258/2000 Sb.</w:t>
      </w:r>
      <w:r w:rsidRPr="00C525CD">
        <w:rPr>
          <w:bCs/>
        </w:rPr>
        <w:t>,</w:t>
      </w:r>
      <w:r w:rsidRPr="00C525CD">
        <w:t xml:space="preserve"> o ochraně veřejného zdraví, v § 30. Tento zákon mj. ukládá vlastníkům, resp. správcům pozemních komunikací, železnic a dalších objektů, jejichž provozem vzniká hluk (zdroje hluku), povinnost zajistit technickými, organizačními a dalšími opatřeními, aby hluk nepřekračoval hygienické limity upravené prováděcím právním předpisem pro chráněný venkovní prostor, chráněné vnitřní prostory staveb a chráněné venkovní prostory staveb a aby bylo zabráněno nadlimitnímu přenosu vibrací na fyzické osoby v chráněném vnitřním prostoru stavby.</w:t>
      </w:r>
    </w:p>
    <w:p w:rsidR="009F18F9" w:rsidRPr="00C525CD" w:rsidRDefault="009F18F9" w:rsidP="009F18F9">
      <w:pPr>
        <w:pStyle w:val="Seznamsodrkami"/>
      </w:pPr>
      <w:r w:rsidRPr="00C525CD">
        <w:rPr>
          <w:b/>
        </w:rPr>
        <w:t>Chráněným venkovním prostorem</w:t>
      </w:r>
      <w:r w:rsidRPr="00C525CD">
        <w:t xml:space="preserve"> se rozumí nezastavěné pozemky, které jsou užívány k rekreaci, lázeňské léčebně rehabilitační péči a k výuce, s výjimkou lesních a zemědělských pozemků.</w:t>
      </w:r>
    </w:p>
    <w:p w:rsidR="009F18F9" w:rsidRPr="00C525CD" w:rsidRDefault="009F18F9" w:rsidP="009F18F9">
      <w:pPr>
        <w:pStyle w:val="Seznamsodrkami"/>
      </w:pPr>
      <w:r w:rsidRPr="00C525CD">
        <w:rPr>
          <w:b/>
        </w:rPr>
        <w:lastRenderedPageBreak/>
        <w:t>Chráněným venkovním prostorem staveb</w:t>
      </w:r>
      <w:r w:rsidRPr="00C525CD">
        <w:t xml:space="preserve"> se rozumí prostor do vzdálenosti </w:t>
      </w:r>
      <w:smartTag w:uri="urn:schemas-microsoft-com:office:smarttags" w:element="metricconverter">
        <w:smartTagPr>
          <w:attr w:name="ProductID" w:val="2 m"/>
        </w:smartTagPr>
        <w:r w:rsidRPr="00C525CD">
          <w:t>2 m</w:t>
        </w:r>
      </w:smartTag>
      <w:r w:rsidRPr="00C525CD">
        <w:t xml:space="preserve"> před částí jejich obvodového pláště, významný z hlediska pronikání hluku zvenčí do chráněného vnitřního prostoru bytových domů, rodinných domů, staveb pro předškolní a školní výchovu a vzdělávání, staveb pro zdravotní a sociální účely, jakož i funkčně obdobných staveb. Co se považuje za prostor významný z hlediska pronikání hluku, stanoví prováděcí právní předpis.</w:t>
      </w:r>
    </w:p>
    <w:p w:rsidR="009F18F9" w:rsidRPr="00C525CD" w:rsidRDefault="009F18F9" w:rsidP="009F18F9">
      <w:pPr>
        <w:pStyle w:val="Seznamsodrkami"/>
      </w:pPr>
      <w:r w:rsidRPr="00C525CD">
        <w:rPr>
          <w:b/>
        </w:rPr>
        <w:t xml:space="preserve">Chráněným vnitřním prostorem staveb </w:t>
      </w:r>
      <w:r w:rsidRPr="00C525CD">
        <w:t xml:space="preserve">se rozumí pobytové místnosti ve stavbách zařízení pro výchovu a vzdělávání, pro zdravotní a sociální účely a ve funkčně obdobných stavbách a obytné místnosti ve všech stavbách. Rekreace pro účely podle věty první zahrnuje i užívání pozemku na základě vlastnického, nájemního nebo podnájemního práva souvisejícího s vlastnictvím bytového nebo rodinného domu, nájmem nebo podnájmem bytu v nich. </w:t>
      </w:r>
    </w:p>
    <w:p w:rsidR="009F18F9" w:rsidRPr="00C525CD" w:rsidRDefault="009F18F9" w:rsidP="009F18F9">
      <w:pPr>
        <w:keepNext/>
        <w:keepLines/>
        <w:widowControl/>
        <w:rPr>
          <w:bCs/>
        </w:rPr>
      </w:pPr>
      <w:r w:rsidRPr="00C525CD">
        <w:t xml:space="preserve">Pro zjednodušení je v textu zmiňována chráněná zástavba, tedy zástavba, která má dle zákona </w:t>
      </w:r>
      <w:r w:rsidRPr="00C525CD">
        <w:rPr>
          <w:bCs/>
        </w:rPr>
        <w:t>č. 258/2000 Sb., definovaný chráněný venkovní prostor stavby.</w:t>
      </w:r>
    </w:p>
    <w:p w:rsidR="009F18F9" w:rsidRPr="00C525CD" w:rsidRDefault="009F18F9" w:rsidP="009F18F9">
      <w:pPr>
        <w:widowControl/>
        <w:rPr>
          <w:szCs w:val="26"/>
        </w:rPr>
      </w:pPr>
      <w:r w:rsidRPr="00C525CD">
        <w:rPr>
          <w:szCs w:val="26"/>
        </w:rPr>
        <w:t xml:space="preserve">Vzhledem k účelu a větší srozumitelnosti studie je v textu používáno slovo hluk místo věcně správného výrazu akustický tlak, rovněž se v textu automaticky rozumí, že hodnota hluku (akustického tlaku) je uvažována s váhovým filtrem A. </w:t>
      </w:r>
    </w:p>
    <w:p w:rsidR="009F18F9" w:rsidRPr="00C525CD" w:rsidRDefault="009F18F9" w:rsidP="009F18F9">
      <w:pPr>
        <w:widowControl/>
        <w:spacing w:before="0"/>
      </w:pPr>
      <w:r w:rsidRPr="00C525CD">
        <w:t>Hlukové limity pro venkovní hluk stanovuje nařízení vlády č. 272/2011 Sb., o ochraně zdraví před nepříznivými účinky hluku a vibrací ve znění pozdějších předpisů [1]. Limity ekvivalentních hladin akustického tlaku A ve venkovním prostředí se stanoví jako součet základní hladiny L</w:t>
      </w:r>
      <w:r w:rsidRPr="00C525CD">
        <w:rPr>
          <w:vertAlign w:val="subscript"/>
        </w:rPr>
        <w:t>Aeq,T</w:t>
      </w:r>
      <w:r w:rsidRPr="00C525CD">
        <w:t xml:space="preserve"> = 50 </w:t>
      </w:r>
      <w:r w:rsidRPr="00C525CD">
        <w:rPr>
          <w:noProof/>
        </w:rPr>
        <w:t>dB</w:t>
      </w:r>
      <w:r w:rsidRPr="00C525CD">
        <w:t xml:space="preserve"> a některé z korekcí uvedených v tabulce 4.2. (korekce se nesčítají). Pro noční dobu se pro chráněný venkovní prostor staveb přičítá další korekce -10 </w:t>
      </w:r>
      <w:r w:rsidRPr="00C525CD">
        <w:rPr>
          <w:noProof/>
        </w:rPr>
        <w:t>dB</w:t>
      </w:r>
      <w:r w:rsidRPr="00C525CD">
        <w:t>.</w:t>
      </w:r>
    </w:p>
    <w:p w:rsidR="009F18F9" w:rsidRPr="00C525CD" w:rsidRDefault="009F18F9" w:rsidP="009F18F9">
      <w:pPr>
        <w:widowControl/>
      </w:pPr>
    </w:p>
    <w:p w:rsidR="009F18F9" w:rsidRPr="00C525CD" w:rsidRDefault="009F18F9" w:rsidP="009F18F9">
      <w:pPr>
        <w:keepNext/>
        <w:keepLines/>
        <w:widowControl/>
        <w:spacing w:after="60"/>
        <w:ind w:left="992" w:hanging="992"/>
        <w:jc w:val="left"/>
        <w:rPr>
          <w:b/>
          <w:sz w:val="24"/>
        </w:rPr>
      </w:pPr>
      <w:r w:rsidRPr="00C525CD">
        <w:rPr>
          <w:b/>
          <w:sz w:val="24"/>
        </w:rPr>
        <w:t>Tab. 4.2. Stanovení hlukových limitů dle nařízení vlády č. 272/2011 Sb. ve znění pozdějších předpisů</w:t>
      </w:r>
    </w:p>
    <w:tbl>
      <w:tblPr>
        <w:tblW w:w="9316" w:type="dxa"/>
        <w:tblInd w:w="-37"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15"/>
        <w:gridCol w:w="914"/>
        <w:gridCol w:w="914"/>
        <w:gridCol w:w="914"/>
        <w:gridCol w:w="959"/>
      </w:tblGrid>
      <w:tr w:rsidR="009F18F9" w:rsidRPr="00C525CD" w:rsidTr="00D72CC3">
        <w:trPr>
          <w:cantSplit/>
          <w:trHeight w:hRule="exact" w:val="398"/>
        </w:trPr>
        <w:tc>
          <w:tcPr>
            <w:tcW w:w="5615" w:type="dxa"/>
            <w:vMerge w:val="restart"/>
            <w:vAlign w:val="center"/>
          </w:tcPr>
          <w:p w:rsidR="009F18F9" w:rsidRPr="00C525CD" w:rsidRDefault="009F18F9" w:rsidP="00D72CC3">
            <w:pPr>
              <w:keepNext/>
              <w:keepLines/>
              <w:widowControl/>
              <w:snapToGrid w:val="0"/>
              <w:spacing w:before="20"/>
              <w:ind w:firstLine="0"/>
              <w:rPr>
                <w:b/>
                <w:sz w:val="18"/>
                <w:szCs w:val="18"/>
              </w:rPr>
            </w:pPr>
            <w:r w:rsidRPr="00C525CD">
              <w:rPr>
                <w:b/>
                <w:sz w:val="18"/>
                <w:szCs w:val="18"/>
              </w:rPr>
              <w:t>Způsob využití území</w:t>
            </w:r>
          </w:p>
        </w:tc>
        <w:tc>
          <w:tcPr>
            <w:tcW w:w="3701" w:type="dxa"/>
            <w:gridSpan w:val="4"/>
            <w:vAlign w:val="center"/>
          </w:tcPr>
          <w:p w:rsidR="009F18F9" w:rsidRPr="00C525CD" w:rsidRDefault="009F18F9" w:rsidP="00D72CC3">
            <w:pPr>
              <w:keepNext/>
              <w:keepLines/>
              <w:widowControl/>
              <w:snapToGrid w:val="0"/>
              <w:spacing w:before="20"/>
              <w:ind w:firstLine="0"/>
              <w:jc w:val="center"/>
              <w:rPr>
                <w:b/>
                <w:sz w:val="18"/>
                <w:szCs w:val="18"/>
              </w:rPr>
            </w:pPr>
            <w:r w:rsidRPr="00C525CD">
              <w:rPr>
                <w:b/>
                <w:sz w:val="18"/>
                <w:szCs w:val="18"/>
              </w:rPr>
              <w:t>Korekce [</w:t>
            </w:r>
            <w:r w:rsidRPr="00C525CD">
              <w:rPr>
                <w:b/>
                <w:noProof/>
                <w:sz w:val="18"/>
                <w:szCs w:val="18"/>
              </w:rPr>
              <w:t>dB</w:t>
            </w:r>
            <w:r w:rsidRPr="00C525CD">
              <w:rPr>
                <w:b/>
                <w:sz w:val="18"/>
                <w:szCs w:val="18"/>
              </w:rPr>
              <w:t>]</w:t>
            </w:r>
          </w:p>
        </w:tc>
      </w:tr>
      <w:tr w:rsidR="009F18F9" w:rsidRPr="00C525CD" w:rsidTr="00D72CC3">
        <w:trPr>
          <w:cantSplit/>
        </w:trPr>
        <w:tc>
          <w:tcPr>
            <w:tcW w:w="5615" w:type="dxa"/>
            <w:vMerge/>
            <w:vAlign w:val="center"/>
          </w:tcPr>
          <w:p w:rsidR="009F18F9" w:rsidRPr="00C525CD" w:rsidRDefault="009F18F9" w:rsidP="00D72CC3">
            <w:pPr>
              <w:keepNext/>
              <w:keepLines/>
              <w:widowControl/>
              <w:rPr>
                <w:sz w:val="18"/>
                <w:szCs w:val="18"/>
              </w:rPr>
            </w:pPr>
          </w:p>
        </w:tc>
        <w:tc>
          <w:tcPr>
            <w:tcW w:w="914" w:type="dxa"/>
            <w:vAlign w:val="center"/>
          </w:tcPr>
          <w:p w:rsidR="009F18F9" w:rsidRPr="00C525CD" w:rsidRDefault="009F18F9" w:rsidP="00D72CC3">
            <w:pPr>
              <w:keepNext/>
              <w:keepLines/>
              <w:widowControl/>
              <w:snapToGrid w:val="0"/>
              <w:spacing w:before="20"/>
              <w:ind w:firstLine="0"/>
              <w:jc w:val="center"/>
              <w:rPr>
                <w:b/>
                <w:sz w:val="18"/>
                <w:szCs w:val="18"/>
              </w:rPr>
            </w:pPr>
            <w:r w:rsidRPr="00C525CD">
              <w:rPr>
                <w:b/>
                <w:sz w:val="18"/>
                <w:szCs w:val="18"/>
              </w:rPr>
              <w:t>1)</w:t>
            </w:r>
          </w:p>
        </w:tc>
        <w:tc>
          <w:tcPr>
            <w:tcW w:w="914" w:type="dxa"/>
            <w:vAlign w:val="center"/>
          </w:tcPr>
          <w:p w:rsidR="009F18F9" w:rsidRPr="00C525CD" w:rsidRDefault="009F18F9" w:rsidP="00D72CC3">
            <w:pPr>
              <w:keepNext/>
              <w:keepLines/>
              <w:widowControl/>
              <w:snapToGrid w:val="0"/>
              <w:spacing w:before="20"/>
              <w:ind w:firstLine="0"/>
              <w:jc w:val="center"/>
              <w:rPr>
                <w:b/>
                <w:sz w:val="18"/>
                <w:szCs w:val="18"/>
              </w:rPr>
            </w:pPr>
            <w:r w:rsidRPr="00C525CD">
              <w:rPr>
                <w:b/>
                <w:sz w:val="18"/>
                <w:szCs w:val="18"/>
              </w:rPr>
              <w:t>2)</w:t>
            </w:r>
          </w:p>
        </w:tc>
        <w:tc>
          <w:tcPr>
            <w:tcW w:w="914" w:type="dxa"/>
            <w:vAlign w:val="center"/>
          </w:tcPr>
          <w:p w:rsidR="009F18F9" w:rsidRPr="00C525CD" w:rsidRDefault="009F18F9" w:rsidP="00D72CC3">
            <w:pPr>
              <w:keepNext/>
              <w:keepLines/>
              <w:widowControl/>
              <w:snapToGrid w:val="0"/>
              <w:spacing w:before="20"/>
              <w:ind w:firstLine="0"/>
              <w:jc w:val="center"/>
              <w:rPr>
                <w:b/>
                <w:sz w:val="18"/>
                <w:szCs w:val="18"/>
              </w:rPr>
            </w:pPr>
            <w:r w:rsidRPr="00C525CD">
              <w:rPr>
                <w:b/>
                <w:sz w:val="18"/>
                <w:szCs w:val="18"/>
              </w:rPr>
              <w:t>3)</w:t>
            </w:r>
          </w:p>
        </w:tc>
        <w:tc>
          <w:tcPr>
            <w:tcW w:w="959" w:type="dxa"/>
            <w:vAlign w:val="center"/>
          </w:tcPr>
          <w:p w:rsidR="009F18F9" w:rsidRPr="00C525CD" w:rsidRDefault="009F18F9" w:rsidP="00D72CC3">
            <w:pPr>
              <w:keepNext/>
              <w:keepLines/>
              <w:widowControl/>
              <w:snapToGrid w:val="0"/>
              <w:spacing w:before="20"/>
              <w:ind w:firstLine="0"/>
              <w:jc w:val="center"/>
              <w:rPr>
                <w:b/>
                <w:sz w:val="18"/>
                <w:szCs w:val="18"/>
              </w:rPr>
            </w:pPr>
            <w:r w:rsidRPr="00C525CD">
              <w:rPr>
                <w:b/>
                <w:sz w:val="18"/>
                <w:szCs w:val="18"/>
              </w:rPr>
              <w:t>4)</w:t>
            </w:r>
          </w:p>
        </w:tc>
      </w:tr>
      <w:tr w:rsidR="009F18F9" w:rsidRPr="00C525CD" w:rsidTr="00D72CC3">
        <w:tc>
          <w:tcPr>
            <w:tcW w:w="5615" w:type="dxa"/>
            <w:vAlign w:val="center"/>
          </w:tcPr>
          <w:p w:rsidR="009F18F9" w:rsidRPr="00C525CD" w:rsidRDefault="009F18F9" w:rsidP="00D72CC3">
            <w:pPr>
              <w:keepNext/>
              <w:keepLines/>
              <w:widowControl/>
              <w:snapToGrid w:val="0"/>
              <w:spacing w:before="20"/>
              <w:ind w:firstLine="0"/>
              <w:jc w:val="left"/>
              <w:rPr>
                <w:sz w:val="18"/>
                <w:szCs w:val="18"/>
              </w:rPr>
            </w:pPr>
            <w:r w:rsidRPr="00C525CD">
              <w:rPr>
                <w:sz w:val="18"/>
                <w:szCs w:val="18"/>
              </w:rPr>
              <w:t>Chráněné venkovní prostory ostatních staveb a chráněné ostatní venkovní prostory</w:t>
            </w:r>
          </w:p>
        </w:tc>
        <w:tc>
          <w:tcPr>
            <w:tcW w:w="914" w:type="dxa"/>
            <w:vAlign w:val="center"/>
          </w:tcPr>
          <w:p w:rsidR="009F18F9" w:rsidRPr="00C525CD" w:rsidRDefault="009F18F9" w:rsidP="00D72CC3">
            <w:pPr>
              <w:keepNext/>
              <w:keepLines/>
              <w:widowControl/>
              <w:snapToGrid w:val="0"/>
              <w:spacing w:before="20"/>
              <w:ind w:firstLine="0"/>
              <w:jc w:val="center"/>
              <w:rPr>
                <w:sz w:val="18"/>
                <w:szCs w:val="18"/>
              </w:rPr>
            </w:pPr>
            <w:r w:rsidRPr="00C525CD">
              <w:rPr>
                <w:sz w:val="18"/>
                <w:szCs w:val="18"/>
              </w:rPr>
              <w:t>0</w:t>
            </w:r>
          </w:p>
        </w:tc>
        <w:tc>
          <w:tcPr>
            <w:tcW w:w="914" w:type="dxa"/>
            <w:vAlign w:val="center"/>
          </w:tcPr>
          <w:p w:rsidR="009F18F9" w:rsidRPr="00C525CD" w:rsidRDefault="009F18F9" w:rsidP="00D72CC3">
            <w:pPr>
              <w:keepNext/>
              <w:keepLines/>
              <w:widowControl/>
              <w:snapToGrid w:val="0"/>
              <w:spacing w:before="20"/>
              <w:ind w:firstLine="0"/>
              <w:jc w:val="center"/>
              <w:rPr>
                <w:sz w:val="18"/>
                <w:szCs w:val="18"/>
              </w:rPr>
            </w:pPr>
            <w:r w:rsidRPr="00C525CD">
              <w:rPr>
                <w:sz w:val="18"/>
                <w:szCs w:val="18"/>
              </w:rPr>
              <w:t>+5</w:t>
            </w:r>
          </w:p>
        </w:tc>
        <w:tc>
          <w:tcPr>
            <w:tcW w:w="914" w:type="dxa"/>
            <w:vAlign w:val="center"/>
          </w:tcPr>
          <w:p w:rsidR="009F18F9" w:rsidRPr="00C525CD" w:rsidRDefault="009F18F9" w:rsidP="00D72CC3">
            <w:pPr>
              <w:keepNext/>
              <w:keepLines/>
              <w:widowControl/>
              <w:snapToGrid w:val="0"/>
              <w:spacing w:before="20"/>
              <w:ind w:firstLine="0"/>
              <w:jc w:val="center"/>
              <w:rPr>
                <w:sz w:val="18"/>
                <w:szCs w:val="18"/>
              </w:rPr>
            </w:pPr>
            <w:r w:rsidRPr="00C525CD">
              <w:rPr>
                <w:sz w:val="18"/>
                <w:szCs w:val="18"/>
              </w:rPr>
              <w:t>+10</w:t>
            </w:r>
          </w:p>
        </w:tc>
        <w:tc>
          <w:tcPr>
            <w:tcW w:w="959" w:type="dxa"/>
            <w:vAlign w:val="center"/>
          </w:tcPr>
          <w:p w:rsidR="009F18F9" w:rsidRPr="00C525CD" w:rsidRDefault="009F18F9" w:rsidP="00D72CC3">
            <w:pPr>
              <w:keepNext/>
              <w:keepLines/>
              <w:widowControl/>
              <w:snapToGrid w:val="0"/>
              <w:spacing w:before="20"/>
              <w:ind w:firstLine="0"/>
              <w:jc w:val="center"/>
              <w:rPr>
                <w:sz w:val="18"/>
                <w:szCs w:val="18"/>
              </w:rPr>
            </w:pPr>
            <w:r w:rsidRPr="00C525CD">
              <w:rPr>
                <w:sz w:val="18"/>
                <w:szCs w:val="18"/>
              </w:rPr>
              <w:t>+20</w:t>
            </w:r>
          </w:p>
        </w:tc>
      </w:tr>
    </w:tbl>
    <w:p w:rsidR="009F18F9" w:rsidRPr="00C525CD" w:rsidRDefault="009F18F9" w:rsidP="009F18F9">
      <w:pPr>
        <w:keepNext/>
        <w:keepLines/>
        <w:widowControl/>
        <w:spacing w:before="60" w:line="252" w:lineRule="auto"/>
        <w:ind w:left="210" w:hanging="210"/>
        <w:rPr>
          <w:sz w:val="18"/>
        </w:rPr>
      </w:pPr>
      <w:r w:rsidRPr="00C525CD">
        <w:rPr>
          <w:sz w:val="18"/>
        </w:rPr>
        <w:t xml:space="preserve">1) Použije se pro hluk z provozu stacionárních zdrojů a hluk ze železničních stanic zajišťujících vlakotvorné práce, zejména rozřaďování a sestavu nákladních vlaků, prohlídku vlaků a opravy vozů. Pro hluk ze železničních stanic zajišťujících vlakotvorné práce, které byly uvedeny do provozu přede dnem 1. listopadu 2011, se přičítá pro noční dobu další korekce +5 </w:t>
      </w:r>
      <w:r w:rsidRPr="00C525CD">
        <w:rPr>
          <w:noProof/>
          <w:sz w:val="18"/>
        </w:rPr>
        <w:t>dB</w:t>
      </w:r>
      <w:r w:rsidRPr="00C525CD">
        <w:rPr>
          <w:sz w:val="18"/>
        </w:rPr>
        <w:t>.</w:t>
      </w:r>
    </w:p>
    <w:p w:rsidR="009F18F9" w:rsidRPr="00C525CD" w:rsidRDefault="009F18F9" w:rsidP="009F18F9">
      <w:pPr>
        <w:widowControl/>
        <w:spacing w:before="60" w:line="252" w:lineRule="auto"/>
        <w:ind w:left="210" w:hanging="210"/>
        <w:rPr>
          <w:sz w:val="18"/>
        </w:rPr>
      </w:pPr>
      <w:r w:rsidRPr="00C525CD">
        <w:rPr>
          <w:sz w:val="18"/>
        </w:rPr>
        <w:t>2) Použije se pro hluk z dopravy na dráhách, není-li dále uvedeno jinak, na silnicích III. třídy, místních komunikacích III. třídy a účelových komunikacích ve smyslu § 7 odst. 1 zákona č. 13/1997 Sb., o pozemních komunikacích, ve znění pozdějších předpisů.</w:t>
      </w:r>
    </w:p>
    <w:p w:rsidR="009F18F9" w:rsidRPr="00C525CD" w:rsidRDefault="009F18F9" w:rsidP="009F18F9">
      <w:pPr>
        <w:widowControl/>
        <w:spacing w:before="60" w:line="252" w:lineRule="auto"/>
        <w:ind w:left="210" w:hanging="210"/>
        <w:rPr>
          <w:sz w:val="18"/>
        </w:rPr>
      </w:pPr>
      <w:r w:rsidRPr="00C525CD">
        <w:rPr>
          <w:sz w:val="18"/>
        </w:rPr>
        <w:t>3) Použije se pro hluk z dopravy na dálnicích, silnicích I. a II. třídy a místních komunikacích I. a II. třídy v území, kde hluk z dopravy na těchto komunikacích je převažující nad hlukem z dopravy na ostatních pozemních komunikacích. Použije se pro hluk z dopravy na dráhách v ochranném pásmu dráhy. Použije se pro hluk z dopravy na tramvajových a trolejbusových drahách vedených po silnicích I. a II. třídy a místních komunikacích I. a II. třídy.</w:t>
      </w:r>
    </w:p>
    <w:p w:rsidR="009F18F9" w:rsidRPr="00C525CD" w:rsidRDefault="009F18F9" w:rsidP="009F18F9">
      <w:pPr>
        <w:widowControl/>
        <w:spacing w:before="60" w:line="252" w:lineRule="auto"/>
        <w:ind w:left="210" w:hanging="210"/>
        <w:rPr>
          <w:sz w:val="18"/>
        </w:rPr>
      </w:pPr>
      <w:r w:rsidRPr="00C525CD">
        <w:rPr>
          <w:sz w:val="18"/>
        </w:rPr>
        <w:t>4) Použije se pro stanovení hodnoty hygienického limitu staré hlukové zátěže.</w:t>
      </w:r>
    </w:p>
    <w:p w:rsidR="009F18F9" w:rsidRPr="00C525CD" w:rsidRDefault="009F18F9" w:rsidP="009F18F9">
      <w:pPr>
        <w:rPr>
          <w:spacing w:val="-2"/>
          <w:szCs w:val="26"/>
        </w:rPr>
      </w:pPr>
      <w:r w:rsidRPr="00C525CD">
        <w:rPr>
          <w:szCs w:val="26"/>
        </w:rPr>
        <w:t xml:space="preserve">Stanovení hygienického limitu bylo provedeno v souladu s nařízením vlády </w:t>
      </w:r>
      <w:r w:rsidRPr="00C525CD">
        <w:rPr>
          <w:szCs w:val="26"/>
        </w:rPr>
        <w:lastRenderedPageBreak/>
        <w:t xml:space="preserve">č. 272/2011 Sb. o ochraně zdraví před nepříznivými účinky hluku a vibrací, ve znění pozdějších předpisů a přílohou H metodického návodu pro měření a hodnocení hluku v mimopracovním prostředí, které vydalo </w:t>
      </w:r>
      <w:r w:rsidRPr="00C525CD">
        <w:rPr>
          <w:spacing w:val="-2"/>
          <w:szCs w:val="26"/>
        </w:rPr>
        <w:t xml:space="preserve">MZdr </w:t>
      </w:r>
      <w:r w:rsidRPr="00C525CD">
        <w:rPr>
          <w:szCs w:val="26"/>
        </w:rPr>
        <w:t>dne 18. 10. 2017</w:t>
      </w:r>
      <w:r w:rsidRPr="00C525CD">
        <w:rPr>
          <w:spacing w:val="-2"/>
          <w:szCs w:val="26"/>
        </w:rPr>
        <w:t>.</w:t>
      </w:r>
    </w:p>
    <w:p w:rsidR="009F18F9" w:rsidRPr="00C525CD" w:rsidRDefault="009F18F9" w:rsidP="009F18F9">
      <w:r w:rsidRPr="00C525CD">
        <w:t>Ve shodě s § 12 odst. 4 NV se SHZ zjišťuje měřením nebo výpočtem z údajů poskytnutých správcem, popřípadě vlastníkem pozemní komunikace o roční průměrné denní intenzitě a skladbě dopravy v roce 2000. Intenzity k roku 2000 byly předány TSK hl. m. Prahy a jsou uvedeny v tabulce 4.3.</w:t>
      </w:r>
    </w:p>
    <w:p w:rsidR="009F18F9" w:rsidRPr="00C525CD" w:rsidRDefault="009F18F9" w:rsidP="009F18F9">
      <w:pPr>
        <w:keepNext/>
        <w:keepLines/>
        <w:widowControl/>
        <w:spacing w:after="60"/>
        <w:ind w:left="992" w:hanging="992"/>
        <w:jc w:val="left"/>
        <w:rPr>
          <w:b/>
          <w:sz w:val="24"/>
        </w:rPr>
      </w:pPr>
      <w:r w:rsidRPr="00C525CD">
        <w:rPr>
          <w:b/>
          <w:sz w:val="24"/>
        </w:rPr>
        <w:t>Tab. 4.3. Intenzity silniční dopravy na předmětných komunikacích v roce 2000</w:t>
      </w:r>
    </w:p>
    <w:tbl>
      <w:tblPr>
        <w:tblW w:w="5000"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57" w:type="dxa"/>
          <w:right w:w="57" w:type="dxa"/>
        </w:tblCellMar>
        <w:tblLook w:val="01E0" w:firstRow="1" w:lastRow="1" w:firstColumn="1" w:lastColumn="1" w:noHBand="0" w:noVBand="0"/>
      </w:tblPr>
      <w:tblGrid>
        <w:gridCol w:w="2958"/>
        <w:gridCol w:w="2022"/>
        <w:gridCol w:w="2023"/>
        <w:gridCol w:w="2023"/>
      </w:tblGrid>
      <w:tr w:rsidR="009F18F9" w:rsidRPr="00C525CD" w:rsidTr="00D72CC3">
        <w:trPr>
          <w:tblHeader/>
        </w:trPr>
        <w:tc>
          <w:tcPr>
            <w:tcW w:w="0" w:type="auto"/>
            <w:vMerge w:val="restart"/>
            <w:shd w:val="clear" w:color="auto" w:fill="auto"/>
            <w:noWrap/>
            <w:vAlign w:val="center"/>
          </w:tcPr>
          <w:p w:rsidR="009F18F9" w:rsidRPr="00C525CD" w:rsidRDefault="009F18F9" w:rsidP="00D72CC3">
            <w:pPr>
              <w:widowControl/>
              <w:suppressAutoHyphens/>
              <w:spacing w:before="20" w:after="20" w:line="240" w:lineRule="auto"/>
              <w:ind w:firstLine="0"/>
              <w:jc w:val="left"/>
              <w:rPr>
                <w:b/>
                <w:bCs/>
                <w:sz w:val="20"/>
              </w:rPr>
            </w:pPr>
            <w:r w:rsidRPr="00C525CD">
              <w:rPr>
                <w:b/>
                <w:bCs/>
                <w:sz w:val="20"/>
              </w:rPr>
              <w:t>Ulice</w:t>
            </w:r>
          </w:p>
        </w:tc>
        <w:tc>
          <w:tcPr>
            <w:tcW w:w="0" w:type="auto"/>
            <w:gridSpan w:val="3"/>
            <w:shd w:val="clear" w:color="auto" w:fill="auto"/>
            <w:noWrap/>
            <w:vAlign w:val="center"/>
          </w:tcPr>
          <w:p w:rsidR="009F18F9" w:rsidRPr="00C525CD" w:rsidRDefault="009F18F9" w:rsidP="00D72CC3">
            <w:pPr>
              <w:widowControl/>
              <w:suppressAutoHyphens/>
              <w:spacing w:before="20" w:after="20" w:line="240" w:lineRule="auto"/>
              <w:ind w:firstLine="0"/>
              <w:jc w:val="center"/>
              <w:rPr>
                <w:b/>
                <w:bCs/>
                <w:sz w:val="20"/>
              </w:rPr>
            </w:pPr>
            <w:r w:rsidRPr="00C525CD">
              <w:rPr>
                <w:b/>
                <w:bCs/>
                <w:sz w:val="20"/>
              </w:rPr>
              <w:t>Celodenní intenzity</w:t>
            </w:r>
          </w:p>
        </w:tc>
      </w:tr>
      <w:tr w:rsidR="009F18F9" w:rsidRPr="00C525CD" w:rsidTr="00D72CC3">
        <w:trPr>
          <w:tblHeader/>
        </w:trPr>
        <w:tc>
          <w:tcPr>
            <w:tcW w:w="0" w:type="auto"/>
            <w:vMerge/>
            <w:shd w:val="clear" w:color="auto" w:fill="auto"/>
            <w:vAlign w:val="center"/>
          </w:tcPr>
          <w:p w:rsidR="009F18F9" w:rsidRPr="00C525CD" w:rsidRDefault="009F18F9" w:rsidP="00D72CC3">
            <w:pPr>
              <w:widowControl/>
              <w:suppressAutoHyphens/>
              <w:spacing w:before="20" w:after="20" w:line="240" w:lineRule="auto"/>
              <w:ind w:firstLine="0"/>
              <w:jc w:val="center"/>
              <w:rPr>
                <w:b/>
                <w:bCs/>
                <w:sz w:val="20"/>
              </w:rPr>
            </w:pPr>
          </w:p>
        </w:tc>
        <w:tc>
          <w:tcPr>
            <w:tcW w:w="2022" w:type="dxa"/>
            <w:shd w:val="clear" w:color="auto" w:fill="auto"/>
            <w:noWrap/>
            <w:vAlign w:val="center"/>
          </w:tcPr>
          <w:p w:rsidR="009F18F9" w:rsidRPr="00C525CD" w:rsidRDefault="009F18F9" w:rsidP="00D72CC3">
            <w:pPr>
              <w:widowControl/>
              <w:suppressAutoHyphens/>
              <w:spacing w:before="20" w:after="20" w:line="240" w:lineRule="auto"/>
              <w:ind w:firstLine="0"/>
              <w:jc w:val="center"/>
              <w:rPr>
                <w:b/>
                <w:bCs/>
                <w:sz w:val="20"/>
              </w:rPr>
            </w:pPr>
            <w:r w:rsidRPr="00C525CD">
              <w:rPr>
                <w:b/>
                <w:bCs/>
                <w:sz w:val="20"/>
              </w:rPr>
              <w:t>Všechna vozidla</w:t>
            </w:r>
          </w:p>
        </w:tc>
        <w:tc>
          <w:tcPr>
            <w:tcW w:w="2023" w:type="dxa"/>
            <w:tcBorders>
              <w:right w:val="single" w:sz="4"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b/>
                <w:bCs/>
                <w:sz w:val="20"/>
              </w:rPr>
            </w:pPr>
            <w:r w:rsidRPr="00C525CD">
              <w:rPr>
                <w:b/>
                <w:bCs/>
                <w:sz w:val="20"/>
              </w:rPr>
              <w:t>Pomalá vozidla</w:t>
            </w:r>
          </w:p>
        </w:tc>
        <w:tc>
          <w:tcPr>
            <w:tcW w:w="2023" w:type="dxa"/>
            <w:tcBorders>
              <w:left w:val="single" w:sz="4"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b/>
                <w:bCs/>
                <w:sz w:val="20"/>
              </w:rPr>
            </w:pPr>
            <w:r w:rsidRPr="00C525CD">
              <w:rPr>
                <w:b/>
                <w:bCs/>
                <w:sz w:val="20"/>
              </w:rPr>
              <w:t>MHD</w:t>
            </w:r>
          </w:p>
        </w:tc>
      </w:tr>
      <w:tr w:rsidR="009F18F9" w:rsidRPr="00C525CD" w:rsidTr="00D72CC3">
        <w:tc>
          <w:tcPr>
            <w:tcW w:w="0" w:type="auto"/>
            <w:shd w:val="clear" w:color="auto" w:fill="auto"/>
            <w:noWrap/>
            <w:vAlign w:val="center"/>
          </w:tcPr>
          <w:p w:rsidR="009F18F9" w:rsidRPr="00C525CD" w:rsidRDefault="009F18F9" w:rsidP="00D72CC3">
            <w:pPr>
              <w:widowControl/>
              <w:suppressAutoHyphens/>
              <w:spacing w:before="20" w:after="20" w:line="240" w:lineRule="auto"/>
              <w:ind w:firstLine="0"/>
              <w:jc w:val="left"/>
              <w:rPr>
                <w:sz w:val="20"/>
              </w:rPr>
            </w:pPr>
            <w:r w:rsidRPr="00C525CD">
              <w:rPr>
                <w:sz w:val="20"/>
              </w:rPr>
              <w:t xml:space="preserve">Komořanská </w:t>
            </w:r>
          </w:p>
        </w:tc>
        <w:tc>
          <w:tcPr>
            <w:tcW w:w="2022" w:type="dxa"/>
            <w:shd w:val="clear" w:color="auto" w:fill="auto"/>
            <w:noWrap/>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9 900</w:t>
            </w:r>
          </w:p>
        </w:tc>
        <w:tc>
          <w:tcPr>
            <w:tcW w:w="2023" w:type="dxa"/>
            <w:tcBorders>
              <w:right w:val="single" w:sz="4"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600</w:t>
            </w:r>
          </w:p>
        </w:tc>
        <w:tc>
          <w:tcPr>
            <w:tcW w:w="2023" w:type="dxa"/>
            <w:tcBorders>
              <w:left w:val="single" w:sz="4" w:space="0" w:color="auto"/>
            </w:tcBorders>
            <w:shd w:val="clear" w:color="auto" w:fill="auto"/>
            <w:vAlign w:val="center"/>
          </w:tcPr>
          <w:p w:rsidR="009F18F9" w:rsidRPr="00C525CD" w:rsidRDefault="009F18F9" w:rsidP="00D72CC3">
            <w:pPr>
              <w:widowControl/>
              <w:suppressAutoHyphens/>
              <w:spacing w:before="20" w:after="20" w:line="240" w:lineRule="auto"/>
              <w:ind w:firstLine="0"/>
              <w:jc w:val="center"/>
              <w:rPr>
                <w:sz w:val="20"/>
              </w:rPr>
            </w:pPr>
            <w:r w:rsidRPr="00C525CD">
              <w:rPr>
                <w:sz w:val="20"/>
              </w:rPr>
              <w:t>86</w:t>
            </w:r>
          </w:p>
        </w:tc>
      </w:tr>
    </w:tbl>
    <w:p w:rsidR="009F18F9" w:rsidRPr="00C525CD" w:rsidRDefault="009F18F9" w:rsidP="009F18F9">
      <w:pPr>
        <w:ind w:firstLine="0"/>
      </w:pPr>
    </w:p>
    <w:p w:rsidR="009F18F9" w:rsidRPr="00C525CD" w:rsidRDefault="009F18F9" w:rsidP="009F18F9">
      <w:pPr>
        <w:widowControl/>
      </w:pPr>
      <w:r w:rsidRPr="00C525CD">
        <w:t>Podíl noční doby na ulici Komořanská byl uvažován ve výši 7 % pro nákladní dopravu, pro všechna vozidla ve výši 5 %.</w:t>
      </w:r>
    </w:p>
    <w:p w:rsidR="009F18F9" w:rsidRPr="00C525CD" w:rsidRDefault="009F18F9" w:rsidP="009F18F9">
      <w:pPr>
        <w:rPr>
          <w:spacing w:val="-2"/>
          <w:szCs w:val="26"/>
        </w:rPr>
      </w:pPr>
      <w:r w:rsidRPr="00C525CD">
        <w:t>Hluková zátěž u posuzované chráněné zástavby byla stanovena pro rok 2000. Na základě dopravních podkladů byly v definovaných výpočtových bodech modelovým výpočtem stanoveny ekvivalentní hladiny akustického tlaku v denní a noční dobu, shrnutí výsledků uvádí tabulka 4.4. Jedná se o hluk dopadající na hranici chráněného venkovního prostoru hodnocených objektů</w:t>
      </w:r>
      <w:r w:rsidRPr="00C525CD">
        <w:rPr>
          <w:spacing w:val="-2"/>
          <w:szCs w:val="26"/>
        </w:rPr>
        <w:t xml:space="preserve">, tj. bez odrazu od přilehlé fasády. Korekční hodnota pro vozový park mezi posuzovanými časovými horizonty byla započítána ve shodě se schválenou úpravou Manuálu 2018 ve výši 1,5 dB. </w:t>
      </w:r>
      <w:r w:rsidRPr="00C525CD">
        <w:t>Vliv opotřebení povrchu vozovky mezi posuzovanými časovými horizonty nebyl uvažován.</w:t>
      </w:r>
    </w:p>
    <w:p w:rsidR="009F18F9" w:rsidRPr="00C525CD" w:rsidRDefault="009F18F9" w:rsidP="009F18F9">
      <w:r w:rsidRPr="00C525CD">
        <w:t xml:space="preserve">Starou hlukovou zátěž (SHZ) je možné v území uznat v případě, kdy se hladiny hluku před rokem 2001 pohybovaly v rozmezí 60 – 70 dB pro den nebo 50 – 60 dB pro noc. </w:t>
      </w:r>
      <w:r w:rsidRPr="00C525CD">
        <w:rPr>
          <w:spacing w:val="-2"/>
          <w:szCs w:val="26"/>
        </w:rPr>
        <w:t>Dle</w:t>
      </w:r>
      <w:r w:rsidRPr="00C525CD">
        <w:t xml:space="preserve"> metodického návodu pro měření a hodnocení hluku v mimopracovním prostředí Ministerstva zdravotnictví a ve shodě s výkladem Hygienické stanice hlavního města Prahy lze starou hlukovou zátěž tolerovat do doby, než dojde k navýšení výchozí hlučnosti (hlučnosti k rozhodnému datu) o více než 2 dB. Limitní hranicí je 70 dB v denní dobu a 60 dB v noční dobu, navrhované hygienické limity hluku nemohou překročit tyto hodnoty. </w:t>
      </w:r>
    </w:p>
    <w:p w:rsidR="009F18F9" w:rsidRPr="00C525CD" w:rsidRDefault="009F18F9" w:rsidP="009F18F9">
      <w:r w:rsidRPr="00C525CD">
        <w:t>Návrh hygienických limitů pro silniční dopravu v jednotlivých bodech, které zároveň charakterizují dílčí silniční úseky, uvádí následující tabulka.</w:t>
      </w:r>
    </w:p>
    <w:p w:rsidR="009F18F9" w:rsidRPr="00C525CD" w:rsidRDefault="009F18F9" w:rsidP="00B04485">
      <w:pPr>
        <w:keepNext/>
        <w:keepLines/>
        <w:widowControl/>
        <w:spacing w:after="60"/>
        <w:ind w:left="992" w:hanging="992"/>
        <w:jc w:val="left"/>
        <w:rPr>
          <w:b/>
          <w:sz w:val="24"/>
        </w:rPr>
      </w:pPr>
      <w:r w:rsidRPr="00C525CD">
        <w:rPr>
          <w:b/>
          <w:sz w:val="24"/>
        </w:rPr>
        <w:t>Tab. 4.4. Navrhované hygienické limity pro silniční dopravu</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57" w:type="dxa"/>
          <w:right w:w="57" w:type="dxa"/>
        </w:tblCellMar>
        <w:tblLook w:val="0000" w:firstRow="0" w:lastRow="0" w:firstColumn="0" w:lastColumn="0" w:noHBand="0" w:noVBand="0"/>
      </w:tblPr>
      <w:tblGrid>
        <w:gridCol w:w="1478"/>
        <w:gridCol w:w="685"/>
        <w:gridCol w:w="1759"/>
        <w:gridCol w:w="1213"/>
        <w:gridCol w:w="1213"/>
        <w:gridCol w:w="1339"/>
        <w:gridCol w:w="1339"/>
      </w:tblGrid>
      <w:tr w:rsidR="009F18F9" w:rsidRPr="00C525CD" w:rsidTr="00D72CC3">
        <w:trPr>
          <w:tblHeader/>
          <w:jc w:val="center"/>
        </w:trPr>
        <w:tc>
          <w:tcPr>
            <w:tcW w:w="0" w:type="auto"/>
            <w:vMerge w:val="restart"/>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Výpočtový bod</w:t>
            </w:r>
          </w:p>
        </w:tc>
        <w:tc>
          <w:tcPr>
            <w:tcW w:w="0" w:type="auto"/>
            <w:vMerge w:val="restart"/>
            <w:tcBorders>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 xml:space="preserve">Výška </w:t>
            </w:r>
          </w:p>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[NP]</w:t>
            </w:r>
          </w:p>
        </w:tc>
        <w:tc>
          <w:tcPr>
            <w:tcW w:w="0" w:type="auto"/>
            <w:vMerge w:val="restart"/>
            <w:tcBorders>
              <w:left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Adresný bod</w:t>
            </w:r>
          </w:p>
        </w:tc>
        <w:tc>
          <w:tcPr>
            <w:tcW w:w="0" w:type="auto"/>
            <w:vMerge w:val="restart"/>
            <w:tcBorders>
              <w:lef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eqA, </w:t>
            </w:r>
            <w:r w:rsidRPr="00C525CD">
              <w:rPr>
                <w:b/>
                <w:i/>
                <w:sz w:val="20"/>
                <w:vertAlign w:val="subscript"/>
              </w:rPr>
              <w:t>den</w:t>
            </w:r>
            <w:r w:rsidRPr="00C525CD">
              <w:rPr>
                <w:b/>
                <w:sz w:val="20"/>
              </w:rPr>
              <w:t xml:space="preserve"> [dB]</w:t>
            </w:r>
          </w:p>
        </w:tc>
        <w:tc>
          <w:tcPr>
            <w:tcW w:w="0" w:type="auto"/>
            <w:vMerge w:val="restart"/>
            <w:tcBorders>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eqA, </w:t>
            </w:r>
            <w:r w:rsidRPr="00C525CD">
              <w:rPr>
                <w:b/>
                <w:i/>
                <w:sz w:val="20"/>
                <w:vertAlign w:val="subscript"/>
              </w:rPr>
              <w:t>noc</w:t>
            </w:r>
            <w:r w:rsidRPr="00C525CD">
              <w:rPr>
                <w:b/>
                <w:sz w:val="20"/>
              </w:rPr>
              <w:t xml:space="preserve"> [dB]</w:t>
            </w:r>
          </w:p>
        </w:tc>
        <w:tc>
          <w:tcPr>
            <w:tcW w:w="0" w:type="auto"/>
            <w:gridSpan w:val="2"/>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 xml:space="preserve">Navrhovaný hygienický limit </w:t>
            </w:r>
          </w:p>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hluku pro silniční dopravu</w:t>
            </w:r>
          </w:p>
        </w:tc>
      </w:tr>
      <w:tr w:rsidR="009F18F9" w:rsidRPr="00C525CD" w:rsidTr="00D72CC3">
        <w:trPr>
          <w:tblHeader/>
          <w:jc w:val="center"/>
        </w:trPr>
        <w:tc>
          <w:tcPr>
            <w:tcW w:w="0" w:type="auto"/>
            <w:vMerge/>
            <w:tcBorders>
              <w:bottom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p>
        </w:tc>
        <w:tc>
          <w:tcPr>
            <w:tcW w:w="0" w:type="auto"/>
            <w:vMerge/>
            <w:tcBorders>
              <w:bottom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p>
        </w:tc>
        <w:tc>
          <w:tcPr>
            <w:tcW w:w="0" w:type="auto"/>
            <w:vMerge/>
            <w:tcBorders>
              <w:left w:val="single" w:sz="12" w:space="0" w:color="auto"/>
              <w:bottom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p>
        </w:tc>
        <w:tc>
          <w:tcPr>
            <w:tcW w:w="0" w:type="auto"/>
            <w:vMerge/>
            <w:tcBorders>
              <w:left w:val="single" w:sz="12" w:space="0" w:color="auto"/>
              <w:bottom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i/>
                <w:sz w:val="20"/>
              </w:rPr>
            </w:pPr>
          </w:p>
        </w:tc>
        <w:tc>
          <w:tcPr>
            <w:tcW w:w="0" w:type="auto"/>
            <w:vMerge/>
            <w:tcBorders>
              <w:bottom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i/>
                <w:sz w:val="20"/>
              </w:rPr>
            </w:pPr>
          </w:p>
        </w:tc>
        <w:tc>
          <w:tcPr>
            <w:tcW w:w="0" w:type="auto"/>
            <w:tcBorders>
              <w:left w:val="single" w:sz="12" w:space="0" w:color="auto"/>
              <w:bottom w:val="single" w:sz="12" w:space="0" w:color="auto"/>
            </w:tcBorders>
            <w:shd w:val="clear" w:color="auto" w:fill="auto"/>
            <w:tcMar>
              <w:top w:w="28" w:type="dxa"/>
              <w:left w:w="28" w:type="dxa"/>
              <w:bottom w:w="28" w:type="dxa"/>
              <w:right w:w="28" w:type="dxa"/>
            </w:tcMar>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eqA, </w:t>
            </w:r>
            <w:r w:rsidRPr="00C525CD">
              <w:rPr>
                <w:b/>
                <w:i/>
                <w:sz w:val="20"/>
                <w:vertAlign w:val="subscript"/>
              </w:rPr>
              <w:t>den</w:t>
            </w:r>
            <w:r w:rsidRPr="00C525CD">
              <w:rPr>
                <w:b/>
                <w:sz w:val="20"/>
              </w:rPr>
              <w:t xml:space="preserve"> [dB]</w:t>
            </w:r>
          </w:p>
        </w:tc>
        <w:tc>
          <w:tcPr>
            <w:tcW w:w="0" w:type="auto"/>
            <w:tcBorders>
              <w:bottom w:val="single" w:sz="12" w:space="0" w:color="auto"/>
            </w:tcBorders>
            <w:shd w:val="clear" w:color="auto" w:fill="auto"/>
            <w:tcMar>
              <w:top w:w="28" w:type="dxa"/>
              <w:left w:w="28" w:type="dxa"/>
              <w:bottom w:w="28" w:type="dxa"/>
              <w:right w:w="28" w:type="dxa"/>
            </w:tcMar>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eqA, </w:t>
            </w:r>
            <w:r w:rsidRPr="00C525CD">
              <w:rPr>
                <w:b/>
                <w:i/>
                <w:sz w:val="20"/>
                <w:vertAlign w:val="subscript"/>
              </w:rPr>
              <w:t>noc</w:t>
            </w:r>
            <w:r w:rsidRPr="00C525CD">
              <w:rPr>
                <w:b/>
                <w:sz w:val="20"/>
              </w:rPr>
              <w:t xml:space="preserve"> [dB]</w:t>
            </w:r>
          </w:p>
        </w:tc>
      </w:tr>
      <w:tr w:rsidR="009F18F9" w:rsidRPr="00C525CD" w:rsidTr="00D72CC3">
        <w:trPr>
          <w:jc w:val="center"/>
        </w:trPr>
        <w:tc>
          <w:tcPr>
            <w:tcW w:w="0" w:type="auto"/>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0" w:type="auto"/>
            <w:tcBorders>
              <w:top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0" w:type="auto"/>
            <w:vMerge w:val="restart"/>
            <w:tcBorders>
              <w:top w:val="single" w:sz="12" w:space="0" w:color="auto"/>
              <w:left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Palmetová 2104/40</w:t>
            </w:r>
          </w:p>
        </w:tc>
        <w:tc>
          <w:tcPr>
            <w:tcW w:w="0" w:type="auto"/>
            <w:tcBorders>
              <w:top w:val="single" w:sz="12" w:space="0" w:color="auto"/>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62,7</w:t>
            </w:r>
          </w:p>
        </w:tc>
        <w:tc>
          <w:tcPr>
            <w:tcW w:w="0" w:type="auto"/>
            <w:tcBorders>
              <w:top w:val="single" w:sz="12" w:space="0" w:color="auto"/>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54,2</w:t>
            </w:r>
          </w:p>
        </w:tc>
        <w:tc>
          <w:tcPr>
            <w:tcW w:w="0" w:type="auto"/>
            <w:tcBorders>
              <w:top w:val="single" w:sz="12" w:space="0" w:color="auto"/>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64,7</w:t>
            </w:r>
          </w:p>
        </w:tc>
        <w:tc>
          <w:tcPr>
            <w:tcW w:w="0" w:type="auto"/>
            <w:tcBorders>
              <w:top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56,2</w:t>
            </w:r>
          </w:p>
        </w:tc>
      </w:tr>
      <w:tr w:rsidR="009F18F9" w:rsidRPr="00C525CD" w:rsidTr="00D72CC3">
        <w:trPr>
          <w:trHeight w:val="55"/>
          <w:jc w:val="center"/>
        </w:trPr>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lastRenderedPageBreak/>
              <w:t>1</w:t>
            </w:r>
          </w:p>
        </w:tc>
        <w:tc>
          <w:tcPr>
            <w:tcW w:w="0" w:type="auto"/>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vMerge/>
            <w:tcBorders>
              <w:left w:val="single" w:sz="12" w:space="0" w:color="auto"/>
              <w:right w:val="single" w:sz="12" w:space="0" w:color="auto"/>
            </w:tcBorders>
            <w:shd w:val="clear" w:color="auto" w:fill="auto"/>
            <w:vAlign w:val="center"/>
          </w:tcPr>
          <w:p w:rsidR="009F18F9" w:rsidRPr="00C525CD" w:rsidRDefault="009F18F9" w:rsidP="00D72CC3">
            <w:pPr>
              <w:widowControl/>
              <w:suppressAutoHyphens/>
              <w:spacing w:before="0" w:line="240" w:lineRule="auto"/>
              <w:ind w:firstLine="0"/>
              <w:jc w:val="center"/>
              <w:rPr>
                <w:sz w:val="20"/>
              </w:rPr>
            </w:pP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63,0</w:t>
            </w:r>
          </w:p>
        </w:tc>
        <w:tc>
          <w:tcPr>
            <w:tcW w:w="0" w:type="auto"/>
            <w:tcBorders>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54,7</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65,0</w:t>
            </w:r>
          </w:p>
        </w:tc>
        <w:tc>
          <w:tcPr>
            <w:tcW w:w="0" w:type="auto"/>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56,7</w:t>
            </w:r>
          </w:p>
        </w:tc>
      </w:tr>
      <w:tr w:rsidR="009F18F9" w:rsidRPr="00C525CD" w:rsidTr="00D72CC3">
        <w:trPr>
          <w:jc w:val="center"/>
        </w:trPr>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0" w:type="auto"/>
            <w:vMerge w:val="restart"/>
            <w:tcBorders>
              <w:left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Hudcova 18</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55,0</w:t>
            </w:r>
          </w:p>
        </w:tc>
        <w:tc>
          <w:tcPr>
            <w:tcW w:w="0" w:type="auto"/>
            <w:tcBorders>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46,2</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60</w:t>
            </w:r>
          </w:p>
        </w:tc>
        <w:tc>
          <w:tcPr>
            <w:tcW w:w="0" w:type="auto"/>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50</w:t>
            </w:r>
          </w:p>
        </w:tc>
      </w:tr>
      <w:tr w:rsidR="009F18F9" w:rsidRPr="00C525CD" w:rsidTr="00D72CC3">
        <w:trPr>
          <w:jc w:val="center"/>
        </w:trPr>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vMerge/>
            <w:tcBorders>
              <w:left w:val="single" w:sz="12" w:space="0" w:color="auto"/>
              <w:right w:val="single" w:sz="12" w:space="0" w:color="auto"/>
            </w:tcBorders>
            <w:shd w:val="clear" w:color="auto" w:fill="auto"/>
            <w:vAlign w:val="center"/>
          </w:tcPr>
          <w:p w:rsidR="009F18F9" w:rsidRPr="00C525CD" w:rsidRDefault="009F18F9" w:rsidP="00D72CC3">
            <w:pPr>
              <w:widowControl/>
              <w:suppressAutoHyphens/>
              <w:spacing w:before="0" w:line="240" w:lineRule="auto"/>
              <w:ind w:firstLine="0"/>
              <w:jc w:val="center"/>
              <w:rPr>
                <w:sz w:val="20"/>
              </w:rPr>
            </w:pP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55,1</w:t>
            </w:r>
          </w:p>
        </w:tc>
        <w:tc>
          <w:tcPr>
            <w:tcW w:w="0" w:type="auto"/>
            <w:tcBorders>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46,4</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60</w:t>
            </w:r>
          </w:p>
        </w:tc>
        <w:tc>
          <w:tcPr>
            <w:tcW w:w="0" w:type="auto"/>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50</w:t>
            </w:r>
          </w:p>
        </w:tc>
      </w:tr>
      <w:tr w:rsidR="009F18F9" w:rsidRPr="00C525CD" w:rsidTr="00D72CC3">
        <w:trPr>
          <w:jc w:val="center"/>
        </w:trPr>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0" w:type="auto"/>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0" w:type="auto"/>
            <w:vMerge w:val="restart"/>
            <w:tcBorders>
              <w:left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Závist 1172</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62,3</w:t>
            </w:r>
          </w:p>
        </w:tc>
        <w:tc>
          <w:tcPr>
            <w:tcW w:w="0" w:type="auto"/>
            <w:tcBorders>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53,5</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64,3</w:t>
            </w:r>
          </w:p>
        </w:tc>
        <w:tc>
          <w:tcPr>
            <w:tcW w:w="0" w:type="auto"/>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55,5</w:t>
            </w:r>
          </w:p>
        </w:tc>
      </w:tr>
      <w:tr w:rsidR="009F18F9" w:rsidRPr="00C525CD" w:rsidTr="00D72CC3">
        <w:trPr>
          <w:jc w:val="center"/>
        </w:trPr>
        <w:tc>
          <w:tcPr>
            <w:tcW w:w="0" w:type="auto"/>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0" w:type="auto"/>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0" w:type="auto"/>
            <w:vMerge/>
            <w:tcBorders>
              <w:left w:val="single" w:sz="12" w:space="0" w:color="auto"/>
              <w:right w:val="single" w:sz="12" w:space="0" w:color="auto"/>
            </w:tcBorders>
            <w:shd w:val="clear" w:color="auto" w:fill="auto"/>
            <w:vAlign w:val="center"/>
          </w:tcPr>
          <w:p w:rsidR="009F18F9" w:rsidRPr="00C525CD" w:rsidRDefault="009F18F9" w:rsidP="00D72CC3">
            <w:pPr>
              <w:widowControl/>
              <w:suppressAutoHyphens/>
              <w:spacing w:before="0" w:line="240" w:lineRule="auto"/>
              <w:ind w:firstLine="0"/>
              <w:jc w:val="center"/>
              <w:rPr>
                <w:sz w:val="20"/>
              </w:rPr>
            </w:pP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62,5</w:t>
            </w:r>
          </w:p>
        </w:tc>
        <w:tc>
          <w:tcPr>
            <w:tcW w:w="0" w:type="auto"/>
            <w:tcBorders>
              <w:righ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bCs/>
                <w:sz w:val="20"/>
              </w:rPr>
            </w:pPr>
            <w:r w:rsidRPr="00C525CD">
              <w:rPr>
                <w:bCs/>
                <w:sz w:val="20"/>
              </w:rPr>
              <w:t>53,7</w:t>
            </w:r>
          </w:p>
        </w:tc>
        <w:tc>
          <w:tcPr>
            <w:tcW w:w="0" w:type="auto"/>
            <w:tcBorders>
              <w:left w:val="single" w:sz="12" w:space="0" w:color="auto"/>
            </w:tcBorders>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64,5</w:t>
            </w:r>
          </w:p>
        </w:tc>
        <w:tc>
          <w:tcPr>
            <w:tcW w:w="0" w:type="auto"/>
            <w:shd w:val="clear" w:color="auto" w:fill="auto"/>
            <w:tcMar>
              <w:top w:w="28" w:type="dxa"/>
              <w:left w:w="28" w:type="dxa"/>
              <w:bottom w:w="28" w:type="dxa"/>
              <w:right w:w="28" w:type="dxa"/>
            </w:tcMar>
            <w:vAlign w:val="center"/>
          </w:tcPr>
          <w:p w:rsidR="009F18F9" w:rsidRPr="00C525CD" w:rsidRDefault="009F18F9" w:rsidP="00D72CC3">
            <w:pPr>
              <w:widowControl/>
              <w:spacing w:before="0" w:line="240" w:lineRule="auto"/>
              <w:ind w:firstLine="0"/>
              <w:jc w:val="center"/>
              <w:rPr>
                <w:sz w:val="20"/>
              </w:rPr>
            </w:pPr>
            <w:r w:rsidRPr="00C525CD">
              <w:rPr>
                <w:sz w:val="20"/>
              </w:rPr>
              <w:t>55,7</w:t>
            </w:r>
          </w:p>
        </w:tc>
      </w:tr>
    </w:tbl>
    <w:p w:rsidR="009F18F9" w:rsidRPr="00C525CD" w:rsidRDefault="009F18F9" w:rsidP="009F18F9"/>
    <w:p w:rsidR="009F18F9" w:rsidRPr="00C525CD" w:rsidRDefault="009F18F9" w:rsidP="009F18F9">
      <w:pPr>
        <w:widowControl/>
      </w:pPr>
      <w:r w:rsidRPr="00C525CD">
        <w:t>Návrh nenahrazuje vyjádření orgánu ochrany veřejného zdraví. Posouzení je potřeba brát jako názor odborného pracoviště. Konečné stanovení limitů a závěrečná hodnocení jsou v kompetenci místně příslušného orgánu ochrany veřejného zdraví.</w:t>
      </w:r>
    </w:p>
    <w:p w:rsidR="009F18F9" w:rsidRPr="00C525CD" w:rsidRDefault="009F18F9" w:rsidP="009F18F9"/>
    <w:p w:rsidR="009F18F9" w:rsidRPr="00C525CD" w:rsidRDefault="009F18F9" w:rsidP="009F18F9">
      <w:pPr>
        <w:pStyle w:val="Nadpis2"/>
        <w:numPr>
          <w:ilvl w:val="1"/>
          <w:numId w:val="4"/>
        </w:numPr>
      </w:pPr>
      <w:bookmarkStart w:id="15" w:name="_Toc73358424"/>
      <w:r w:rsidRPr="00C525CD">
        <w:t>Výsledky modelových výpočtů</w:t>
      </w:r>
      <w:bookmarkEnd w:id="15"/>
    </w:p>
    <w:p w:rsidR="009F18F9" w:rsidRPr="00C525CD" w:rsidRDefault="009F18F9" w:rsidP="009F18F9">
      <w:pPr>
        <w:pStyle w:val="Nadpis2"/>
        <w:numPr>
          <w:ilvl w:val="2"/>
          <w:numId w:val="4"/>
        </w:numPr>
      </w:pPr>
      <w:bookmarkStart w:id="16" w:name="_Toc73358425"/>
      <w:r w:rsidRPr="00C525CD">
        <w:t>Stav bez provedení změny – výchozí stav</w:t>
      </w:r>
      <w:bookmarkEnd w:id="16"/>
    </w:p>
    <w:p w:rsidR="009F18F9" w:rsidRPr="00C525CD" w:rsidRDefault="009F18F9" w:rsidP="009F18F9">
      <w:pPr>
        <w:widowControl/>
      </w:pPr>
      <w:r w:rsidRPr="00C525CD">
        <w:t>V území byly vypočteny v denní dobu ekvivalentní hladiny akustického tlaku ze silniční dopravy v rozmezí od 54,3 dB do 59,0 dB v denní a od 47,7 dB do 50,8 dB v noční dobu. Nejvyšší akustické příspěvky byly vypočteny mimo obytnou zástavbu podél Pražského okruhu.</w:t>
      </w:r>
    </w:p>
    <w:p w:rsidR="009F18F9" w:rsidRPr="00C525CD" w:rsidRDefault="009F18F9" w:rsidP="009F18F9">
      <w:pPr>
        <w:widowControl/>
      </w:pPr>
      <w:r w:rsidRPr="00C525CD">
        <w:t>Navrhované hygienické limity pro hluk ze silniční dopravy jsou v území ve výpočtových bodech splněny. Akustickou zátěž v denní a noční dobu před odsouhlasením posuzované změny ukazuje tabulka 4.5.</w:t>
      </w:r>
    </w:p>
    <w:p w:rsidR="009F18F9" w:rsidRPr="00C525CD" w:rsidRDefault="009F18F9" w:rsidP="009F18F9">
      <w:pPr>
        <w:widowControl/>
      </w:pPr>
    </w:p>
    <w:p w:rsidR="009F18F9" w:rsidRPr="00C525CD" w:rsidRDefault="009F18F9" w:rsidP="009F18F9">
      <w:pPr>
        <w:pStyle w:val="Nadpis2"/>
        <w:numPr>
          <w:ilvl w:val="2"/>
          <w:numId w:val="4"/>
        </w:numPr>
      </w:pPr>
      <w:bookmarkStart w:id="17" w:name="_Toc73358426"/>
      <w:r w:rsidRPr="00C525CD">
        <w:t xml:space="preserve">Stav po odsouhlasení změny </w:t>
      </w:r>
      <w:r w:rsidR="00764732" w:rsidRPr="00C525CD">
        <w:t>Z 3111/10</w:t>
      </w:r>
      <w:bookmarkEnd w:id="17"/>
    </w:p>
    <w:p w:rsidR="009F18F9" w:rsidRPr="00C525CD" w:rsidRDefault="009F18F9" w:rsidP="009F18F9">
      <w:r w:rsidRPr="00C525CD">
        <w:t xml:space="preserve">Vlivem odsouhlasení posuzované změny </w:t>
      </w:r>
      <w:r w:rsidR="00764732" w:rsidRPr="00C525CD">
        <w:t>Z 3111</w:t>
      </w:r>
      <w:r w:rsidRPr="00C525CD">
        <w:t>/10 dojde v území ke změně hlukových poměrů. Nárůst hlukové zátěže lze očekávat podél Komořanské ve směru do Komořan, kde dojde k nejvýraznějšímu nárůstu dopravy. Navýšení ekvivalentních hladin akustického tlaku zde bude podle výsledků modelových výpočtů dosahovat až 0,7 dB v denní a 0,4 dB v noční dobu, akustická situace se však v území pozorovatelně nezmění</w:t>
      </w:r>
      <w:r w:rsidRPr="00C525CD">
        <w:rPr>
          <w:rStyle w:val="Znakapoznpodarou"/>
        </w:rPr>
        <w:footnoteReference w:id="1"/>
      </w:r>
      <w:r w:rsidRPr="00C525CD">
        <w:t xml:space="preserve">. Stejně tak navrhované hygienické limity nebude vlivem navýšení hlučnosti v území překročeny. </w:t>
      </w:r>
    </w:p>
    <w:p w:rsidR="009F18F9" w:rsidRPr="00C525CD" w:rsidRDefault="009F18F9" w:rsidP="009F18F9">
      <w:r w:rsidRPr="00C525CD">
        <w:t xml:space="preserve">Podél Komořanské ve směru k Břežanskému údolí pak lze očekávat pokles hlukové zátěže, a to do 0,2 dB v denní i noční dobu. </w:t>
      </w:r>
    </w:p>
    <w:p w:rsidR="009F18F9" w:rsidRPr="00C525CD" w:rsidRDefault="009F18F9" w:rsidP="009F18F9">
      <w:r w:rsidRPr="00C525CD">
        <w:lastRenderedPageBreak/>
        <w:t xml:space="preserve">Detailní vyhodnocení akustické zátěže v zájmovém území (působení automobilové dopravy) ve výpočtových bodech před a po odsouhlasení navrhované změny je uvedeno v tabulce 4.5. </w:t>
      </w:r>
    </w:p>
    <w:p w:rsidR="009F18F9" w:rsidRPr="00C525CD" w:rsidRDefault="009F18F9" w:rsidP="009F18F9">
      <w:pPr>
        <w:keepNext/>
        <w:keepLines/>
        <w:widowControl/>
        <w:spacing w:after="60"/>
        <w:ind w:left="992" w:hanging="992"/>
        <w:jc w:val="left"/>
        <w:rPr>
          <w:b/>
          <w:sz w:val="24"/>
        </w:rPr>
      </w:pPr>
      <w:r w:rsidRPr="00C525CD">
        <w:rPr>
          <w:b/>
          <w:sz w:val="24"/>
        </w:rPr>
        <w:t xml:space="preserve">Tab. 4.5. Hluková zátěž ze silniční dopravy pro změnu </w:t>
      </w:r>
      <w:r w:rsidR="00764732" w:rsidRPr="00C525CD">
        <w:rPr>
          <w:b/>
          <w:sz w:val="24"/>
        </w:rPr>
        <w:t>Z 3111</w:t>
      </w:r>
      <w:r w:rsidRPr="00C525CD">
        <w:rPr>
          <w:b/>
          <w:sz w:val="24"/>
        </w:rPr>
        <w:t>/10, výhled ÚP – dopadající hluk [dB]</w:t>
      </w:r>
    </w:p>
    <w:tbl>
      <w:tblPr>
        <w:tblW w:w="5057"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85" w:type="dxa"/>
          <w:right w:w="85" w:type="dxa"/>
        </w:tblCellMar>
        <w:tblLook w:val="0000" w:firstRow="0" w:lastRow="0" w:firstColumn="0" w:lastColumn="0" w:noHBand="0" w:noVBand="0"/>
      </w:tblPr>
      <w:tblGrid>
        <w:gridCol w:w="603"/>
        <w:gridCol w:w="693"/>
        <w:gridCol w:w="900"/>
        <w:gridCol w:w="990"/>
        <w:gridCol w:w="991"/>
        <w:gridCol w:w="990"/>
        <w:gridCol w:w="990"/>
        <w:gridCol w:w="991"/>
        <w:gridCol w:w="990"/>
        <w:gridCol w:w="991"/>
      </w:tblGrid>
      <w:tr w:rsidR="009F18F9" w:rsidRPr="00C525CD" w:rsidTr="00D72CC3">
        <w:trPr>
          <w:cantSplit/>
          <w:tblHeader/>
        </w:trPr>
        <w:tc>
          <w:tcPr>
            <w:tcW w:w="617" w:type="dxa"/>
            <w:vMerge w:val="restart"/>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Bod</w:t>
            </w:r>
          </w:p>
        </w:tc>
        <w:tc>
          <w:tcPr>
            <w:tcW w:w="708" w:type="dxa"/>
            <w:vMerge w:val="restart"/>
            <w:tcBorders>
              <w:righ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lang w:eastAsia="ar-SA"/>
              </w:rPr>
            </w:pPr>
            <w:r w:rsidRPr="00C525CD">
              <w:rPr>
                <w:b/>
                <w:bCs/>
                <w:sz w:val="20"/>
              </w:rPr>
              <w:t>Výška</w:t>
            </w:r>
            <w:r w:rsidRPr="00C525CD">
              <w:rPr>
                <w:b/>
                <w:bCs/>
                <w:sz w:val="20"/>
              </w:rPr>
              <w:br/>
              <w:t>[NP]</w:t>
            </w:r>
          </w:p>
        </w:tc>
        <w:tc>
          <w:tcPr>
            <w:tcW w:w="8023" w:type="dxa"/>
            <w:gridSpan w:val="8"/>
            <w:tcBorders>
              <w:lef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sz w:val="20"/>
              </w:rPr>
            </w:pPr>
            <w:r w:rsidRPr="00C525CD">
              <w:rPr>
                <w:b/>
                <w:sz w:val="20"/>
              </w:rPr>
              <w:t>Výhled ÚPn – silniční síť v území dle platného ÚPn</w:t>
            </w:r>
          </w:p>
        </w:tc>
      </w:tr>
      <w:tr w:rsidR="009F18F9" w:rsidRPr="00C525CD" w:rsidTr="00D72CC3">
        <w:trPr>
          <w:cantSplit/>
          <w:tblHeader/>
        </w:trPr>
        <w:tc>
          <w:tcPr>
            <w:tcW w:w="617" w:type="dxa"/>
            <w:vMerge/>
            <w:shd w:val="clear" w:color="auto" w:fill="auto"/>
            <w:vAlign w:val="center"/>
          </w:tcPr>
          <w:p w:rsidR="009F18F9" w:rsidRPr="00C525CD" w:rsidRDefault="009F18F9" w:rsidP="00D72CC3">
            <w:pPr>
              <w:keepNext/>
              <w:keepLines/>
              <w:widowControl/>
              <w:suppressAutoHyphens/>
              <w:spacing w:before="0" w:line="240" w:lineRule="auto"/>
              <w:ind w:firstLine="0"/>
              <w:jc w:val="left"/>
              <w:rPr>
                <w:b/>
                <w:bCs/>
                <w:sz w:val="20"/>
              </w:rPr>
            </w:pPr>
          </w:p>
        </w:tc>
        <w:tc>
          <w:tcPr>
            <w:tcW w:w="708" w:type="dxa"/>
            <w:vMerge/>
            <w:tcBorders>
              <w:righ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left"/>
              <w:rPr>
                <w:b/>
                <w:bCs/>
                <w:sz w:val="20"/>
                <w:lang w:eastAsia="ar-SA"/>
              </w:rPr>
            </w:pPr>
          </w:p>
        </w:tc>
        <w:tc>
          <w:tcPr>
            <w:tcW w:w="3965" w:type="dxa"/>
            <w:gridSpan w:val="4"/>
            <w:tcBorders>
              <w:top w:val="single" w:sz="12" w:space="0" w:color="auto"/>
              <w:left w:val="single" w:sz="12" w:space="0" w:color="auto"/>
              <w:righ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Aeq, </w:t>
            </w:r>
            <w:r w:rsidRPr="00C525CD">
              <w:rPr>
                <w:b/>
                <w:i/>
                <w:sz w:val="20"/>
                <w:vertAlign w:val="subscript"/>
              </w:rPr>
              <w:t>6-22</w:t>
            </w:r>
            <w:r w:rsidRPr="00C525CD">
              <w:rPr>
                <w:b/>
                <w:sz w:val="20"/>
              </w:rPr>
              <w:t xml:space="preserve"> [dB] – denní doba</w:t>
            </w:r>
          </w:p>
        </w:tc>
        <w:tc>
          <w:tcPr>
            <w:tcW w:w="4058" w:type="dxa"/>
            <w:gridSpan w:val="4"/>
            <w:tcBorders>
              <w:top w:val="single" w:sz="12" w:space="0" w:color="auto"/>
              <w:lef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Aeq, </w:t>
            </w:r>
            <w:r w:rsidRPr="00C525CD">
              <w:rPr>
                <w:b/>
                <w:i/>
                <w:sz w:val="20"/>
                <w:vertAlign w:val="subscript"/>
              </w:rPr>
              <w:t>22-6</w:t>
            </w:r>
            <w:r w:rsidRPr="00C525CD">
              <w:rPr>
                <w:b/>
                <w:sz w:val="20"/>
              </w:rPr>
              <w:t xml:space="preserve"> [dB] – noční doba </w:t>
            </w:r>
          </w:p>
        </w:tc>
      </w:tr>
      <w:tr w:rsidR="009F18F9" w:rsidRPr="00C525CD" w:rsidTr="00D72CC3">
        <w:trPr>
          <w:cantSplit/>
          <w:tblHeader/>
        </w:trPr>
        <w:tc>
          <w:tcPr>
            <w:tcW w:w="617" w:type="dxa"/>
            <w:vMerge/>
            <w:shd w:val="clear" w:color="auto" w:fill="auto"/>
            <w:vAlign w:val="center"/>
          </w:tcPr>
          <w:p w:rsidR="009F18F9" w:rsidRPr="00C525CD" w:rsidRDefault="009F18F9" w:rsidP="00D72CC3">
            <w:pPr>
              <w:keepNext/>
              <w:keepLines/>
              <w:widowControl/>
              <w:suppressAutoHyphens/>
              <w:spacing w:before="0" w:line="240" w:lineRule="auto"/>
              <w:ind w:firstLine="0"/>
              <w:jc w:val="left"/>
              <w:rPr>
                <w:b/>
                <w:bCs/>
                <w:sz w:val="20"/>
              </w:rPr>
            </w:pPr>
          </w:p>
        </w:tc>
        <w:tc>
          <w:tcPr>
            <w:tcW w:w="708" w:type="dxa"/>
            <w:vMerge/>
            <w:tcBorders>
              <w:righ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left"/>
              <w:rPr>
                <w:b/>
                <w:bCs/>
                <w:sz w:val="20"/>
                <w:lang w:eastAsia="ar-SA"/>
              </w:rPr>
            </w:pPr>
          </w:p>
        </w:tc>
        <w:tc>
          <w:tcPr>
            <w:tcW w:w="922" w:type="dxa"/>
            <w:tcBorders>
              <w:top w:val="single" w:sz="12" w:space="0" w:color="auto"/>
              <w:lef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Výchozí stav</w:t>
            </w:r>
          </w:p>
        </w:tc>
        <w:tc>
          <w:tcPr>
            <w:tcW w:w="1014" w:type="dxa"/>
            <w:tcBorders>
              <w:top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Po změně</w:t>
            </w:r>
          </w:p>
        </w:tc>
        <w:tc>
          <w:tcPr>
            <w:tcW w:w="1015" w:type="dxa"/>
            <w:tcBorders>
              <w:top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Rozdíl</w:t>
            </w:r>
          </w:p>
        </w:tc>
        <w:tc>
          <w:tcPr>
            <w:tcW w:w="1014" w:type="dxa"/>
            <w:tcBorders>
              <w:top w:val="single" w:sz="12" w:space="0" w:color="auto"/>
              <w:righ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Hyg. limit</w:t>
            </w:r>
          </w:p>
        </w:tc>
        <w:tc>
          <w:tcPr>
            <w:tcW w:w="1014" w:type="dxa"/>
            <w:tcBorders>
              <w:top w:val="single" w:sz="12" w:space="0" w:color="auto"/>
              <w:left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Výchozí stav</w:t>
            </w:r>
          </w:p>
        </w:tc>
        <w:tc>
          <w:tcPr>
            <w:tcW w:w="1015" w:type="dxa"/>
            <w:tcBorders>
              <w:top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Po změně</w:t>
            </w:r>
          </w:p>
        </w:tc>
        <w:tc>
          <w:tcPr>
            <w:tcW w:w="1014" w:type="dxa"/>
            <w:tcBorders>
              <w:top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Rozdíl</w:t>
            </w:r>
          </w:p>
        </w:tc>
        <w:tc>
          <w:tcPr>
            <w:tcW w:w="1015" w:type="dxa"/>
            <w:tcBorders>
              <w:top w:val="single" w:sz="12" w:space="0" w:color="auto"/>
            </w:tcBorders>
            <w:shd w:val="clear" w:color="auto" w:fill="auto"/>
            <w:vAlign w:val="center"/>
          </w:tcPr>
          <w:p w:rsidR="009F18F9" w:rsidRPr="00C525CD" w:rsidRDefault="009F18F9" w:rsidP="00D72CC3">
            <w:pPr>
              <w:keepNext/>
              <w:keepLines/>
              <w:widowControl/>
              <w:suppressAutoHyphens/>
              <w:spacing w:before="0" w:line="240" w:lineRule="auto"/>
              <w:ind w:firstLine="0"/>
              <w:jc w:val="center"/>
              <w:rPr>
                <w:b/>
                <w:bCs/>
                <w:sz w:val="20"/>
              </w:rPr>
            </w:pPr>
            <w:r w:rsidRPr="00C525CD">
              <w:rPr>
                <w:b/>
                <w:bCs/>
                <w:sz w:val="20"/>
              </w:rPr>
              <w:t>Hyg. limit</w:t>
            </w:r>
          </w:p>
        </w:tc>
      </w:tr>
      <w:tr w:rsidR="009F18F9" w:rsidRPr="00C525CD" w:rsidTr="00D72CC3">
        <w:tc>
          <w:tcPr>
            <w:tcW w:w="617"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708" w:type="dxa"/>
            <w:tcBorders>
              <w:top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922" w:type="dxa"/>
            <w:tcBorders>
              <w:top w:val="single" w:sz="12" w:space="0" w:color="auto"/>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57,9</w:t>
            </w:r>
          </w:p>
        </w:tc>
        <w:tc>
          <w:tcPr>
            <w:tcW w:w="1014"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58,6</w:t>
            </w:r>
          </w:p>
        </w:tc>
        <w:tc>
          <w:tcPr>
            <w:tcW w:w="1015"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bCs/>
                <w:sz w:val="20"/>
              </w:rPr>
            </w:pPr>
            <w:r w:rsidRPr="00C525CD">
              <w:rPr>
                <w:bCs/>
                <w:sz w:val="20"/>
              </w:rPr>
              <w:t>0,7</w:t>
            </w:r>
          </w:p>
        </w:tc>
        <w:tc>
          <w:tcPr>
            <w:tcW w:w="1014" w:type="dxa"/>
            <w:tcBorders>
              <w:top w:val="single" w:sz="12" w:space="0" w:color="auto"/>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64,7</w:t>
            </w:r>
          </w:p>
        </w:tc>
        <w:tc>
          <w:tcPr>
            <w:tcW w:w="1014" w:type="dxa"/>
            <w:tcBorders>
              <w:top w:val="single" w:sz="12" w:space="0" w:color="auto"/>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50,2</w:t>
            </w:r>
          </w:p>
        </w:tc>
        <w:tc>
          <w:tcPr>
            <w:tcW w:w="1015"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50,6</w:t>
            </w:r>
          </w:p>
        </w:tc>
        <w:tc>
          <w:tcPr>
            <w:tcW w:w="1014"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bCs/>
                <w:sz w:val="20"/>
              </w:rPr>
            </w:pPr>
            <w:r w:rsidRPr="00C525CD">
              <w:rPr>
                <w:bCs/>
                <w:sz w:val="20"/>
              </w:rPr>
              <w:t>0,4</w:t>
            </w:r>
          </w:p>
        </w:tc>
        <w:tc>
          <w:tcPr>
            <w:tcW w:w="1015" w:type="dxa"/>
            <w:tcBorders>
              <w:top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56,2</w:t>
            </w:r>
          </w:p>
        </w:tc>
      </w:tr>
      <w:tr w:rsidR="009F18F9" w:rsidRPr="00C525CD" w:rsidTr="00D72CC3">
        <w:tc>
          <w:tcPr>
            <w:tcW w:w="617"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58,4</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59,0</w:t>
            </w:r>
          </w:p>
        </w:tc>
        <w:tc>
          <w:tcPr>
            <w:tcW w:w="1015" w:type="dxa"/>
            <w:shd w:val="clear" w:color="auto" w:fill="auto"/>
            <w:vAlign w:val="center"/>
          </w:tcPr>
          <w:p w:rsidR="009F18F9" w:rsidRPr="00C525CD" w:rsidRDefault="009F18F9" w:rsidP="00D72CC3">
            <w:pPr>
              <w:widowControl/>
              <w:spacing w:before="0" w:line="240" w:lineRule="auto"/>
              <w:ind w:firstLine="0"/>
              <w:jc w:val="center"/>
              <w:rPr>
                <w:bCs/>
                <w:sz w:val="20"/>
              </w:rPr>
            </w:pPr>
            <w:r w:rsidRPr="00C525CD">
              <w:rPr>
                <w:bCs/>
                <w:sz w:val="20"/>
              </w:rPr>
              <w:t>0,6</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65,0</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50,8</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51,2</w:t>
            </w:r>
          </w:p>
        </w:tc>
        <w:tc>
          <w:tcPr>
            <w:tcW w:w="1014" w:type="dxa"/>
            <w:shd w:val="clear" w:color="auto" w:fill="auto"/>
            <w:vAlign w:val="center"/>
          </w:tcPr>
          <w:p w:rsidR="009F18F9" w:rsidRPr="00C525CD" w:rsidRDefault="009F18F9" w:rsidP="00D72CC3">
            <w:pPr>
              <w:widowControl/>
              <w:spacing w:before="0" w:line="240" w:lineRule="auto"/>
              <w:ind w:firstLine="0"/>
              <w:jc w:val="center"/>
              <w:rPr>
                <w:bCs/>
                <w:sz w:val="20"/>
              </w:rPr>
            </w:pPr>
            <w:r w:rsidRPr="00C525CD">
              <w:rPr>
                <w:bCs/>
                <w:sz w:val="20"/>
              </w:rPr>
              <w:t>0,4</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56,7</w:t>
            </w:r>
          </w:p>
        </w:tc>
      </w:tr>
      <w:tr w:rsidR="009F18F9" w:rsidRPr="00C525CD" w:rsidTr="00D72CC3">
        <w:tc>
          <w:tcPr>
            <w:tcW w:w="617"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54,3</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54,4</w:t>
            </w:r>
          </w:p>
        </w:tc>
        <w:tc>
          <w:tcPr>
            <w:tcW w:w="1015" w:type="dxa"/>
            <w:shd w:val="clear" w:color="auto" w:fill="auto"/>
            <w:vAlign w:val="center"/>
          </w:tcPr>
          <w:p w:rsidR="009F18F9" w:rsidRPr="00C525CD" w:rsidRDefault="009F18F9" w:rsidP="00D72CC3">
            <w:pPr>
              <w:widowControl/>
              <w:spacing w:before="0" w:line="240" w:lineRule="auto"/>
              <w:ind w:firstLine="0"/>
              <w:jc w:val="center"/>
              <w:rPr>
                <w:bCs/>
                <w:sz w:val="20"/>
              </w:rPr>
            </w:pPr>
            <w:r w:rsidRPr="00C525CD">
              <w:rPr>
                <w:bCs/>
                <w:sz w:val="20"/>
              </w:rPr>
              <w:t>0,1</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60,0</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47,7</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47,7</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50,0</w:t>
            </w:r>
          </w:p>
        </w:tc>
      </w:tr>
      <w:tr w:rsidR="009F18F9" w:rsidRPr="00C525CD" w:rsidTr="00D72CC3">
        <w:tc>
          <w:tcPr>
            <w:tcW w:w="617"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54,6</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54,6</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60,0</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48,0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48,0</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50,0</w:t>
            </w:r>
          </w:p>
        </w:tc>
      </w:tr>
      <w:tr w:rsidR="009F18F9" w:rsidRPr="00C525CD" w:rsidTr="00D72CC3">
        <w:tc>
          <w:tcPr>
            <w:tcW w:w="617"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58,8</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58,6</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-0,2</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64,3</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50,2</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50,1</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-0,1</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55,5</w:t>
            </w:r>
          </w:p>
        </w:tc>
      </w:tr>
      <w:tr w:rsidR="009F18F9" w:rsidRPr="00C525CD" w:rsidTr="00D72CC3">
        <w:tc>
          <w:tcPr>
            <w:tcW w:w="617"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59,0</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58,8</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-0,2</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64,5</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50,5</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50,3</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-0,2</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55,7</w:t>
            </w:r>
          </w:p>
        </w:tc>
      </w:tr>
    </w:tbl>
    <w:p w:rsidR="009F18F9" w:rsidRPr="00C525CD" w:rsidRDefault="009F18F9" w:rsidP="009F18F9"/>
    <w:p w:rsidR="009F18F9" w:rsidRPr="00C525CD" w:rsidRDefault="009F18F9" w:rsidP="009F18F9">
      <w:pPr>
        <w:pStyle w:val="Nadpis2"/>
        <w:numPr>
          <w:ilvl w:val="2"/>
          <w:numId w:val="4"/>
        </w:numPr>
      </w:pPr>
      <w:bookmarkStart w:id="18" w:name="_Toc73358427"/>
      <w:r w:rsidRPr="00C525CD">
        <w:t xml:space="preserve">Stav po odsouhlasení úpravy </w:t>
      </w:r>
      <w:r w:rsidR="00764732" w:rsidRPr="00C525CD">
        <w:t>U 1250/2</w:t>
      </w:r>
      <w:bookmarkEnd w:id="18"/>
    </w:p>
    <w:p w:rsidR="009F18F9" w:rsidRPr="00C525CD" w:rsidRDefault="009F18F9" w:rsidP="009F18F9">
      <w:r w:rsidRPr="00C525CD">
        <w:t xml:space="preserve">Vlivem odsouhlasení navrhované úpravy </w:t>
      </w:r>
      <w:r w:rsidR="00764732" w:rsidRPr="00C525CD">
        <w:t>U 1250</w:t>
      </w:r>
      <w:r w:rsidRPr="00C525CD">
        <w:t xml:space="preserve">/2 dojde v území ke změně hlukových poměrů. Nárůst hlukové zátěže podél Komořanské ve směru do Komořan nepřekročí 0,2 dB v denní i noční dobu. Podél Komořanské ve směru k Břežanskému údolí lze očekávat pokles hlukové zátěže, a to do 0,1 dB v denní i noční dobu. </w:t>
      </w:r>
    </w:p>
    <w:p w:rsidR="009F18F9" w:rsidRPr="00C525CD" w:rsidRDefault="009F18F9" w:rsidP="009F18F9">
      <w:r w:rsidRPr="00C525CD">
        <w:t>Akustická situace se v území pozorovatelně nezmění</w:t>
      </w:r>
      <w:r w:rsidRPr="00C525CD">
        <w:rPr>
          <w:rStyle w:val="Znakapoznpodarou"/>
        </w:rPr>
        <w:footnoteReference w:id="2"/>
      </w:r>
      <w:r w:rsidRPr="00C525CD">
        <w:t xml:space="preserve"> a hygienické limity nebudou v území překročeny. </w:t>
      </w:r>
    </w:p>
    <w:p w:rsidR="009F18F9" w:rsidRPr="00C525CD" w:rsidRDefault="009F18F9" w:rsidP="009F18F9">
      <w:r w:rsidRPr="00C525CD">
        <w:t xml:space="preserve">Detailní vyhodnocení akustické zátěže v zájmovém území (působení automobilové dopravy) ve výpočtových bodech před a po odsouhlasení navrhované úpravy je uvedeno v tabulce 4.6. </w:t>
      </w:r>
    </w:p>
    <w:p w:rsidR="009F18F9" w:rsidRPr="00C525CD" w:rsidRDefault="009F18F9" w:rsidP="00B04485">
      <w:pPr>
        <w:keepNext/>
        <w:keepLines/>
        <w:widowControl/>
        <w:spacing w:after="60"/>
        <w:ind w:left="992" w:hanging="992"/>
        <w:jc w:val="left"/>
        <w:rPr>
          <w:b/>
          <w:sz w:val="24"/>
        </w:rPr>
      </w:pPr>
      <w:r w:rsidRPr="00C525CD">
        <w:rPr>
          <w:b/>
          <w:sz w:val="24"/>
        </w:rPr>
        <w:t xml:space="preserve">Tab. 4.6. Hluková zátěž ze silniční dopravy pro úpravu </w:t>
      </w:r>
      <w:r w:rsidR="00764732" w:rsidRPr="00C525CD">
        <w:rPr>
          <w:b/>
          <w:sz w:val="24"/>
        </w:rPr>
        <w:t>U 1250</w:t>
      </w:r>
      <w:r w:rsidRPr="00C525CD">
        <w:rPr>
          <w:b/>
          <w:sz w:val="24"/>
        </w:rPr>
        <w:t>/2, výhled ÚP – dopadající hluk [dB]</w:t>
      </w:r>
    </w:p>
    <w:tbl>
      <w:tblPr>
        <w:tblW w:w="5057"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85" w:type="dxa"/>
          <w:right w:w="85" w:type="dxa"/>
        </w:tblCellMar>
        <w:tblLook w:val="0000" w:firstRow="0" w:lastRow="0" w:firstColumn="0" w:lastColumn="0" w:noHBand="0" w:noVBand="0"/>
      </w:tblPr>
      <w:tblGrid>
        <w:gridCol w:w="603"/>
        <w:gridCol w:w="692"/>
        <w:gridCol w:w="901"/>
        <w:gridCol w:w="990"/>
        <w:gridCol w:w="991"/>
        <w:gridCol w:w="990"/>
        <w:gridCol w:w="990"/>
        <w:gridCol w:w="991"/>
        <w:gridCol w:w="990"/>
        <w:gridCol w:w="991"/>
      </w:tblGrid>
      <w:tr w:rsidR="009F18F9" w:rsidRPr="00C525CD" w:rsidTr="00D72CC3">
        <w:trPr>
          <w:cantSplit/>
          <w:tblHeader/>
        </w:trPr>
        <w:tc>
          <w:tcPr>
            <w:tcW w:w="616" w:type="dxa"/>
            <w:vMerge w:val="restart"/>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Bod</w:t>
            </w:r>
          </w:p>
        </w:tc>
        <w:tc>
          <w:tcPr>
            <w:tcW w:w="708" w:type="dxa"/>
            <w:vMerge w:val="restart"/>
            <w:tcBorders>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lang w:eastAsia="ar-SA"/>
              </w:rPr>
            </w:pPr>
            <w:r w:rsidRPr="00C525CD">
              <w:rPr>
                <w:b/>
                <w:bCs/>
                <w:sz w:val="20"/>
              </w:rPr>
              <w:t>Výška</w:t>
            </w:r>
            <w:r w:rsidRPr="00C525CD">
              <w:rPr>
                <w:b/>
                <w:bCs/>
                <w:sz w:val="20"/>
              </w:rPr>
              <w:br/>
              <w:t>[NP]</w:t>
            </w:r>
          </w:p>
        </w:tc>
        <w:tc>
          <w:tcPr>
            <w:tcW w:w="8023" w:type="dxa"/>
            <w:gridSpan w:val="8"/>
            <w:tcBorders>
              <w:lef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sz w:val="20"/>
              </w:rPr>
            </w:pPr>
            <w:r w:rsidRPr="00C525CD">
              <w:rPr>
                <w:b/>
                <w:sz w:val="20"/>
              </w:rPr>
              <w:t>Výhled ÚPn – silniční síť v území dle platného ÚPn</w:t>
            </w:r>
          </w:p>
        </w:tc>
      </w:tr>
      <w:tr w:rsidR="009F18F9" w:rsidRPr="00C525CD" w:rsidTr="00D72CC3">
        <w:trPr>
          <w:cantSplit/>
          <w:tblHeader/>
        </w:trPr>
        <w:tc>
          <w:tcPr>
            <w:tcW w:w="616" w:type="dxa"/>
            <w:vMerge/>
            <w:shd w:val="clear" w:color="auto" w:fill="auto"/>
            <w:vAlign w:val="center"/>
          </w:tcPr>
          <w:p w:rsidR="009F18F9" w:rsidRPr="00C525CD" w:rsidRDefault="009F18F9" w:rsidP="00B04485">
            <w:pPr>
              <w:keepNext/>
              <w:keepLines/>
              <w:widowControl/>
              <w:suppressAutoHyphens/>
              <w:spacing w:before="0" w:line="240" w:lineRule="auto"/>
              <w:ind w:firstLine="0"/>
              <w:jc w:val="left"/>
              <w:rPr>
                <w:b/>
                <w:bCs/>
                <w:sz w:val="20"/>
              </w:rPr>
            </w:pPr>
          </w:p>
        </w:tc>
        <w:tc>
          <w:tcPr>
            <w:tcW w:w="708" w:type="dxa"/>
            <w:vMerge/>
            <w:tcBorders>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left"/>
              <w:rPr>
                <w:b/>
                <w:bCs/>
                <w:sz w:val="20"/>
                <w:lang w:eastAsia="ar-SA"/>
              </w:rPr>
            </w:pPr>
          </w:p>
        </w:tc>
        <w:tc>
          <w:tcPr>
            <w:tcW w:w="3965" w:type="dxa"/>
            <w:gridSpan w:val="4"/>
            <w:tcBorders>
              <w:top w:val="single" w:sz="12" w:space="0" w:color="auto"/>
              <w:left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Aeq, </w:t>
            </w:r>
            <w:r w:rsidRPr="00C525CD">
              <w:rPr>
                <w:b/>
                <w:i/>
                <w:sz w:val="20"/>
                <w:vertAlign w:val="subscript"/>
              </w:rPr>
              <w:t>6-22</w:t>
            </w:r>
            <w:r w:rsidRPr="00C525CD">
              <w:rPr>
                <w:b/>
                <w:sz w:val="20"/>
              </w:rPr>
              <w:t xml:space="preserve"> [dB] – denní doba</w:t>
            </w:r>
          </w:p>
        </w:tc>
        <w:tc>
          <w:tcPr>
            <w:tcW w:w="4058" w:type="dxa"/>
            <w:gridSpan w:val="4"/>
            <w:tcBorders>
              <w:top w:val="single" w:sz="12" w:space="0" w:color="auto"/>
              <w:lef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i/>
                <w:sz w:val="20"/>
              </w:rPr>
              <w:t>L</w:t>
            </w:r>
            <w:r w:rsidRPr="00C525CD">
              <w:rPr>
                <w:b/>
                <w:sz w:val="20"/>
                <w:vertAlign w:val="subscript"/>
              </w:rPr>
              <w:t xml:space="preserve">Aeq, </w:t>
            </w:r>
            <w:r w:rsidRPr="00C525CD">
              <w:rPr>
                <w:b/>
                <w:i/>
                <w:sz w:val="20"/>
                <w:vertAlign w:val="subscript"/>
              </w:rPr>
              <w:t>22-6</w:t>
            </w:r>
            <w:r w:rsidRPr="00C525CD">
              <w:rPr>
                <w:b/>
                <w:sz w:val="20"/>
              </w:rPr>
              <w:t xml:space="preserve"> [dB] – noční doba </w:t>
            </w:r>
          </w:p>
        </w:tc>
      </w:tr>
      <w:tr w:rsidR="009F18F9" w:rsidRPr="00C525CD" w:rsidTr="00D72CC3">
        <w:trPr>
          <w:cantSplit/>
          <w:tblHeader/>
        </w:trPr>
        <w:tc>
          <w:tcPr>
            <w:tcW w:w="616" w:type="dxa"/>
            <w:vMerge/>
            <w:shd w:val="clear" w:color="auto" w:fill="auto"/>
            <w:vAlign w:val="center"/>
          </w:tcPr>
          <w:p w:rsidR="009F18F9" w:rsidRPr="00C525CD" w:rsidRDefault="009F18F9" w:rsidP="00B04485">
            <w:pPr>
              <w:keepNext/>
              <w:keepLines/>
              <w:widowControl/>
              <w:suppressAutoHyphens/>
              <w:spacing w:before="0" w:line="240" w:lineRule="auto"/>
              <w:ind w:firstLine="0"/>
              <w:jc w:val="left"/>
              <w:rPr>
                <w:b/>
                <w:bCs/>
                <w:sz w:val="20"/>
              </w:rPr>
            </w:pPr>
          </w:p>
        </w:tc>
        <w:tc>
          <w:tcPr>
            <w:tcW w:w="708" w:type="dxa"/>
            <w:vMerge/>
            <w:tcBorders>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left"/>
              <w:rPr>
                <w:b/>
                <w:bCs/>
                <w:sz w:val="20"/>
                <w:lang w:eastAsia="ar-SA"/>
              </w:rPr>
            </w:pPr>
          </w:p>
        </w:tc>
        <w:tc>
          <w:tcPr>
            <w:tcW w:w="922" w:type="dxa"/>
            <w:tcBorders>
              <w:top w:val="single" w:sz="12" w:space="0" w:color="auto"/>
              <w:lef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Výchozí stav</w:t>
            </w:r>
          </w:p>
        </w:tc>
        <w:tc>
          <w:tcPr>
            <w:tcW w:w="1014" w:type="dxa"/>
            <w:tcBorders>
              <w:top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Po změně</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Rozdíl</w:t>
            </w:r>
          </w:p>
        </w:tc>
        <w:tc>
          <w:tcPr>
            <w:tcW w:w="1014" w:type="dxa"/>
            <w:tcBorders>
              <w:top w:val="single" w:sz="12" w:space="0" w:color="auto"/>
              <w:righ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Hyg. limit</w:t>
            </w:r>
          </w:p>
        </w:tc>
        <w:tc>
          <w:tcPr>
            <w:tcW w:w="1014" w:type="dxa"/>
            <w:tcBorders>
              <w:top w:val="single" w:sz="12" w:space="0" w:color="auto"/>
              <w:left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Výchozí stav</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Po změně</w:t>
            </w:r>
          </w:p>
        </w:tc>
        <w:tc>
          <w:tcPr>
            <w:tcW w:w="1014" w:type="dxa"/>
            <w:tcBorders>
              <w:top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Rozdíl</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uppressAutoHyphens/>
              <w:spacing w:before="0" w:line="240" w:lineRule="auto"/>
              <w:ind w:firstLine="0"/>
              <w:jc w:val="center"/>
              <w:rPr>
                <w:b/>
                <w:bCs/>
                <w:sz w:val="20"/>
              </w:rPr>
            </w:pPr>
            <w:r w:rsidRPr="00C525CD">
              <w:rPr>
                <w:b/>
                <w:bCs/>
                <w:sz w:val="20"/>
              </w:rPr>
              <w:t>Hyg. limit</w:t>
            </w:r>
          </w:p>
        </w:tc>
      </w:tr>
      <w:tr w:rsidR="009F18F9" w:rsidRPr="00C525CD" w:rsidTr="00D72CC3">
        <w:tc>
          <w:tcPr>
            <w:tcW w:w="616"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bookmarkStart w:id="19" w:name="_Hlk61061851"/>
            <w:r w:rsidRPr="00C525CD">
              <w:rPr>
                <w:sz w:val="20"/>
              </w:rPr>
              <w:t>1</w:t>
            </w:r>
          </w:p>
        </w:tc>
        <w:tc>
          <w:tcPr>
            <w:tcW w:w="708" w:type="dxa"/>
            <w:tcBorders>
              <w:top w:val="single" w:sz="12" w:space="0" w:color="auto"/>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1</w:t>
            </w:r>
          </w:p>
        </w:tc>
        <w:tc>
          <w:tcPr>
            <w:tcW w:w="922" w:type="dxa"/>
            <w:tcBorders>
              <w:top w:val="single" w:sz="12" w:space="0" w:color="auto"/>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57,9</w:t>
            </w:r>
          </w:p>
        </w:tc>
        <w:tc>
          <w:tcPr>
            <w:tcW w:w="1014"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58,1</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bCs/>
                <w:sz w:val="20"/>
              </w:rPr>
            </w:pPr>
            <w:r w:rsidRPr="00C525CD">
              <w:rPr>
                <w:bCs/>
                <w:sz w:val="20"/>
              </w:rPr>
              <w:t>0,2</w:t>
            </w:r>
          </w:p>
        </w:tc>
        <w:tc>
          <w:tcPr>
            <w:tcW w:w="1014" w:type="dxa"/>
            <w:tcBorders>
              <w:top w:val="single" w:sz="12" w:space="0" w:color="auto"/>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64,7</w:t>
            </w:r>
          </w:p>
        </w:tc>
        <w:tc>
          <w:tcPr>
            <w:tcW w:w="1014" w:type="dxa"/>
            <w:tcBorders>
              <w:top w:val="single" w:sz="12" w:space="0" w:color="auto"/>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50,2</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50,3</w:t>
            </w:r>
          </w:p>
        </w:tc>
        <w:tc>
          <w:tcPr>
            <w:tcW w:w="1014"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bCs/>
                <w:sz w:val="20"/>
              </w:rPr>
            </w:pPr>
            <w:r w:rsidRPr="00C525CD">
              <w:rPr>
                <w:bCs/>
                <w:sz w:val="20"/>
              </w:rPr>
              <w:t>0,1</w:t>
            </w:r>
          </w:p>
        </w:tc>
        <w:tc>
          <w:tcPr>
            <w:tcW w:w="1015" w:type="dxa"/>
            <w:tcBorders>
              <w:top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56,2</w:t>
            </w:r>
          </w:p>
        </w:tc>
      </w:tr>
      <w:tr w:rsidR="009F18F9" w:rsidRPr="00C525CD" w:rsidTr="00D72CC3">
        <w:tc>
          <w:tcPr>
            <w:tcW w:w="616"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1</w:t>
            </w:r>
          </w:p>
        </w:tc>
        <w:tc>
          <w:tcPr>
            <w:tcW w:w="708" w:type="dxa"/>
            <w:tcBorders>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58,4</w:t>
            </w:r>
          </w:p>
        </w:tc>
        <w:tc>
          <w:tcPr>
            <w:tcW w:w="1014"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58,6</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bCs/>
                <w:sz w:val="20"/>
              </w:rPr>
            </w:pPr>
            <w:r w:rsidRPr="00C525CD">
              <w:rPr>
                <w:bCs/>
                <w:sz w:val="20"/>
              </w:rPr>
              <w:t>0,2</w:t>
            </w:r>
          </w:p>
        </w:tc>
        <w:tc>
          <w:tcPr>
            <w:tcW w:w="1014" w:type="dxa"/>
            <w:tcBorders>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65,0</w:t>
            </w:r>
          </w:p>
        </w:tc>
        <w:tc>
          <w:tcPr>
            <w:tcW w:w="1014" w:type="dxa"/>
            <w:tcBorders>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50,8</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51,0</w:t>
            </w:r>
          </w:p>
        </w:tc>
        <w:tc>
          <w:tcPr>
            <w:tcW w:w="1014" w:type="dxa"/>
            <w:shd w:val="clear" w:color="auto" w:fill="auto"/>
            <w:vAlign w:val="center"/>
          </w:tcPr>
          <w:p w:rsidR="009F18F9" w:rsidRPr="00C525CD" w:rsidRDefault="009F18F9" w:rsidP="00B04485">
            <w:pPr>
              <w:keepNext/>
              <w:keepLines/>
              <w:widowControl/>
              <w:spacing w:before="0" w:line="240" w:lineRule="auto"/>
              <w:ind w:firstLine="0"/>
              <w:jc w:val="center"/>
              <w:rPr>
                <w:bCs/>
                <w:sz w:val="20"/>
              </w:rPr>
            </w:pPr>
            <w:r w:rsidRPr="00C525CD">
              <w:rPr>
                <w:bCs/>
                <w:sz w:val="20"/>
              </w:rPr>
              <w:t>0,2</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56,7</w:t>
            </w:r>
          </w:p>
        </w:tc>
      </w:tr>
      <w:tr w:rsidR="009F18F9" w:rsidRPr="00C525CD" w:rsidTr="00D72CC3">
        <w:tc>
          <w:tcPr>
            <w:tcW w:w="616"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2</w:t>
            </w:r>
          </w:p>
        </w:tc>
        <w:tc>
          <w:tcPr>
            <w:tcW w:w="708" w:type="dxa"/>
            <w:tcBorders>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1</w:t>
            </w:r>
          </w:p>
        </w:tc>
        <w:tc>
          <w:tcPr>
            <w:tcW w:w="922" w:type="dxa"/>
            <w:tcBorders>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54,3</w:t>
            </w:r>
          </w:p>
        </w:tc>
        <w:tc>
          <w:tcPr>
            <w:tcW w:w="1014"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54,3</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0,0</w:t>
            </w:r>
          </w:p>
        </w:tc>
        <w:tc>
          <w:tcPr>
            <w:tcW w:w="1014" w:type="dxa"/>
            <w:tcBorders>
              <w:righ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60,0</w:t>
            </w:r>
          </w:p>
        </w:tc>
        <w:tc>
          <w:tcPr>
            <w:tcW w:w="1014" w:type="dxa"/>
            <w:tcBorders>
              <w:left w:val="single" w:sz="12" w:space="0" w:color="auto"/>
            </w:tcBorders>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47,7</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47,7</w:t>
            </w:r>
          </w:p>
        </w:tc>
        <w:tc>
          <w:tcPr>
            <w:tcW w:w="1014"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0,0</w:t>
            </w:r>
          </w:p>
        </w:tc>
        <w:tc>
          <w:tcPr>
            <w:tcW w:w="1015" w:type="dxa"/>
            <w:shd w:val="clear" w:color="auto" w:fill="auto"/>
            <w:vAlign w:val="center"/>
          </w:tcPr>
          <w:p w:rsidR="009F18F9" w:rsidRPr="00C525CD" w:rsidRDefault="009F18F9" w:rsidP="00B04485">
            <w:pPr>
              <w:keepNext/>
              <w:keepLines/>
              <w:widowControl/>
              <w:spacing w:before="0" w:line="240" w:lineRule="auto"/>
              <w:ind w:firstLine="0"/>
              <w:jc w:val="center"/>
              <w:rPr>
                <w:sz w:val="20"/>
              </w:rPr>
            </w:pPr>
            <w:r w:rsidRPr="00C525CD">
              <w:rPr>
                <w:sz w:val="20"/>
              </w:rPr>
              <w:t>50,0</w:t>
            </w:r>
          </w:p>
        </w:tc>
      </w:tr>
      <w:tr w:rsidR="009F18F9" w:rsidRPr="00C525CD" w:rsidTr="00D72CC3">
        <w:tc>
          <w:tcPr>
            <w:tcW w:w="616"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54,6</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54,6</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60,0</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48,0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48,0</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50,0</w:t>
            </w:r>
          </w:p>
        </w:tc>
      </w:tr>
      <w:bookmarkEnd w:id="19"/>
      <w:tr w:rsidR="009F18F9" w:rsidRPr="00C525CD" w:rsidTr="00D72CC3">
        <w:tc>
          <w:tcPr>
            <w:tcW w:w="616"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1</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58,8</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58,7</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-0,1</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64,3</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50,2</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50,2</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0,0</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55,5</w:t>
            </w:r>
          </w:p>
        </w:tc>
      </w:tr>
      <w:tr w:rsidR="009F18F9" w:rsidRPr="00C525CD" w:rsidTr="00D72CC3">
        <w:tc>
          <w:tcPr>
            <w:tcW w:w="616"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3</w:t>
            </w:r>
          </w:p>
        </w:tc>
        <w:tc>
          <w:tcPr>
            <w:tcW w:w="708"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2</w:t>
            </w:r>
          </w:p>
        </w:tc>
        <w:tc>
          <w:tcPr>
            <w:tcW w:w="922"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59,0</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58,9</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-0,1</w:t>
            </w:r>
          </w:p>
        </w:tc>
        <w:tc>
          <w:tcPr>
            <w:tcW w:w="1014" w:type="dxa"/>
            <w:tcBorders>
              <w:righ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64,5</w:t>
            </w:r>
          </w:p>
        </w:tc>
        <w:tc>
          <w:tcPr>
            <w:tcW w:w="1014" w:type="dxa"/>
            <w:tcBorders>
              <w:left w:val="single" w:sz="12" w:space="0" w:color="auto"/>
            </w:tcBorders>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50,5</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50,4</w:t>
            </w:r>
          </w:p>
        </w:tc>
        <w:tc>
          <w:tcPr>
            <w:tcW w:w="1014"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-0,1</w:t>
            </w:r>
          </w:p>
        </w:tc>
        <w:tc>
          <w:tcPr>
            <w:tcW w:w="1015" w:type="dxa"/>
            <w:shd w:val="clear" w:color="auto" w:fill="auto"/>
            <w:vAlign w:val="center"/>
          </w:tcPr>
          <w:p w:rsidR="009F18F9" w:rsidRPr="00C525CD" w:rsidRDefault="009F18F9" w:rsidP="00D72CC3">
            <w:pPr>
              <w:widowControl/>
              <w:spacing w:before="0" w:line="240" w:lineRule="auto"/>
              <w:ind w:firstLine="0"/>
              <w:jc w:val="center"/>
              <w:rPr>
                <w:sz w:val="20"/>
              </w:rPr>
            </w:pPr>
            <w:r w:rsidRPr="00C525CD">
              <w:rPr>
                <w:sz w:val="20"/>
              </w:rPr>
              <w:t>55,7</w:t>
            </w:r>
          </w:p>
        </w:tc>
      </w:tr>
    </w:tbl>
    <w:p w:rsidR="009F18F9" w:rsidRPr="00C525CD" w:rsidRDefault="009F18F9" w:rsidP="009F18F9"/>
    <w:p w:rsidR="009F18F9" w:rsidRPr="00C525CD" w:rsidRDefault="009F18F9" w:rsidP="009F18F9">
      <w:pPr>
        <w:pStyle w:val="Nadpis2"/>
        <w:numPr>
          <w:ilvl w:val="1"/>
          <w:numId w:val="4"/>
        </w:numPr>
      </w:pPr>
      <w:bookmarkStart w:id="20" w:name="_Toc73358428"/>
      <w:r w:rsidRPr="00C525CD">
        <w:t>Návrh opatření</w:t>
      </w:r>
      <w:bookmarkEnd w:id="20"/>
    </w:p>
    <w:p w:rsidR="009F18F9" w:rsidRPr="00C525CD" w:rsidRDefault="009F18F9" w:rsidP="009F18F9">
      <w:r w:rsidRPr="00C525CD">
        <w:t>Vliv očekávané akustické zátěže v území na obyvatele předmětné plochy nebyl detailně posuzován. Jako opatření v rámci navazujících etap přípravy projektu navrhujeme posoudit vhodnost umístění obytné zástavby s definovaným chráněným venkovním prostorem stavby, tedy fasádami, které budou významné z hlediska pronikání hluku do chráněného vnitřního prostoru objektů. Pokud bude v prostoru navrhované zástavby překročen hygienický limit pro hluk z provozu hodnocených zdrojů, bude navrženo nucené odvětrání vnitřních chráněných prostor při zajištěné dostatečné vzduchové neprůzvučnosti obvodového pláště stavby. Případně lze využít prosklené předsazené fasády, úplné zasklení terasy, lodžie nebo balkonu.</w:t>
      </w:r>
    </w:p>
    <w:p w:rsidR="009F18F9" w:rsidRPr="00C525CD" w:rsidRDefault="009F18F9" w:rsidP="009F18F9"/>
    <w:p w:rsidR="008B09E8" w:rsidRPr="00C525CD" w:rsidRDefault="008B09E8" w:rsidP="008B09E8">
      <w:pPr>
        <w:pStyle w:val="Nadpis2"/>
        <w:numPr>
          <w:ilvl w:val="1"/>
          <w:numId w:val="4"/>
        </w:numPr>
      </w:pPr>
      <w:bookmarkStart w:id="21" w:name="_Toc73358429"/>
      <w:r w:rsidRPr="00C525CD">
        <w:t>N</w:t>
      </w:r>
      <w:r w:rsidR="00F6106E" w:rsidRPr="00C525CD">
        <w:t>ávrh opatření</w:t>
      </w:r>
      <w:bookmarkEnd w:id="21"/>
    </w:p>
    <w:p w:rsidR="00006875" w:rsidRPr="00C525CD" w:rsidRDefault="002F3078" w:rsidP="00006875">
      <w:r w:rsidRPr="00C525CD">
        <w:t>Pro změnu</w:t>
      </w:r>
      <w:r w:rsidR="007968F5" w:rsidRPr="00C525CD">
        <w:t xml:space="preserve"> ÚP </w:t>
      </w:r>
      <w:r w:rsidR="00764732" w:rsidRPr="00C525CD">
        <w:t>č. Z 3111/</w:t>
      </w:r>
      <w:r w:rsidR="007968F5" w:rsidRPr="00C525CD">
        <w:t xml:space="preserve">10 ani pro úpravu ÚP č. </w:t>
      </w:r>
      <w:r w:rsidR="00764732" w:rsidRPr="00C525CD">
        <w:t xml:space="preserve">U </w:t>
      </w:r>
      <w:r w:rsidR="007968F5" w:rsidRPr="00C525CD">
        <w:t xml:space="preserve">1250/2 </w:t>
      </w:r>
      <w:r w:rsidRPr="00C525CD">
        <w:t>nejsou navrhov</w:t>
      </w:r>
      <w:r w:rsidR="007968F5" w:rsidRPr="00C525CD">
        <w:t>ána protihluková</w:t>
      </w:r>
      <w:r w:rsidRPr="00C525CD">
        <w:t xml:space="preserve"> opatření.</w:t>
      </w:r>
    </w:p>
    <w:p w:rsidR="00D33A0D" w:rsidRPr="00C525CD" w:rsidRDefault="00D33A0D" w:rsidP="00D33A0D"/>
    <w:p w:rsidR="00D33A0D" w:rsidRPr="00C525CD" w:rsidRDefault="00D33A0D" w:rsidP="00D33A0D">
      <w:pPr>
        <w:pStyle w:val="Nadpis2"/>
        <w:numPr>
          <w:ilvl w:val="1"/>
          <w:numId w:val="4"/>
        </w:numPr>
      </w:pPr>
      <w:bookmarkStart w:id="22" w:name="_Toc73358430"/>
      <w:r w:rsidRPr="00C525CD">
        <w:t>Závěrečné zhodnocení</w:t>
      </w:r>
      <w:bookmarkEnd w:id="22"/>
    </w:p>
    <w:p w:rsidR="009F18F9" w:rsidRPr="00C525CD" w:rsidRDefault="009F18F9" w:rsidP="009F18F9">
      <w:r w:rsidRPr="00C525CD">
        <w:t xml:space="preserve">Ve výchozím stavu lze </w:t>
      </w:r>
      <w:r w:rsidR="007968F5" w:rsidRPr="00C525CD">
        <w:t xml:space="preserve">v řešeném území </w:t>
      </w:r>
      <w:r w:rsidRPr="00C525CD">
        <w:t xml:space="preserve">očekávat plnění hygienických limitů. Vlivem realizace změny </w:t>
      </w:r>
      <w:r w:rsidR="00764732" w:rsidRPr="00C525CD">
        <w:t>č. Z 3111/</w:t>
      </w:r>
      <w:r w:rsidRPr="00C525CD">
        <w:t>10 se hluk ze silniční dopravy pozorovatelně nezmění, zvýší se podél Komořanské ve směru na Komořany do 0,7 dB v denní a 0,4</w:t>
      </w:r>
      <w:r w:rsidR="00BE1784">
        <w:t> </w:t>
      </w:r>
      <w:r w:rsidRPr="00C525CD">
        <w:t xml:space="preserve">dB v noční dobu. Podél Komořanské ve směru k Břežanskému údolí pak lze očekávat pokles hlukové zátěže, a to do 0,2 dB v denní i noční dobu. Vlivem odsouhlasení navrhované změny nedojde k překročení stanovených hygienických limitů v území. </w:t>
      </w:r>
    </w:p>
    <w:p w:rsidR="009F18F9" w:rsidRPr="00C525CD" w:rsidRDefault="007968F5" w:rsidP="009F18F9">
      <w:r w:rsidRPr="00C525CD">
        <w:t>Rovněž v</w:t>
      </w:r>
      <w:r w:rsidR="009F18F9" w:rsidRPr="00C525CD">
        <w:t xml:space="preserve">livem odsouhlasení navrhované úpravy </w:t>
      </w:r>
      <w:r w:rsidR="00764732" w:rsidRPr="00C525CD">
        <w:t>U 1250</w:t>
      </w:r>
      <w:r w:rsidR="009F18F9" w:rsidRPr="00C525CD">
        <w:t>/2 dojde v území ke změně hlukových poměrů</w:t>
      </w:r>
      <w:r w:rsidRPr="00C525CD">
        <w:t>, ovšem v menší míře než u změny 3111/10</w:t>
      </w:r>
      <w:r w:rsidR="009F18F9" w:rsidRPr="00C525CD">
        <w:t xml:space="preserve">. Nárůst hlukové zátěže podél Komořanské ve směru do Komořan nepřekročí 0,2 dB v denní i noční dobu. Podél Komořanské ve směru k Břežanskému údolí lze očekávat pokles hlukové zátěže, a to do 0,1 dB v denní i noční dobu. Akustická situace se v území pozorovatelně nezmění a hygienické limity nebudou v území překročeny. </w:t>
      </w:r>
    </w:p>
    <w:p w:rsidR="009F18F9" w:rsidRPr="00C525CD" w:rsidRDefault="009F18F9" w:rsidP="009F18F9">
      <w:r w:rsidRPr="00C525CD">
        <w:t xml:space="preserve">Celkově lze vliv </w:t>
      </w:r>
      <w:r w:rsidR="007968F5" w:rsidRPr="00C525CD">
        <w:t xml:space="preserve">změny ÚP </w:t>
      </w:r>
      <w:r w:rsidR="00764732" w:rsidRPr="00C525CD">
        <w:t>č. Z 3111/</w:t>
      </w:r>
      <w:r w:rsidR="007968F5" w:rsidRPr="00C525CD">
        <w:t xml:space="preserve">10 i úpravy ÚP </w:t>
      </w:r>
      <w:r w:rsidR="00764732" w:rsidRPr="00C525CD">
        <w:t>č. U 1250/2</w:t>
      </w:r>
      <w:r w:rsidR="007968F5" w:rsidRPr="00C525CD">
        <w:t xml:space="preserve"> </w:t>
      </w:r>
      <w:r w:rsidRPr="00C525CD">
        <w:t>hodnotit jako akceptovatelný.</w:t>
      </w:r>
    </w:p>
    <w:p w:rsidR="00D274DF" w:rsidRPr="00C525CD" w:rsidRDefault="00D274DF" w:rsidP="00D274DF">
      <w:pPr>
        <w:pStyle w:val="Nadpis1"/>
        <w:widowControl/>
        <w:numPr>
          <w:ilvl w:val="0"/>
          <w:numId w:val="6"/>
        </w:numPr>
        <w:tabs>
          <w:tab w:val="clear" w:pos="567"/>
        </w:tabs>
        <w:spacing w:after="0"/>
        <w:ind w:left="426" w:hanging="426"/>
      </w:pPr>
      <w:bookmarkStart w:id="23" w:name="_Toc73358431"/>
      <w:r w:rsidRPr="00C525CD">
        <w:lastRenderedPageBreak/>
        <w:t>Hodnocení vlivů na kvalitu ovzduší</w:t>
      </w:r>
      <w:bookmarkEnd w:id="23"/>
    </w:p>
    <w:p w:rsidR="00190CB0" w:rsidRPr="00C525CD" w:rsidRDefault="00190CB0" w:rsidP="00971D59">
      <w:pPr>
        <w:pStyle w:val="Nadpis2"/>
        <w:numPr>
          <w:ilvl w:val="1"/>
          <w:numId w:val="4"/>
        </w:numPr>
      </w:pPr>
      <w:bookmarkStart w:id="24" w:name="_Toc73358432"/>
      <w:r w:rsidRPr="00C525CD">
        <w:t>Současný stav kvality ovzduší</w:t>
      </w:r>
      <w:bookmarkEnd w:id="24"/>
    </w:p>
    <w:p w:rsidR="00C006CB" w:rsidRPr="00C525CD" w:rsidRDefault="00C006CB" w:rsidP="00C006CB">
      <w:r w:rsidRPr="00C525CD">
        <w:t xml:space="preserve">Současný stav kvality ovzduší v řešené lokalitě je možné vyhodnotit na základě pětiletých průměrů koncentrací znečišťujících látek (od roku 2015 do roku 2019) publikovaných ČHMÚ pro potřeby zákona č. 201/2012 Sb., o ochraně ovzduší [11]. Tato data jsou uváděna pro čtverce 1×1 km. </w:t>
      </w:r>
    </w:p>
    <w:p w:rsidR="00C006CB" w:rsidRPr="00C525CD" w:rsidRDefault="00C006CB" w:rsidP="00C006CB">
      <w:r w:rsidRPr="00C525CD">
        <w:t>Tabulka 5.1. přibližuje průměrné hodnoty imisní zátěže v hodnocené lokalitě a jejich porovnání s hodnotami imisních limitů.</w:t>
      </w:r>
    </w:p>
    <w:p w:rsidR="00C006CB" w:rsidRPr="00C525CD" w:rsidRDefault="00C006CB" w:rsidP="00C006CB">
      <w:pPr>
        <w:keepNext/>
        <w:keepLines/>
        <w:spacing w:after="60"/>
        <w:ind w:left="992" w:hanging="992"/>
        <w:jc w:val="left"/>
        <w:rPr>
          <w:b/>
          <w:sz w:val="24"/>
        </w:rPr>
      </w:pPr>
      <w:r w:rsidRPr="00C525CD">
        <w:rPr>
          <w:b/>
          <w:sz w:val="24"/>
        </w:rPr>
        <w:t>Tab. 5.1. Průměrné hodnoty koncentrací za období 2015 – 2019</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697"/>
        <w:gridCol w:w="2256"/>
        <w:gridCol w:w="977"/>
        <w:gridCol w:w="1393"/>
        <w:gridCol w:w="1115"/>
        <w:gridCol w:w="1588"/>
      </w:tblGrid>
      <w:tr w:rsidR="00C006CB" w:rsidRPr="00C525CD" w:rsidTr="00E37182">
        <w:trPr>
          <w:jc w:val="center"/>
        </w:trPr>
        <w:tc>
          <w:tcPr>
            <w:tcW w:w="1728" w:type="dxa"/>
            <w:tcBorders>
              <w:top w:val="single" w:sz="18" w:space="0" w:color="auto"/>
              <w:left w:val="single" w:sz="18" w:space="0" w:color="auto"/>
              <w:bottom w:val="single" w:sz="12" w:space="0" w:color="auto"/>
              <w:right w:val="single" w:sz="6" w:space="0" w:color="auto"/>
            </w:tcBorders>
            <w:vAlign w:val="center"/>
          </w:tcPr>
          <w:p w:rsidR="00C006CB" w:rsidRPr="00C525CD" w:rsidRDefault="00C006CB" w:rsidP="00E37182">
            <w:pPr>
              <w:suppressAutoHyphens/>
              <w:spacing w:before="40" w:after="40" w:line="240" w:lineRule="auto"/>
              <w:ind w:firstLine="0"/>
              <w:jc w:val="left"/>
              <w:rPr>
                <w:b/>
                <w:sz w:val="20"/>
              </w:rPr>
            </w:pPr>
            <w:r w:rsidRPr="00C525CD">
              <w:rPr>
                <w:b/>
                <w:sz w:val="20"/>
              </w:rPr>
              <w:t>Znečišťující látka</w:t>
            </w:r>
          </w:p>
        </w:tc>
        <w:tc>
          <w:tcPr>
            <w:tcW w:w="2298" w:type="dxa"/>
            <w:tcBorders>
              <w:top w:val="single" w:sz="18" w:space="0" w:color="auto"/>
              <w:left w:val="single" w:sz="6" w:space="0" w:color="auto"/>
              <w:bottom w:val="single" w:sz="12"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b/>
                <w:sz w:val="20"/>
              </w:rPr>
            </w:pPr>
            <w:r w:rsidRPr="00C525CD">
              <w:rPr>
                <w:b/>
                <w:sz w:val="20"/>
              </w:rPr>
              <w:t>Veličina</w:t>
            </w:r>
          </w:p>
        </w:tc>
        <w:tc>
          <w:tcPr>
            <w:tcW w:w="993" w:type="dxa"/>
            <w:tcBorders>
              <w:top w:val="single" w:sz="18" w:space="0" w:color="auto"/>
              <w:left w:val="single" w:sz="6" w:space="0" w:color="auto"/>
              <w:bottom w:val="single" w:sz="12"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b/>
                <w:sz w:val="20"/>
              </w:rPr>
            </w:pPr>
            <w:r w:rsidRPr="00C525CD">
              <w:rPr>
                <w:b/>
                <w:sz w:val="20"/>
              </w:rPr>
              <w:t>Jednotka</w:t>
            </w:r>
          </w:p>
        </w:tc>
        <w:tc>
          <w:tcPr>
            <w:tcW w:w="1417" w:type="dxa"/>
            <w:tcBorders>
              <w:top w:val="single" w:sz="18" w:space="0" w:color="auto"/>
              <w:left w:val="single" w:sz="6" w:space="0" w:color="auto"/>
              <w:bottom w:val="single" w:sz="12" w:space="0" w:color="auto"/>
              <w:right w:val="single" w:sz="4" w:space="0" w:color="auto"/>
            </w:tcBorders>
            <w:vAlign w:val="center"/>
          </w:tcPr>
          <w:p w:rsidR="00C006CB" w:rsidRPr="00C525CD" w:rsidRDefault="00C006CB" w:rsidP="00E37182">
            <w:pPr>
              <w:suppressAutoHyphens/>
              <w:spacing w:before="40" w:after="40" w:line="240" w:lineRule="auto"/>
              <w:ind w:firstLine="0"/>
              <w:jc w:val="center"/>
              <w:rPr>
                <w:b/>
                <w:sz w:val="20"/>
              </w:rPr>
            </w:pPr>
            <w:r w:rsidRPr="00C525CD">
              <w:rPr>
                <w:b/>
                <w:sz w:val="20"/>
              </w:rPr>
              <w:t>Zájmové území</w:t>
            </w:r>
          </w:p>
        </w:tc>
        <w:tc>
          <w:tcPr>
            <w:tcW w:w="1134" w:type="dxa"/>
            <w:tcBorders>
              <w:top w:val="single" w:sz="18" w:space="0" w:color="auto"/>
              <w:left w:val="single" w:sz="6" w:space="0" w:color="auto"/>
              <w:bottom w:val="single" w:sz="12"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b/>
                <w:sz w:val="20"/>
              </w:rPr>
            </w:pPr>
            <w:r w:rsidRPr="00C525CD">
              <w:rPr>
                <w:b/>
                <w:sz w:val="20"/>
              </w:rPr>
              <w:t>Imisní limit</w:t>
            </w:r>
          </w:p>
        </w:tc>
        <w:tc>
          <w:tcPr>
            <w:tcW w:w="1616" w:type="dxa"/>
            <w:tcBorders>
              <w:top w:val="single" w:sz="18" w:space="0" w:color="auto"/>
              <w:left w:val="single" w:sz="6" w:space="0" w:color="auto"/>
              <w:bottom w:val="single" w:sz="12" w:space="0" w:color="auto"/>
              <w:right w:val="single" w:sz="18" w:space="0" w:color="auto"/>
            </w:tcBorders>
            <w:vAlign w:val="center"/>
          </w:tcPr>
          <w:p w:rsidR="00C006CB" w:rsidRPr="00C525CD" w:rsidRDefault="00C006CB" w:rsidP="00E37182">
            <w:pPr>
              <w:suppressAutoHyphens/>
              <w:spacing w:before="40" w:after="40" w:line="240" w:lineRule="auto"/>
              <w:ind w:firstLine="0"/>
              <w:jc w:val="center"/>
              <w:rPr>
                <w:b/>
                <w:sz w:val="20"/>
              </w:rPr>
            </w:pPr>
            <w:r w:rsidRPr="00C525CD">
              <w:rPr>
                <w:b/>
                <w:sz w:val="20"/>
              </w:rPr>
              <w:t xml:space="preserve">Podíl na </w:t>
            </w:r>
            <w:r w:rsidRPr="00C525CD">
              <w:rPr>
                <w:b/>
                <w:sz w:val="20"/>
              </w:rPr>
              <w:br/>
              <w:t>imis. limitu (%)</w:t>
            </w:r>
          </w:p>
        </w:tc>
      </w:tr>
      <w:tr w:rsidR="00C006CB" w:rsidRPr="00C525CD" w:rsidTr="00E37182">
        <w:trPr>
          <w:jc w:val="center"/>
        </w:trPr>
        <w:tc>
          <w:tcPr>
            <w:tcW w:w="1728" w:type="dxa"/>
            <w:tcBorders>
              <w:top w:val="single" w:sz="12"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Oxid dusičitý</w:t>
            </w:r>
          </w:p>
        </w:tc>
        <w:tc>
          <w:tcPr>
            <w:tcW w:w="2298" w:type="dxa"/>
            <w:tcBorders>
              <w:top w:val="single" w:sz="12"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12"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top w:val="single" w:sz="12"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15,7 - 22,7</w:t>
            </w:r>
          </w:p>
        </w:tc>
        <w:tc>
          <w:tcPr>
            <w:tcW w:w="1134" w:type="dxa"/>
            <w:tcBorders>
              <w:top w:val="single" w:sz="12"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40</w:t>
            </w:r>
          </w:p>
        </w:tc>
        <w:tc>
          <w:tcPr>
            <w:tcW w:w="1616" w:type="dxa"/>
            <w:tcBorders>
              <w:top w:val="single" w:sz="12"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39,3 - 56,8</w:t>
            </w:r>
          </w:p>
        </w:tc>
      </w:tr>
      <w:tr w:rsidR="00C006CB" w:rsidRPr="00C525CD" w:rsidTr="00E37182">
        <w:trPr>
          <w:jc w:val="center"/>
        </w:trPr>
        <w:tc>
          <w:tcPr>
            <w:tcW w:w="1728" w:type="dxa"/>
            <w:vAlign w:val="center"/>
          </w:tcPr>
          <w:p w:rsidR="00C006CB" w:rsidRPr="00C525CD" w:rsidRDefault="00C006CB" w:rsidP="00E37182">
            <w:pPr>
              <w:suppressAutoHyphens/>
              <w:spacing w:before="40" w:after="40" w:line="240" w:lineRule="auto"/>
              <w:ind w:firstLine="0"/>
              <w:jc w:val="left"/>
              <w:rPr>
                <w:sz w:val="20"/>
              </w:rPr>
            </w:pPr>
            <w:r w:rsidRPr="00C525CD">
              <w:rPr>
                <w:sz w:val="20"/>
              </w:rPr>
              <w:t>Oxid siřičitý</w:t>
            </w:r>
          </w:p>
        </w:tc>
        <w:tc>
          <w:tcPr>
            <w:tcW w:w="2298" w:type="dxa"/>
            <w:tcBorders>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4. nejvyšší denní průměr</w:t>
            </w:r>
          </w:p>
        </w:tc>
        <w:tc>
          <w:tcPr>
            <w:tcW w:w="993"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8,1 - 8,3</w:t>
            </w:r>
          </w:p>
        </w:tc>
        <w:tc>
          <w:tcPr>
            <w:tcW w:w="1134"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125</w:t>
            </w:r>
          </w:p>
        </w:tc>
        <w:tc>
          <w:tcPr>
            <w:tcW w:w="1616" w:type="dxa"/>
            <w:vAlign w:val="bottom"/>
          </w:tcPr>
          <w:p w:rsidR="00C006CB" w:rsidRPr="00C525CD" w:rsidRDefault="00C006CB" w:rsidP="00E37182">
            <w:pPr>
              <w:suppressAutoHyphens/>
              <w:spacing w:before="40" w:after="40" w:line="240" w:lineRule="auto"/>
              <w:ind w:firstLine="0"/>
              <w:jc w:val="center"/>
              <w:rPr>
                <w:sz w:val="20"/>
              </w:rPr>
            </w:pPr>
            <w:r w:rsidRPr="00C525CD">
              <w:rPr>
                <w:sz w:val="20"/>
              </w:rPr>
              <w:t>6,5 - 6,6</w:t>
            </w:r>
          </w:p>
        </w:tc>
      </w:tr>
      <w:tr w:rsidR="00C006CB" w:rsidRPr="00C525CD" w:rsidTr="00E37182">
        <w:trPr>
          <w:jc w:val="center"/>
        </w:trPr>
        <w:tc>
          <w:tcPr>
            <w:tcW w:w="1728" w:type="dxa"/>
            <w:vAlign w:val="center"/>
          </w:tcPr>
          <w:p w:rsidR="00C006CB" w:rsidRPr="00C525CD" w:rsidRDefault="00C006CB" w:rsidP="00E37182">
            <w:pPr>
              <w:suppressAutoHyphens/>
              <w:spacing w:before="40" w:after="40" w:line="240" w:lineRule="auto"/>
              <w:ind w:firstLine="0"/>
              <w:jc w:val="left"/>
              <w:rPr>
                <w:sz w:val="20"/>
              </w:rPr>
            </w:pPr>
            <w:r w:rsidRPr="00C525CD">
              <w:rPr>
                <w:sz w:val="20"/>
              </w:rPr>
              <w:t>Částice PM</w:t>
            </w:r>
            <w:r w:rsidRPr="00C525CD">
              <w:rPr>
                <w:sz w:val="20"/>
                <w:vertAlign w:val="subscript"/>
              </w:rPr>
              <w:t>10</w:t>
            </w:r>
          </w:p>
        </w:tc>
        <w:tc>
          <w:tcPr>
            <w:tcW w:w="2298" w:type="dxa"/>
            <w:tcBorders>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21,1 - 22,6</w:t>
            </w:r>
          </w:p>
        </w:tc>
        <w:tc>
          <w:tcPr>
            <w:tcW w:w="1134"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40</w:t>
            </w:r>
          </w:p>
        </w:tc>
        <w:tc>
          <w:tcPr>
            <w:tcW w:w="1616" w:type="dxa"/>
            <w:vAlign w:val="bottom"/>
          </w:tcPr>
          <w:p w:rsidR="00C006CB" w:rsidRPr="00C525CD" w:rsidRDefault="00C006CB" w:rsidP="00E37182">
            <w:pPr>
              <w:suppressAutoHyphens/>
              <w:spacing w:before="40" w:after="40" w:line="240" w:lineRule="auto"/>
              <w:ind w:firstLine="0"/>
              <w:jc w:val="center"/>
              <w:rPr>
                <w:sz w:val="20"/>
              </w:rPr>
            </w:pPr>
            <w:r w:rsidRPr="00C525CD">
              <w:rPr>
                <w:sz w:val="20"/>
              </w:rPr>
              <w:t>52,8 - 56,5</w:t>
            </w:r>
          </w:p>
        </w:tc>
      </w:tr>
      <w:tr w:rsidR="00C006CB" w:rsidRPr="00C525CD" w:rsidTr="00E37182">
        <w:trPr>
          <w:jc w:val="center"/>
        </w:trPr>
        <w:tc>
          <w:tcPr>
            <w:tcW w:w="1728" w:type="dxa"/>
            <w:vAlign w:val="center"/>
          </w:tcPr>
          <w:p w:rsidR="00C006CB" w:rsidRPr="00C525CD" w:rsidRDefault="00C006CB" w:rsidP="00E37182">
            <w:pPr>
              <w:suppressAutoHyphens/>
              <w:spacing w:before="40" w:after="40" w:line="240" w:lineRule="auto"/>
              <w:ind w:firstLine="0"/>
              <w:jc w:val="left"/>
              <w:rPr>
                <w:sz w:val="20"/>
              </w:rPr>
            </w:pPr>
            <w:r w:rsidRPr="00C525CD">
              <w:rPr>
                <w:sz w:val="20"/>
              </w:rPr>
              <w:t>Částice PM</w:t>
            </w:r>
            <w:r w:rsidRPr="00C525CD">
              <w:rPr>
                <w:sz w:val="20"/>
                <w:vertAlign w:val="subscript"/>
              </w:rPr>
              <w:t>10</w:t>
            </w:r>
          </w:p>
        </w:tc>
        <w:tc>
          <w:tcPr>
            <w:tcW w:w="2298" w:type="dxa"/>
            <w:tcBorders>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36. nejvyšší denní průměr</w:t>
            </w:r>
          </w:p>
        </w:tc>
        <w:tc>
          <w:tcPr>
            <w:tcW w:w="993"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36,4 - 39,3</w:t>
            </w:r>
          </w:p>
        </w:tc>
        <w:tc>
          <w:tcPr>
            <w:tcW w:w="1134" w:type="dxa"/>
            <w:vAlign w:val="center"/>
          </w:tcPr>
          <w:p w:rsidR="00C006CB" w:rsidRPr="00C525CD" w:rsidRDefault="00C006CB" w:rsidP="00E37182">
            <w:pPr>
              <w:suppressAutoHyphens/>
              <w:spacing w:before="40" w:after="40" w:line="240" w:lineRule="auto"/>
              <w:ind w:firstLine="0"/>
              <w:jc w:val="center"/>
              <w:rPr>
                <w:sz w:val="20"/>
              </w:rPr>
            </w:pPr>
            <w:r w:rsidRPr="00C525CD">
              <w:rPr>
                <w:sz w:val="20"/>
              </w:rPr>
              <w:t>50</w:t>
            </w:r>
          </w:p>
        </w:tc>
        <w:tc>
          <w:tcPr>
            <w:tcW w:w="1616" w:type="dxa"/>
            <w:vAlign w:val="bottom"/>
          </w:tcPr>
          <w:p w:rsidR="00C006CB" w:rsidRPr="00C525CD" w:rsidRDefault="00C006CB" w:rsidP="00E37182">
            <w:pPr>
              <w:suppressAutoHyphens/>
              <w:spacing w:before="40" w:after="40" w:line="240" w:lineRule="auto"/>
              <w:ind w:firstLine="0"/>
              <w:jc w:val="center"/>
              <w:rPr>
                <w:sz w:val="20"/>
              </w:rPr>
            </w:pPr>
            <w:r w:rsidRPr="00C525CD">
              <w:rPr>
                <w:sz w:val="20"/>
              </w:rPr>
              <w:t>72,8 - 78,6</w:t>
            </w:r>
          </w:p>
        </w:tc>
      </w:tr>
      <w:tr w:rsidR="00C006CB" w:rsidRPr="00C525CD" w:rsidTr="00E37182">
        <w:trPr>
          <w:jc w:val="center"/>
        </w:trPr>
        <w:tc>
          <w:tcPr>
            <w:tcW w:w="1728" w:type="dxa"/>
            <w:tcBorders>
              <w:bottom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Částice PM</w:t>
            </w:r>
            <w:r w:rsidRPr="00C525CD">
              <w:rPr>
                <w:sz w:val="20"/>
                <w:vertAlign w:val="subscript"/>
              </w:rPr>
              <w:t>2,5</w:t>
            </w:r>
          </w:p>
        </w:tc>
        <w:tc>
          <w:tcPr>
            <w:tcW w:w="2298" w:type="dxa"/>
            <w:tcBorders>
              <w:bottom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bottom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bottom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16,1 - 16,9</w:t>
            </w:r>
          </w:p>
        </w:tc>
        <w:tc>
          <w:tcPr>
            <w:tcW w:w="1134" w:type="dxa"/>
            <w:tcBorders>
              <w:bottom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20</w:t>
            </w:r>
          </w:p>
        </w:tc>
        <w:tc>
          <w:tcPr>
            <w:tcW w:w="1616" w:type="dxa"/>
            <w:tcBorders>
              <w:bottom w:val="single" w:sz="6"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80,5 - 84,5</w:t>
            </w:r>
          </w:p>
        </w:tc>
      </w:tr>
      <w:tr w:rsidR="00C006CB" w:rsidRPr="00C525CD" w:rsidTr="00E37182">
        <w:trPr>
          <w:jc w:val="center"/>
        </w:trPr>
        <w:tc>
          <w:tcPr>
            <w:tcW w:w="1728" w:type="dxa"/>
            <w:tcBorders>
              <w:top w:val="single" w:sz="6" w:space="0" w:color="auto"/>
              <w:bottom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Benzen</w:t>
            </w:r>
          </w:p>
        </w:tc>
        <w:tc>
          <w:tcPr>
            <w:tcW w:w="2298" w:type="dxa"/>
            <w:tcBorders>
              <w:top w:val="single" w:sz="6" w:space="0" w:color="auto"/>
              <w:bottom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bottom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µg.m</w:t>
            </w:r>
            <w:r w:rsidRPr="00C525CD">
              <w:rPr>
                <w:sz w:val="20"/>
                <w:vertAlign w:val="superscript"/>
              </w:rPr>
              <w:t>-3</w:t>
            </w:r>
          </w:p>
        </w:tc>
        <w:tc>
          <w:tcPr>
            <w:tcW w:w="1417" w:type="dxa"/>
            <w:tcBorders>
              <w:top w:val="single" w:sz="6" w:space="0" w:color="auto"/>
              <w:bottom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1,0 - 1,2</w:t>
            </w:r>
          </w:p>
        </w:tc>
        <w:tc>
          <w:tcPr>
            <w:tcW w:w="1134" w:type="dxa"/>
            <w:tcBorders>
              <w:top w:val="single" w:sz="6" w:space="0" w:color="auto"/>
              <w:bottom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5</w:t>
            </w:r>
          </w:p>
        </w:tc>
        <w:tc>
          <w:tcPr>
            <w:tcW w:w="1616" w:type="dxa"/>
            <w:tcBorders>
              <w:top w:val="single" w:sz="6" w:space="0" w:color="auto"/>
              <w:bottom w:val="single" w:sz="6"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20,0 - 24,0</w:t>
            </w:r>
          </w:p>
        </w:tc>
      </w:tr>
      <w:tr w:rsidR="00C006CB" w:rsidRPr="00C525CD" w:rsidTr="00E37182">
        <w:trPr>
          <w:jc w:val="center"/>
        </w:trPr>
        <w:tc>
          <w:tcPr>
            <w:tcW w:w="1728" w:type="dxa"/>
            <w:tcBorders>
              <w:top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Benzo[a]pyren</w:t>
            </w:r>
          </w:p>
        </w:tc>
        <w:tc>
          <w:tcPr>
            <w:tcW w:w="2298" w:type="dxa"/>
            <w:tcBorders>
              <w:top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ng.m</w:t>
            </w:r>
            <w:r w:rsidRPr="00C525CD">
              <w:rPr>
                <w:sz w:val="20"/>
                <w:vertAlign w:val="superscript"/>
              </w:rPr>
              <w:t>-3</w:t>
            </w:r>
          </w:p>
        </w:tc>
        <w:tc>
          <w:tcPr>
            <w:tcW w:w="1417" w:type="dxa"/>
            <w:tcBorders>
              <w:top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1,0</w:t>
            </w:r>
          </w:p>
        </w:tc>
        <w:tc>
          <w:tcPr>
            <w:tcW w:w="1134" w:type="dxa"/>
            <w:tcBorders>
              <w:top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1</w:t>
            </w:r>
          </w:p>
        </w:tc>
        <w:tc>
          <w:tcPr>
            <w:tcW w:w="1616" w:type="dxa"/>
            <w:tcBorders>
              <w:top w:val="single" w:sz="6"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100,0</w:t>
            </w:r>
          </w:p>
        </w:tc>
      </w:tr>
      <w:tr w:rsidR="00C006CB" w:rsidRPr="00C525CD" w:rsidTr="00E37182">
        <w:trPr>
          <w:jc w:val="center"/>
        </w:trPr>
        <w:tc>
          <w:tcPr>
            <w:tcW w:w="1728" w:type="dxa"/>
            <w:tcBorders>
              <w:top w:val="single" w:sz="6" w:space="0" w:color="auto"/>
              <w:left w:val="single" w:sz="18"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Arsen</w:t>
            </w:r>
          </w:p>
        </w:tc>
        <w:tc>
          <w:tcPr>
            <w:tcW w:w="2298" w:type="dxa"/>
            <w:tcBorders>
              <w:top w:val="single" w:sz="6" w:space="0" w:color="auto"/>
              <w:left w:val="single" w:sz="6" w:space="0" w:color="auto"/>
              <w:bottom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ng.m</w:t>
            </w:r>
            <w:r w:rsidRPr="00C525CD">
              <w:rPr>
                <w:sz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1,5</w:t>
            </w:r>
          </w:p>
        </w:tc>
        <w:tc>
          <w:tcPr>
            <w:tcW w:w="1134"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6</w:t>
            </w:r>
          </w:p>
        </w:tc>
        <w:tc>
          <w:tcPr>
            <w:tcW w:w="1616" w:type="dxa"/>
            <w:tcBorders>
              <w:top w:val="single" w:sz="6" w:space="0" w:color="auto"/>
              <w:left w:val="single" w:sz="6" w:space="0" w:color="auto"/>
              <w:bottom w:val="single" w:sz="6" w:space="0" w:color="auto"/>
              <w:right w:val="single" w:sz="18"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25,0</w:t>
            </w:r>
          </w:p>
        </w:tc>
      </w:tr>
      <w:tr w:rsidR="00C006CB" w:rsidRPr="00C525CD" w:rsidTr="00E37182">
        <w:trPr>
          <w:jc w:val="center"/>
        </w:trPr>
        <w:tc>
          <w:tcPr>
            <w:tcW w:w="1728" w:type="dxa"/>
            <w:tcBorders>
              <w:top w:val="single" w:sz="6" w:space="0" w:color="auto"/>
              <w:left w:val="single" w:sz="18"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Kadmium</w:t>
            </w:r>
          </w:p>
        </w:tc>
        <w:tc>
          <w:tcPr>
            <w:tcW w:w="2298" w:type="dxa"/>
            <w:tcBorders>
              <w:top w:val="single" w:sz="6" w:space="0" w:color="auto"/>
              <w:left w:val="single" w:sz="6" w:space="0" w:color="auto"/>
              <w:bottom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ng.m</w:t>
            </w:r>
            <w:r w:rsidRPr="00C525CD">
              <w:rPr>
                <w:sz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0,2</w:t>
            </w:r>
          </w:p>
        </w:tc>
        <w:tc>
          <w:tcPr>
            <w:tcW w:w="1134"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5</w:t>
            </w:r>
          </w:p>
        </w:tc>
        <w:tc>
          <w:tcPr>
            <w:tcW w:w="1616" w:type="dxa"/>
            <w:tcBorders>
              <w:top w:val="single" w:sz="6" w:space="0" w:color="auto"/>
              <w:left w:val="single" w:sz="6" w:space="0" w:color="auto"/>
              <w:bottom w:val="single" w:sz="6" w:space="0" w:color="auto"/>
              <w:right w:val="single" w:sz="18"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4,0</w:t>
            </w:r>
          </w:p>
        </w:tc>
      </w:tr>
      <w:tr w:rsidR="00C006CB" w:rsidRPr="00C525CD" w:rsidTr="00E37182">
        <w:trPr>
          <w:jc w:val="center"/>
        </w:trPr>
        <w:tc>
          <w:tcPr>
            <w:tcW w:w="1728" w:type="dxa"/>
            <w:tcBorders>
              <w:top w:val="single" w:sz="6" w:space="0" w:color="auto"/>
              <w:left w:val="single" w:sz="18"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Olovo</w:t>
            </w:r>
          </w:p>
        </w:tc>
        <w:tc>
          <w:tcPr>
            <w:tcW w:w="2298" w:type="dxa"/>
            <w:tcBorders>
              <w:top w:val="single" w:sz="6" w:space="0" w:color="auto"/>
              <w:left w:val="single" w:sz="6" w:space="0" w:color="auto"/>
              <w:bottom w:val="single" w:sz="6"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ng.m</w:t>
            </w:r>
            <w:r w:rsidRPr="00C525CD">
              <w:rPr>
                <w:sz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5,0 - 5,6</w:t>
            </w:r>
          </w:p>
        </w:tc>
        <w:tc>
          <w:tcPr>
            <w:tcW w:w="1134" w:type="dxa"/>
            <w:tcBorders>
              <w:top w:val="single" w:sz="6" w:space="0" w:color="auto"/>
              <w:left w:val="single" w:sz="6" w:space="0" w:color="auto"/>
              <w:bottom w:val="single" w:sz="6"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500</w:t>
            </w:r>
          </w:p>
        </w:tc>
        <w:tc>
          <w:tcPr>
            <w:tcW w:w="1616" w:type="dxa"/>
            <w:tcBorders>
              <w:top w:val="single" w:sz="6" w:space="0" w:color="auto"/>
              <w:left w:val="single" w:sz="6" w:space="0" w:color="auto"/>
              <w:bottom w:val="single" w:sz="6" w:space="0" w:color="auto"/>
              <w:right w:val="single" w:sz="18"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1,0 - 1,1</w:t>
            </w:r>
          </w:p>
        </w:tc>
      </w:tr>
      <w:tr w:rsidR="00C006CB" w:rsidRPr="00C525CD" w:rsidTr="00E37182">
        <w:trPr>
          <w:jc w:val="center"/>
        </w:trPr>
        <w:tc>
          <w:tcPr>
            <w:tcW w:w="1728" w:type="dxa"/>
            <w:tcBorders>
              <w:top w:val="single" w:sz="6" w:space="0" w:color="auto"/>
              <w:left w:val="single" w:sz="18" w:space="0" w:color="auto"/>
              <w:bottom w:val="single" w:sz="18" w:space="0" w:color="auto"/>
              <w:right w:val="single" w:sz="6" w:space="0" w:color="auto"/>
            </w:tcBorders>
            <w:vAlign w:val="center"/>
          </w:tcPr>
          <w:p w:rsidR="00C006CB" w:rsidRPr="00C525CD" w:rsidRDefault="00C006CB" w:rsidP="00E37182">
            <w:pPr>
              <w:suppressAutoHyphens/>
              <w:spacing w:before="40" w:after="40" w:line="240" w:lineRule="auto"/>
              <w:ind w:firstLine="0"/>
              <w:jc w:val="left"/>
              <w:rPr>
                <w:sz w:val="20"/>
              </w:rPr>
            </w:pPr>
            <w:r w:rsidRPr="00C525CD">
              <w:rPr>
                <w:sz w:val="20"/>
              </w:rPr>
              <w:t>Nikl</w:t>
            </w:r>
          </w:p>
        </w:tc>
        <w:tc>
          <w:tcPr>
            <w:tcW w:w="2298" w:type="dxa"/>
            <w:tcBorders>
              <w:top w:val="single" w:sz="6" w:space="0" w:color="auto"/>
              <w:left w:val="single" w:sz="6" w:space="0" w:color="auto"/>
              <w:bottom w:val="single" w:sz="18" w:space="0" w:color="auto"/>
              <w:right w:val="single" w:sz="8" w:space="0" w:color="auto"/>
            </w:tcBorders>
            <w:noWrap/>
            <w:vAlign w:val="center"/>
          </w:tcPr>
          <w:p w:rsidR="00C006CB" w:rsidRPr="00C525CD" w:rsidRDefault="00C006CB" w:rsidP="00E37182">
            <w:pPr>
              <w:suppressAutoHyphens/>
              <w:spacing w:before="40" w:after="40" w:line="240" w:lineRule="auto"/>
              <w:ind w:firstLine="0"/>
              <w:jc w:val="left"/>
              <w:rPr>
                <w:sz w:val="20"/>
              </w:rPr>
            </w:pPr>
            <w:r w:rsidRPr="00C525CD">
              <w:rPr>
                <w:sz w:val="20"/>
              </w:rPr>
              <w:t>roční průměr</w:t>
            </w:r>
          </w:p>
        </w:tc>
        <w:tc>
          <w:tcPr>
            <w:tcW w:w="993" w:type="dxa"/>
            <w:tcBorders>
              <w:top w:val="single" w:sz="6" w:space="0" w:color="auto"/>
              <w:left w:val="single" w:sz="6" w:space="0" w:color="auto"/>
              <w:bottom w:val="single" w:sz="18"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ng.m</w:t>
            </w:r>
            <w:r w:rsidRPr="00C525CD">
              <w:rPr>
                <w:sz w:val="20"/>
                <w:vertAlign w:val="superscript"/>
              </w:rPr>
              <w:t>-3</w:t>
            </w:r>
          </w:p>
        </w:tc>
        <w:tc>
          <w:tcPr>
            <w:tcW w:w="1417" w:type="dxa"/>
            <w:tcBorders>
              <w:top w:val="single" w:sz="6" w:space="0" w:color="auto"/>
              <w:left w:val="single" w:sz="6" w:space="0" w:color="auto"/>
              <w:bottom w:val="single" w:sz="18" w:space="0" w:color="auto"/>
              <w:right w:val="single" w:sz="4"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0,4 - 0,5</w:t>
            </w:r>
          </w:p>
        </w:tc>
        <w:tc>
          <w:tcPr>
            <w:tcW w:w="1134" w:type="dxa"/>
            <w:tcBorders>
              <w:top w:val="single" w:sz="6" w:space="0" w:color="auto"/>
              <w:left w:val="single" w:sz="6" w:space="0" w:color="auto"/>
              <w:bottom w:val="single" w:sz="18" w:space="0" w:color="auto"/>
              <w:right w:val="single" w:sz="6" w:space="0" w:color="auto"/>
            </w:tcBorders>
            <w:vAlign w:val="center"/>
          </w:tcPr>
          <w:p w:rsidR="00C006CB" w:rsidRPr="00C525CD" w:rsidRDefault="00C006CB" w:rsidP="00E37182">
            <w:pPr>
              <w:suppressAutoHyphens/>
              <w:spacing w:before="40" w:after="40" w:line="240" w:lineRule="auto"/>
              <w:ind w:firstLine="0"/>
              <w:jc w:val="center"/>
              <w:rPr>
                <w:sz w:val="20"/>
              </w:rPr>
            </w:pPr>
            <w:r w:rsidRPr="00C525CD">
              <w:rPr>
                <w:sz w:val="20"/>
              </w:rPr>
              <w:t>20</w:t>
            </w:r>
          </w:p>
        </w:tc>
        <w:tc>
          <w:tcPr>
            <w:tcW w:w="1616" w:type="dxa"/>
            <w:tcBorders>
              <w:top w:val="single" w:sz="6" w:space="0" w:color="auto"/>
              <w:left w:val="single" w:sz="6" w:space="0" w:color="auto"/>
              <w:bottom w:val="single" w:sz="18" w:space="0" w:color="auto"/>
              <w:right w:val="single" w:sz="18" w:space="0" w:color="auto"/>
            </w:tcBorders>
            <w:vAlign w:val="bottom"/>
          </w:tcPr>
          <w:p w:rsidR="00C006CB" w:rsidRPr="00C525CD" w:rsidRDefault="00C006CB" w:rsidP="00E37182">
            <w:pPr>
              <w:suppressAutoHyphens/>
              <w:spacing w:before="40" w:after="40" w:line="240" w:lineRule="auto"/>
              <w:ind w:firstLine="0"/>
              <w:jc w:val="center"/>
              <w:rPr>
                <w:sz w:val="20"/>
              </w:rPr>
            </w:pPr>
            <w:r w:rsidRPr="00C525CD">
              <w:rPr>
                <w:sz w:val="20"/>
              </w:rPr>
              <w:t>2,0 - 2,5</w:t>
            </w:r>
          </w:p>
        </w:tc>
      </w:tr>
    </w:tbl>
    <w:p w:rsidR="00C006CB" w:rsidRPr="00C525CD" w:rsidRDefault="00C006CB" w:rsidP="00C006CB"/>
    <w:p w:rsidR="00C006CB" w:rsidRPr="00C525CD" w:rsidRDefault="00C006CB" w:rsidP="00C006CB">
      <w:r w:rsidRPr="00C525CD">
        <w:t xml:space="preserve">Z tabulky 16 je patrné, že v pětiletém průměru nedochází v území, v němž je změna ÚP lokalizována, k překračování imisních limitů žádné znečišťující látky. U benzo[a]pyrenu, k jehož koncentracím se pouze přihlíží, hodnoty v řešené lokalitě dosahují až 100 % imisního limitu. </w:t>
      </w:r>
    </w:p>
    <w:p w:rsidR="00C006CB" w:rsidRPr="00C525CD" w:rsidRDefault="00C006CB" w:rsidP="00C006CB">
      <w:r w:rsidRPr="00C525CD">
        <w:t>Z ostatních látek jsou nejvyšší hodnoty vzhledem k imisnímu limitu vykazovány pro 24-hodinové koncentrace PM</w:t>
      </w:r>
      <w:r w:rsidRPr="00C525CD">
        <w:rPr>
          <w:vertAlign w:val="subscript"/>
        </w:rPr>
        <w:t>10</w:t>
      </w:r>
      <w:r w:rsidRPr="00C525CD">
        <w:t xml:space="preserve"> (36. nejvyšší hodnota), které dosahují 79 % limitu, a průměrné roční koncentrace PM</w:t>
      </w:r>
      <w:r w:rsidRPr="00C525CD">
        <w:rPr>
          <w:vertAlign w:val="subscript"/>
        </w:rPr>
        <w:t>2,5</w:t>
      </w:r>
      <w:r w:rsidRPr="00C525CD">
        <w:t xml:space="preserve">, které činí 85 % limitu platného od r. 2020. Koncentrace ostatních znečišťujících látek jsou pod úrovní 57 % limitních hodnot. </w:t>
      </w:r>
    </w:p>
    <w:p w:rsidR="00971D59" w:rsidRPr="00C525CD" w:rsidRDefault="00971D59" w:rsidP="00190CB0"/>
    <w:p w:rsidR="00971D59" w:rsidRPr="00C525CD" w:rsidRDefault="00971D59" w:rsidP="00190CB0"/>
    <w:p w:rsidR="00E038E7" w:rsidRPr="00C525CD" w:rsidRDefault="00E038E7" w:rsidP="00E038E7">
      <w:pPr>
        <w:pStyle w:val="Nadpis2"/>
        <w:numPr>
          <w:ilvl w:val="1"/>
          <w:numId w:val="4"/>
        </w:numPr>
      </w:pPr>
      <w:bookmarkStart w:id="25" w:name="_Toc227739949"/>
      <w:bookmarkStart w:id="26" w:name="_Toc59444734"/>
      <w:bookmarkStart w:id="27" w:name="_Toc73358433"/>
      <w:r w:rsidRPr="00C525CD">
        <w:t>Modelované znečišťující látky a příslušné imisní limity</w:t>
      </w:r>
      <w:bookmarkEnd w:id="25"/>
      <w:bookmarkEnd w:id="26"/>
      <w:bookmarkEnd w:id="27"/>
    </w:p>
    <w:p w:rsidR="00E038E7" w:rsidRPr="00C525CD" w:rsidRDefault="00E038E7" w:rsidP="00E038E7">
      <w:pPr>
        <w:widowControl/>
      </w:pPr>
      <w:r w:rsidRPr="00C525CD">
        <w:t>Jako modelové imisní veličiny jsou v této studii zpracovány průměrné roční koncentrace</w:t>
      </w:r>
      <w:r w:rsidRPr="00C525CD">
        <w:rPr>
          <w:bCs/>
        </w:rPr>
        <w:t xml:space="preserve"> oxidu dusičitého,</w:t>
      </w:r>
      <w:r w:rsidRPr="00C525CD">
        <w:t xml:space="preserve"> suspendovaných částic frakcí </w:t>
      </w:r>
      <w:r w:rsidRPr="00C525CD">
        <w:rPr>
          <w:bCs/>
        </w:rPr>
        <w:t>PM</w:t>
      </w:r>
      <w:r w:rsidRPr="00C525CD">
        <w:rPr>
          <w:bCs/>
          <w:vertAlign w:val="subscript"/>
        </w:rPr>
        <w:t>10</w:t>
      </w:r>
      <w:r w:rsidRPr="00C525CD">
        <w:t xml:space="preserve"> a PM</w:t>
      </w:r>
      <w:r w:rsidRPr="00C525CD">
        <w:rPr>
          <w:vertAlign w:val="subscript"/>
        </w:rPr>
        <w:t>2,5</w:t>
      </w:r>
      <w:r w:rsidRPr="00C525CD">
        <w:t xml:space="preserve">, benzenu a </w:t>
      </w:r>
      <w:r w:rsidRPr="00C525CD">
        <w:lastRenderedPageBreak/>
        <w:t xml:space="preserve">benzo[a]pyrenu. Jedná se o reprezentativní imisní veličiny pro vyhodnocení vlivů automobilové dopravy na kvalitu ovzduší. </w:t>
      </w:r>
    </w:p>
    <w:p w:rsidR="00E038E7" w:rsidRPr="00C525CD" w:rsidRDefault="00E038E7" w:rsidP="00E038E7">
      <w:pPr>
        <w:widowControl/>
      </w:pPr>
      <w:r w:rsidRPr="00C525CD">
        <w:t xml:space="preserve">Výsledky modelových výpočtů jsou vyhodnoceny ve vztahu k imisním limitům, které určují přípustnou úroveň znečištění ovzduší. Jejich hodnoty jsou pro jednotlivé znečišťující látky stanoveny Přílohou č. 1 zákona č. 201/2012 Sb., o ochraně ovzduší. </w:t>
      </w:r>
    </w:p>
    <w:p w:rsidR="00E038E7" w:rsidRPr="00C525CD" w:rsidRDefault="00E038E7" w:rsidP="00E038E7">
      <w:pPr>
        <w:keepNext/>
        <w:keepLines/>
        <w:widowControl/>
        <w:numPr>
          <w:ilvl w:val="12"/>
          <w:numId w:val="0"/>
        </w:numPr>
        <w:spacing w:after="60"/>
        <w:ind w:left="992" w:hanging="992"/>
        <w:jc w:val="left"/>
        <w:rPr>
          <w:b/>
          <w:sz w:val="24"/>
        </w:rPr>
      </w:pPr>
      <w:r w:rsidRPr="00C525CD">
        <w:rPr>
          <w:b/>
          <w:sz w:val="24"/>
        </w:rPr>
        <w:t>Tab. 5.2. Limitní hodnoty pro ochranu zdraví – průměrné roční koncentrace hodnocených polutantů</w:t>
      </w:r>
    </w:p>
    <w:tbl>
      <w:tblPr>
        <w:tblW w:w="9072"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4536"/>
        <w:gridCol w:w="4536"/>
      </w:tblGrid>
      <w:tr w:rsidR="00E038E7" w:rsidRPr="00C525CD" w:rsidTr="00E038E7">
        <w:trPr>
          <w:tblHeader/>
          <w:jc w:val="center"/>
        </w:trPr>
        <w:tc>
          <w:tcPr>
            <w:tcW w:w="4536" w:type="dxa"/>
            <w:tcBorders>
              <w:top w:val="single" w:sz="18" w:space="0" w:color="auto"/>
            </w:tcBorders>
            <w:vAlign w:val="center"/>
          </w:tcPr>
          <w:p w:rsidR="00E038E7" w:rsidRPr="00C525CD" w:rsidRDefault="00E038E7" w:rsidP="00E038E7">
            <w:pPr>
              <w:widowControl/>
              <w:suppressAutoHyphens/>
              <w:spacing w:before="40" w:after="40" w:line="240" w:lineRule="auto"/>
              <w:ind w:firstLine="0"/>
              <w:jc w:val="center"/>
              <w:rPr>
                <w:b/>
                <w:snapToGrid w:val="0"/>
                <w:sz w:val="20"/>
              </w:rPr>
            </w:pPr>
            <w:r w:rsidRPr="00C525CD">
              <w:rPr>
                <w:b/>
                <w:snapToGrid w:val="0"/>
                <w:sz w:val="20"/>
              </w:rPr>
              <w:t>Látka</w:t>
            </w:r>
          </w:p>
        </w:tc>
        <w:tc>
          <w:tcPr>
            <w:tcW w:w="4536" w:type="dxa"/>
            <w:tcBorders>
              <w:top w:val="single" w:sz="18" w:space="0" w:color="auto"/>
            </w:tcBorders>
            <w:vAlign w:val="center"/>
          </w:tcPr>
          <w:p w:rsidR="00E038E7" w:rsidRPr="00C525CD" w:rsidRDefault="00E038E7" w:rsidP="00E038E7">
            <w:pPr>
              <w:widowControl/>
              <w:suppressAutoHyphens/>
              <w:spacing w:before="40" w:after="40" w:line="240" w:lineRule="auto"/>
              <w:ind w:firstLine="0"/>
              <w:jc w:val="center"/>
              <w:rPr>
                <w:b/>
                <w:snapToGrid w:val="0"/>
                <w:sz w:val="20"/>
              </w:rPr>
            </w:pPr>
            <w:r w:rsidRPr="00C525CD">
              <w:rPr>
                <w:b/>
                <w:snapToGrid w:val="0"/>
                <w:sz w:val="20"/>
              </w:rPr>
              <w:t xml:space="preserve">Imisní limit </w:t>
            </w:r>
          </w:p>
        </w:tc>
      </w:tr>
      <w:tr w:rsidR="00E038E7" w:rsidRPr="00C525CD" w:rsidTr="00E038E7">
        <w:trPr>
          <w:cantSplit/>
          <w:jc w:val="center"/>
        </w:trPr>
        <w:tc>
          <w:tcPr>
            <w:tcW w:w="4536" w:type="dxa"/>
            <w:tcBorders>
              <w:top w:val="single" w:sz="12" w:space="0" w:color="auto"/>
            </w:tcBorders>
            <w:vAlign w:val="center"/>
          </w:tcPr>
          <w:p w:rsidR="00E038E7" w:rsidRPr="00C525CD" w:rsidRDefault="00E038E7" w:rsidP="00E038E7">
            <w:pPr>
              <w:widowControl/>
              <w:suppressAutoHyphens/>
              <w:spacing w:before="40" w:after="40" w:line="240" w:lineRule="auto"/>
              <w:ind w:firstLine="0"/>
              <w:rPr>
                <w:snapToGrid w:val="0"/>
                <w:sz w:val="20"/>
              </w:rPr>
            </w:pPr>
            <w:r w:rsidRPr="00C525CD">
              <w:rPr>
                <w:snapToGrid w:val="0"/>
                <w:sz w:val="20"/>
              </w:rPr>
              <w:t>Oxid dusičitý</w:t>
            </w:r>
          </w:p>
        </w:tc>
        <w:tc>
          <w:tcPr>
            <w:tcW w:w="4536" w:type="dxa"/>
            <w:tcBorders>
              <w:top w:val="single" w:sz="12" w:space="0" w:color="auto"/>
            </w:tcBorders>
            <w:vAlign w:val="center"/>
          </w:tcPr>
          <w:p w:rsidR="00E038E7" w:rsidRPr="00C525CD" w:rsidRDefault="00E038E7" w:rsidP="00E038E7">
            <w:pPr>
              <w:widowControl/>
              <w:suppressAutoHyphens/>
              <w:spacing w:before="40" w:after="40" w:line="240" w:lineRule="auto"/>
              <w:ind w:right="1927" w:firstLine="0"/>
              <w:jc w:val="right"/>
              <w:rPr>
                <w:snapToGrid w:val="0"/>
                <w:sz w:val="20"/>
              </w:rPr>
            </w:pPr>
            <w:r w:rsidRPr="00C525CD">
              <w:rPr>
                <w:snapToGrid w:val="0"/>
                <w:sz w:val="20"/>
              </w:rPr>
              <w:t xml:space="preserve">40 </w:t>
            </w:r>
            <w:r w:rsidRPr="00C525CD">
              <w:rPr>
                <w:rFonts w:ascii="Symbol" w:hAnsi="Symbol"/>
                <w:snapToGrid w:val="0"/>
                <w:sz w:val="20"/>
              </w:rPr>
              <w:t></w:t>
            </w:r>
            <w:r w:rsidRPr="00C525CD">
              <w:rPr>
                <w:snapToGrid w:val="0"/>
                <w:sz w:val="20"/>
              </w:rPr>
              <w:t>g.m</w:t>
            </w:r>
            <w:r w:rsidRPr="00C525CD">
              <w:rPr>
                <w:snapToGrid w:val="0"/>
                <w:sz w:val="20"/>
                <w:vertAlign w:val="superscript"/>
              </w:rPr>
              <w:t>-3</w:t>
            </w:r>
          </w:p>
        </w:tc>
      </w:tr>
      <w:tr w:rsidR="00E038E7" w:rsidRPr="00C525CD" w:rsidTr="00E038E7">
        <w:trPr>
          <w:cantSplit/>
          <w:jc w:val="center"/>
        </w:trPr>
        <w:tc>
          <w:tcPr>
            <w:tcW w:w="4536" w:type="dxa"/>
            <w:vAlign w:val="center"/>
          </w:tcPr>
          <w:p w:rsidR="00E038E7" w:rsidRPr="00C525CD" w:rsidRDefault="00E038E7" w:rsidP="00E038E7">
            <w:pPr>
              <w:widowControl/>
              <w:suppressAutoHyphens/>
              <w:spacing w:before="40" w:after="40" w:line="240" w:lineRule="auto"/>
              <w:ind w:firstLine="0"/>
              <w:rPr>
                <w:snapToGrid w:val="0"/>
                <w:sz w:val="20"/>
              </w:rPr>
            </w:pPr>
            <w:r w:rsidRPr="00C525CD">
              <w:rPr>
                <w:snapToGrid w:val="0"/>
                <w:sz w:val="20"/>
              </w:rPr>
              <w:t>Suspendované částice PM</w:t>
            </w:r>
            <w:r w:rsidRPr="00C525CD">
              <w:rPr>
                <w:snapToGrid w:val="0"/>
                <w:sz w:val="20"/>
                <w:vertAlign w:val="subscript"/>
              </w:rPr>
              <w:t>10</w:t>
            </w:r>
          </w:p>
        </w:tc>
        <w:tc>
          <w:tcPr>
            <w:tcW w:w="4536" w:type="dxa"/>
            <w:vAlign w:val="center"/>
          </w:tcPr>
          <w:p w:rsidR="00E038E7" w:rsidRPr="00C525CD" w:rsidRDefault="00E038E7" w:rsidP="00E038E7">
            <w:pPr>
              <w:widowControl/>
              <w:suppressAutoHyphens/>
              <w:spacing w:before="40" w:after="40" w:line="240" w:lineRule="auto"/>
              <w:ind w:right="1927" w:firstLine="0"/>
              <w:jc w:val="right"/>
              <w:rPr>
                <w:snapToGrid w:val="0"/>
                <w:sz w:val="20"/>
              </w:rPr>
            </w:pPr>
            <w:r w:rsidRPr="00C525CD">
              <w:rPr>
                <w:snapToGrid w:val="0"/>
                <w:sz w:val="20"/>
              </w:rPr>
              <w:t xml:space="preserve">40 </w:t>
            </w:r>
            <w:r w:rsidRPr="00C525CD">
              <w:rPr>
                <w:rFonts w:ascii="Symbol" w:hAnsi="Symbol"/>
                <w:snapToGrid w:val="0"/>
                <w:sz w:val="20"/>
              </w:rPr>
              <w:t></w:t>
            </w:r>
            <w:r w:rsidRPr="00C525CD">
              <w:rPr>
                <w:snapToGrid w:val="0"/>
                <w:sz w:val="20"/>
              </w:rPr>
              <w:t>g.m</w:t>
            </w:r>
            <w:r w:rsidRPr="00C525CD">
              <w:rPr>
                <w:snapToGrid w:val="0"/>
                <w:sz w:val="20"/>
                <w:vertAlign w:val="superscript"/>
              </w:rPr>
              <w:t>-3</w:t>
            </w:r>
          </w:p>
        </w:tc>
      </w:tr>
      <w:tr w:rsidR="00E038E7" w:rsidRPr="00C525CD" w:rsidTr="00E038E7">
        <w:trPr>
          <w:cantSplit/>
          <w:jc w:val="center"/>
        </w:trPr>
        <w:tc>
          <w:tcPr>
            <w:tcW w:w="4536" w:type="dxa"/>
            <w:vAlign w:val="center"/>
          </w:tcPr>
          <w:p w:rsidR="00E038E7" w:rsidRPr="00C525CD" w:rsidRDefault="00E038E7" w:rsidP="00E038E7">
            <w:pPr>
              <w:widowControl/>
              <w:suppressAutoHyphens/>
              <w:spacing w:before="40" w:after="40" w:line="240" w:lineRule="auto"/>
              <w:ind w:firstLine="0"/>
              <w:rPr>
                <w:snapToGrid w:val="0"/>
                <w:sz w:val="20"/>
              </w:rPr>
            </w:pPr>
            <w:r w:rsidRPr="00C525CD">
              <w:rPr>
                <w:snapToGrid w:val="0"/>
                <w:sz w:val="20"/>
              </w:rPr>
              <w:t>Suspendované částice PM</w:t>
            </w:r>
            <w:r w:rsidRPr="00C525CD">
              <w:rPr>
                <w:snapToGrid w:val="0"/>
                <w:sz w:val="20"/>
                <w:vertAlign w:val="subscript"/>
              </w:rPr>
              <w:t>2,5</w:t>
            </w:r>
          </w:p>
        </w:tc>
        <w:tc>
          <w:tcPr>
            <w:tcW w:w="4536" w:type="dxa"/>
            <w:vAlign w:val="center"/>
          </w:tcPr>
          <w:p w:rsidR="00E038E7" w:rsidRPr="00C525CD" w:rsidRDefault="00E038E7" w:rsidP="00E038E7">
            <w:pPr>
              <w:widowControl/>
              <w:suppressAutoHyphens/>
              <w:spacing w:before="40" w:after="40" w:line="240" w:lineRule="auto"/>
              <w:ind w:right="1927" w:firstLine="0"/>
              <w:jc w:val="right"/>
              <w:rPr>
                <w:snapToGrid w:val="0"/>
                <w:sz w:val="20"/>
              </w:rPr>
            </w:pPr>
            <w:r w:rsidRPr="00C525CD">
              <w:rPr>
                <w:snapToGrid w:val="0"/>
                <w:sz w:val="20"/>
              </w:rPr>
              <w:t xml:space="preserve">20 </w:t>
            </w:r>
            <w:r w:rsidRPr="00C525CD">
              <w:rPr>
                <w:rFonts w:ascii="Symbol" w:hAnsi="Symbol"/>
                <w:snapToGrid w:val="0"/>
                <w:sz w:val="20"/>
              </w:rPr>
              <w:t></w:t>
            </w:r>
            <w:r w:rsidRPr="00C525CD">
              <w:rPr>
                <w:snapToGrid w:val="0"/>
                <w:sz w:val="20"/>
              </w:rPr>
              <w:t>g.m</w:t>
            </w:r>
            <w:r w:rsidRPr="00C525CD">
              <w:rPr>
                <w:snapToGrid w:val="0"/>
                <w:sz w:val="20"/>
                <w:vertAlign w:val="superscript"/>
              </w:rPr>
              <w:t>-3</w:t>
            </w:r>
          </w:p>
        </w:tc>
      </w:tr>
      <w:tr w:rsidR="00E038E7" w:rsidRPr="00C525CD" w:rsidTr="00E038E7">
        <w:trPr>
          <w:cantSplit/>
          <w:jc w:val="center"/>
        </w:trPr>
        <w:tc>
          <w:tcPr>
            <w:tcW w:w="4536" w:type="dxa"/>
            <w:vAlign w:val="center"/>
          </w:tcPr>
          <w:p w:rsidR="00E038E7" w:rsidRPr="00C525CD" w:rsidRDefault="00E038E7" w:rsidP="00E038E7">
            <w:pPr>
              <w:widowControl/>
              <w:suppressAutoHyphens/>
              <w:spacing w:before="40" w:after="40" w:line="240" w:lineRule="auto"/>
              <w:ind w:firstLine="0"/>
              <w:rPr>
                <w:snapToGrid w:val="0"/>
                <w:sz w:val="20"/>
              </w:rPr>
            </w:pPr>
            <w:r w:rsidRPr="00C525CD">
              <w:rPr>
                <w:snapToGrid w:val="0"/>
                <w:sz w:val="20"/>
              </w:rPr>
              <w:t>Benzen</w:t>
            </w:r>
          </w:p>
        </w:tc>
        <w:tc>
          <w:tcPr>
            <w:tcW w:w="4536" w:type="dxa"/>
            <w:vAlign w:val="center"/>
          </w:tcPr>
          <w:p w:rsidR="00E038E7" w:rsidRPr="00C525CD" w:rsidRDefault="00E038E7" w:rsidP="00E038E7">
            <w:pPr>
              <w:widowControl/>
              <w:suppressAutoHyphens/>
              <w:spacing w:before="40" w:after="40" w:line="240" w:lineRule="auto"/>
              <w:ind w:right="1927" w:firstLine="0"/>
              <w:jc w:val="right"/>
              <w:rPr>
                <w:snapToGrid w:val="0"/>
                <w:sz w:val="20"/>
              </w:rPr>
            </w:pPr>
            <w:r w:rsidRPr="00C525CD">
              <w:rPr>
                <w:snapToGrid w:val="0"/>
                <w:sz w:val="20"/>
              </w:rPr>
              <w:t xml:space="preserve">5 </w:t>
            </w:r>
            <w:r w:rsidRPr="00C525CD">
              <w:rPr>
                <w:rFonts w:ascii="Symbol" w:hAnsi="Symbol"/>
                <w:snapToGrid w:val="0"/>
                <w:sz w:val="20"/>
              </w:rPr>
              <w:t></w:t>
            </w:r>
            <w:r w:rsidRPr="00C525CD">
              <w:rPr>
                <w:snapToGrid w:val="0"/>
                <w:sz w:val="20"/>
              </w:rPr>
              <w:t>g.m</w:t>
            </w:r>
            <w:r w:rsidRPr="00C525CD">
              <w:rPr>
                <w:snapToGrid w:val="0"/>
                <w:sz w:val="20"/>
                <w:vertAlign w:val="superscript"/>
              </w:rPr>
              <w:t>-3</w:t>
            </w:r>
          </w:p>
        </w:tc>
      </w:tr>
      <w:tr w:rsidR="00E038E7" w:rsidRPr="00C525CD" w:rsidTr="00E038E7">
        <w:trPr>
          <w:cantSplit/>
          <w:jc w:val="center"/>
        </w:trPr>
        <w:tc>
          <w:tcPr>
            <w:tcW w:w="4536" w:type="dxa"/>
            <w:tcBorders>
              <w:bottom w:val="single" w:sz="18" w:space="0" w:color="auto"/>
            </w:tcBorders>
            <w:vAlign w:val="center"/>
          </w:tcPr>
          <w:p w:rsidR="00E038E7" w:rsidRPr="00C525CD" w:rsidRDefault="00E038E7" w:rsidP="00E038E7">
            <w:pPr>
              <w:widowControl/>
              <w:suppressAutoHyphens/>
              <w:spacing w:before="40" w:after="40" w:line="240" w:lineRule="auto"/>
              <w:ind w:firstLine="0"/>
              <w:rPr>
                <w:snapToGrid w:val="0"/>
                <w:sz w:val="20"/>
              </w:rPr>
            </w:pPr>
            <w:r w:rsidRPr="00C525CD">
              <w:rPr>
                <w:snapToGrid w:val="0"/>
                <w:sz w:val="20"/>
              </w:rPr>
              <w:t>Benzo[a]pyren</w:t>
            </w:r>
          </w:p>
        </w:tc>
        <w:tc>
          <w:tcPr>
            <w:tcW w:w="4536" w:type="dxa"/>
            <w:tcBorders>
              <w:bottom w:val="single" w:sz="18" w:space="0" w:color="auto"/>
            </w:tcBorders>
            <w:vAlign w:val="center"/>
          </w:tcPr>
          <w:p w:rsidR="00E038E7" w:rsidRPr="00C525CD" w:rsidRDefault="00E038E7" w:rsidP="00E038E7">
            <w:pPr>
              <w:widowControl/>
              <w:suppressAutoHyphens/>
              <w:spacing w:before="40" w:after="40" w:line="240" w:lineRule="auto"/>
              <w:ind w:right="1927" w:firstLine="0"/>
              <w:jc w:val="right"/>
              <w:rPr>
                <w:snapToGrid w:val="0"/>
                <w:sz w:val="20"/>
              </w:rPr>
            </w:pPr>
            <w:r w:rsidRPr="00C525CD">
              <w:rPr>
                <w:snapToGrid w:val="0"/>
                <w:sz w:val="20"/>
              </w:rPr>
              <w:t>1 ng.m</w:t>
            </w:r>
            <w:r w:rsidRPr="00C525CD">
              <w:rPr>
                <w:snapToGrid w:val="0"/>
                <w:sz w:val="20"/>
                <w:vertAlign w:val="superscript"/>
              </w:rPr>
              <w:t>-3</w:t>
            </w:r>
          </w:p>
        </w:tc>
      </w:tr>
    </w:tbl>
    <w:p w:rsidR="00491643" w:rsidRPr="00C525CD" w:rsidRDefault="00491643" w:rsidP="00491643">
      <w:pPr>
        <w:widowControl/>
      </w:pPr>
    </w:p>
    <w:p w:rsidR="00491643" w:rsidRPr="00C525CD" w:rsidRDefault="00491643" w:rsidP="00491643">
      <w:pPr>
        <w:pStyle w:val="Nadpis2"/>
        <w:numPr>
          <w:ilvl w:val="1"/>
          <w:numId w:val="4"/>
        </w:numPr>
      </w:pPr>
      <w:bookmarkStart w:id="28" w:name="_Toc73358434"/>
      <w:r w:rsidRPr="00C525CD">
        <w:t>Zdroje emisí znečišťujících látek</w:t>
      </w:r>
      <w:bookmarkEnd w:id="28"/>
    </w:p>
    <w:p w:rsidR="00491643" w:rsidRPr="00C525CD" w:rsidRDefault="00491643" w:rsidP="007968F5">
      <w:r w:rsidRPr="00C525CD">
        <w:t>Jako zdroj znečišťování ovzduší související s posuzovanou změnou ÚP č. 2998/09 byl</w:t>
      </w:r>
      <w:r w:rsidR="007968F5" w:rsidRPr="00C525CD">
        <w:t>a</w:t>
      </w:r>
      <w:r w:rsidRPr="00C525CD">
        <w:t xml:space="preserve"> hodnocen</w:t>
      </w:r>
      <w:r w:rsidR="007968F5" w:rsidRPr="00C525CD">
        <w:t xml:space="preserve">a </w:t>
      </w:r>
      <w:r w:rsidRPr="00C525CD">
        <w:t>automobilová doprava na komunikacích v řešeném území (dle rozsahu dopravního modelu IPR Praha</w:t>
      </w:r>
      <w:r w:rsidR="007968F5" w:rsidRPr="00C525CD">
        <w:t xml:space="preserve"> (</w:t>
      </w:r>
      <w:r w:rsidRPr="00C525CD">
        <w:t>viz kap. 2</w:t>
      </w:r>
      <w:r w:rsidR="007968F5" w:rsidRPr="00C525CD">
        <w:t>)</w:t>
      </w:r>
      <w:r w:rsidR="001B566B">
        <w:t xml:space="preserve"> a spalování zemního plynu v</w:t>
      </w:r>
      <w:r w:rsidR="00BE1784">
        <w:t> </w:t>
      </w:r>
      <w:r w:rsidR="001B566B">
        <w:t>plánovaných objektech</w:t>
      </w:r>
      <w:r w:rsidR="007968F5" w:rsidRPr="00C525CD">
        <w:t xml:space="preserve">. </w:t>
      </w:r>
    </w:p>
    <w:p w:rsidR="00933532" w:rsidRPr="00C525CD" w:rsidRDefault="00933532" w:rsidP="00933532">
      <w:pPr>
        <w:widowControl/>
      </w:pPr>
      <w:r w:rsidRPr="00C525CD">
        <w:t>Pro výpočty emisí z automobilové dopravy byl použit model MEFA 13 [</w:t>
      </w:r>
      <w:r w:rsidR="00B168C6" w:rsidRPr="00C525CD">
        <w:t>12</w:t>
      </w:r>
      <w:r w:rsidRPr="00C525CD">
        <w:t>]. Ve výpočtu byla zohledněna dynamická skladba vozového parku (podíly vozidel bez katalyzátoru a automobilů splňujících jednotlivé limity EURO) pro území hl. m. Prahy. V případě hodnocení suspendovaných částic PM</w:t>
      </w:r>
      <w:r w:rsidRPr="00C525CD">
        <w:rPr>
          <w:vertAlign w:val="subscript"/>
        </w:rPr>
        <w:t>10</w:t>
      </w:r>
      <w:r w:rsidRPr="00C525CD">
        <w:t xml:space="preserve"> a PM</w:t>
      </w:r>
      <w:r w:rsidRPr="00C525CD">
        <w:rPr>
          <w:vertAlign w:val="subscript"/>
        </w:rPr>
        <w:t>2,5</w:t>
      </w:r>
      <w:r w:rsidRPr="00C525CD">
        <w:t xml:space="preserve"> a benzo[a]pyrenu byly vedle sazí, emitovaných přímo spalovacími motory do ovzduší (tzv. primární prašnost), vypočteny také emise částic zvířených projíždějícími automobily (resuspenze) [1</w:t>
      </w:r>
      <w:r w:rsidR="00B168C6" w:rsidRPr="00C525CD">
        <w:t>3</w:t>
      </w:r>
      <w:r w:rsidRPr="00C525CD">
        <w:t>].</w:t>
      </w:r>
    </w:p>
    <w:p w:rsidR="00491643" w:rsidRPr="00C525CD" w:rsidRDefault="006A3A63" w:rsidP="00491643">
      <w:pPr>
        <w:widowControl/>
      </w:pPr>
      <w:r w:rsidRPr="00C525CD">
        <w:t>Tabulka 5.</w:t>
      </w:r>
      <w:r w:rsidR="007968F5" w:rsidRPr="00C525CD">
        <w:t>3</w:t>
      </w:r>
      <w:r w:rsidRPr="00C525CD">
        <w:t>.</w:t>
      </w:r>
      <w:r w:rsidR="007968F5" w:rsidRPr="00C525CD">
        <w:t xml:space="preserve"> </w:t>
      </w:r>
      <w:r w:rsidRPr="00C525CD">
        <w:t>shrnuje porovnání produkce emisí z dopravy ve vých</w:t>
      </w:r>
      <w:r w:rsidR="007968F5" w:rsidRPr="00C525CD">
        <w:t xml:space="preserve">ozím stavu a stavu se změnou ÚP </w:t>
      </w:r>
      <w:r w:rsidR="00764732" w:rsidRPr="00C525CD">
        <w:t>č. Z 3111/</w:t>
      </w:r>
      <w:r w:rsidR="007968F5" w:rsidRPr="00C525CD">
        <w:t xml:space="preserve">10, tabulka 5.4. pak uvádí obdobné údaje pro úpravu ÚP </w:t>
      </w:r>
      <w:r w:rsidR="00764732" w:rsidRPr="00C525CD">
        <w:t>č. U 1250/2</w:t>
      </w:r>
      <w:r w:rsidR="007968F5" w:rsidRPr="00C525CD">
        <w:t xml:space="preserve">. </w:t>
      </w:r>
    </w:p>
    <w:p w:rsidR="006A3A63" w:rsidRPr="00C525CD" w:rsidRDefault="006A3A63" w:rsidP="00491643">
      <w:pPr>
        <w:widowControl/>
      </w:pPr>
    </w:p>
    <w:p w:rsidR="00933532" w:rsidRPr="00C525CD" w:rsidRDefault="00933532" w:rsidP="006A3A63">
      <w:pPr>
        <w:widowControl/>
      </w:pPr>
    </w:p>
    <w:p w:rsidR="006A3A63" w:rsidRPr="00C525CD" w:rsidRDefault="006A3A63" w:rsidP="006A3A63">
      <w:pPr>
        <w:keepNext/>
        <w:keepLines/>
        <w:widowControl/>
        <w:numPr>
          <w:ilvl w:val="12"/>
          <w:numId w:val="0"/>
        </w:numPr>
        <w:spacing w:after="60"/>
        <w:ind w:left="992" w:hanging="992"/>
        <w:jc w:val="left"/>
        <w:rPr>
          <w:b/>
          <w:sz w:val="24"/>
        </w:rPr>
      </w:pPr>
      <w:r w:rsidRPr="00C525CD">
        <w:rPr>
          <w:b/>
          <w:sz w:val="24"/>
        </w:rPr>
        <w:lastRenderedPageBreak/>
        <w:t>Tab. 5.</w:t>
      </w:r>
      <w:r w:rsidR="007968F5" w:rsidRPr="00C525CD">
        <w:rPr>
          <w:b/>
          <w:sz w:val="24"/>
        </w:rPr>
        <w:t>3</w:t>
      </w:r>
      <w:r w:rsidRPr="00C525CD">
        <w:rPr>
          <w:b/>
          <w:sz w:val="24"/>
        </w:rPr>
        <w:t>. Emise z automobilové dopravy</w:t>
      </w:r>
      <w:r w:rsidR="007968F5" w:rsidRPr="00C525CD">
        <w:rPr>
          <w:b/>
          <w:sz w:val="24"/>
        </w:rPr>
        <w:t xml:space="preserve"> – změna ÚP </w:t>
      </w:r>
      <w:r w:rsidR="00764732" w:rsidRPr="00C525CD">
        <w:rPr>
          <w:b/>
          <w:sz w:val="24"/>
        </w:rPr>
        <w:t>č. Z 3111/</w:t>
      </w:r>
      <w:r w:rsidR="007968F5" w:rsidRPr="00C525CD">
        <w:rPr>
          <w:b/>
          <w:sz w:val="24"/>
        </w:rPr>
        <w:t>10</w:t>
      </w:r>
    </w:p>
    <w:tbl>
      <w:tblPr>
        <w:tblW w:w="4969"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4192"/>
        <w:gridCol w:w="960"/>
        <w:gridCol w:w="960"/>
        <w:gridCol w:w="960"/>
        <w:gridCol w:w="961"/>
        <w:gridCol w:w="937"/>
      </w:tblGrid>
      <w:tr w:rsidR="00933532" w:rsidRPr="00C525CD" w:rsidTr="003667D2">
        <w:tc>
          <w:tcPr>
            <w:tcW w:w="4271" w:type="dxa"/>
            <w:vMerge w:val="restart"/>
            <w:tcBorders>
              <w:top w:val="single" w:sz="18"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Stav</w:t>
            </w:r>
          </w:p>
        </w:tc>
        <w:tc>
          <w:tcPr>
            <w:tcW w:w="4858" w:type="dxa"/>
            <w:gridSpan w:val="5"/>
            <w:tcBorders>
              <w:top w:val="single" w:sz="18" w:space="0" w:color="auto"/>
            </w:tcBorders>
            <w:shd w:val="clear" w:color="auto" w:fill="auto"/>
            <w:vAlign w:val="center"/>
          </w:tcPr>
          <w:p w:rsidR="00933532" w:rsidRPr="00C525CD" w:rsidRDefault="00933532" w:rsidP="00933532">
            <w:pPr>
              <w:keepNext/>
              <w:widowControl/>
              <w:suppressAutoHyphens/>
              <w:spacing w:before="20" w:after="20" w:line="240" w:lineRule="auto"/>
              <w:ind w:firstLine="0"/>
              <w:jc w:val="center"/>
              <w:rPr>
                <w:b/>
                <w:bCs/>
                <w:sz w:val="20"/>
              </w:rPr>
            </w:pPr>
            <w:r w:rsidRPr="00C525CD">
              <w:rPr>
                <w:b/>
                <w:bCs/>
                <w:sz w:val="20"/>
              </w:rPr>
              <w:t>Emise</w:t>
            </w:r>
          </w:p>
        </w:tc>
      </w:tr>
      <w:tr w:rsidR="00933532" w:rsidRPr="00C525CD" w:rsidTr="003667D2">
        <w:tc>
          <w:tcPr>
            <w:tcW w:w="4271" w:type="dxa"/>
            <w:vMerge/>
            <w:shd w:val="clear" w:color="auto" w:fill="auto"/>
            <w:vAlign w:val="center"/>
          </w:tcPr>
          <w:p w:rsidR="00933532" w:rsidRPr="00C525CD" w:rsidRDefault="00933532" w:rsidP="008218F9">
            <w:pPr>
              <w:keepNext/>
              <w:widowControl/>
              <w:suppressAutoHyphens/>
              <w:spacing w:before="20" w:after="20" w:line="240" w:lineRule="auto"/>
              <w:ind w:firstLine="0"/>
              <w:jc w:val="left"/>
              <w:rPr>
                <w:b/>
                <w:bCs/>
                <w:sz w:val="20"/>
              </w:rPr>
            </w:pPr>
          </w:p>
        </w:tc>
        <w:tc>
          <w:tcPr>
            <w:tcW w:w="976" w:type="dxa"/>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oxidy dusíku</w:t>
            </w:r>
            <w:r w:rsidRPr="00C525CD">
              <w:rPr>
                <w:b/>
                <w:bCs/>
                <w:sz w:val="20"/>
                <w:vertAlign w:val="superscript"/>
              </w:rPr>
              <w:t>*</w:t>
            </w:r>
          </w:p>
        </w:tc>
        <w:tc>
          <w:tcPr>
            <w:tcW w:w="976" w:type="dxa"/>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benzen</w:t>
            </w:r>
          </w:p>
        </w:tc>
        <w:tc>
          <w:tcPr>
            <w:tcW w:w="976" w:type="dxa"/>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částice PM</w:t>
            </w:r>
            <w:r w:rsidRPr="00C525CD">
              <w:rPr>
                <w:b/>
                <w:bCs/>
                <w:sz w:val="20"/>
                <w:vertAlign w:val="subscript"/>
              </w:rPr>
              <w:t>10</w:t>
            </w:r>
            <w:r w:rsidRPr="00C525CD">
              <w:rPr>
                <w:b/>
                <w:bCs/>
                <w:sz w:val="20"/>
                <w:vertAlign w:val="superscript"/>
              </w:rPr>
              <w:t>**</w:t>
            </w:r>
          </w:p>
        </w:tc>
        <w:tc>
          <w:tcPr>
            <w:tcW w:w="977" w:type="dxa"/>
            <w:tcBorders>
              <w:right w:val="single" w:sz="4"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částice PM</w:t>
            </w:r>
            <w:r w:rsidRPr="00C525CD">
              <w:rPr>
                <w:b/>
                <w:bCs/>
                <w:sz w:val="20"/>
                <w:vertAlign w:val="subscript"/>
              </w:rPr>
              <w:t>2,5</w:t>
            </w:r>
            <w:r w:rsidRPr="00C525CD">
              <w:rPr>
                <w:b/>
                <w:bCs/>
                <w:sz w:val="20"/>
                <w:vertAlign w:val="superscript"/>
              </w:rPr>
              <w:t>**</w:t>
            </w:r>
          </w:p>
        </w:tc>
        <w:tc>
          <w:tcPr>
            <w:tcW w:w="953" w:type="dxa"/>
            <w:tcBorders>
              <w:left w:val="single" w:sz="4"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B[a]P</w:t>
            </w:r>
            <w:r w:rsidRPr="00C525CD">
              <w:rPr>
                <w:b/>
                <w:bCs/>
                <w:sz w:val="20"/>
                <w:vertAlign w:val="superscript"/>
              </w:rPr>
              <w:t>**</w:t>
            </w:r>
          </w:p>
        </w:tc>
      </w:tr>
      <w:tr w:rsidR="00933532" w:rsidRPr="00C525CD" w:rsidTr="003667D2">
        <w:tc>
          <w:tcPr>
            <w:tcW w:w="4271" w:type="dxa"/>
            <w:vMerge/>
            <w:tcBorders>
              <w:bottom w:val="single" w:sz="12"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left"/>
              <w:rPr>
                <w:rFonts w:ascii="Arial" w:hAnsi="Arial" w:cs="Arial"/>
                <w:sz w:val="20"/>
              </w:rPr>
            </w:pPr>
          </w:p>
        </w:tc>
        <w:tc>
          <w:tcPr>
            <w:tcW w:w="3905" w:type="dxa"/>
            <w:gridSpan w:val="4"/>
            <w:tcBorders>
              <w:bottom w:val="single" w:sz="12"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w:t>
            </w:r>
            <w:r w:rsidR="00DA6D55" w:rsidRPr="00C525CD">
              <w:rPr>
                <w:b/>
                <w:bCs/>
                <w:sz w:val="20"/>
              </w:rPr>
              <w:t>t</w:t>
            </w:r>
            <w:r w:rsidRPr="00C525CD">
              <w:rPr>
                <w:b/>
                <w:bCs/>
                <w:sz w:val="20"/>
              </w:rPr>
              <w:t>.rok</w:t>
            </w:r>
            <w:r w:rsidRPr="00C525CD">
              <w:rPr>
                <w:b/>
                <w:bCs/>
                <w:sz w:val="20"/>
                <w:vertAlign w:val="superscript"/>
              </w:rPr>
              <w:t>-1</w:t>
            </w:r>
            <w:r w:rsidRPr="00C525CD">
              <w:rPr>
                <w:b/>
                <w:bCs/>
                <w:sz w:val="20"/>
              </w:rPr>
              <w:t>)</w:t>
            </w:r>
          </w:p>
        </w:tc>
        <w:tc>
          <w:tcPr>
            <w:tcW w:w="953" w:type="dxa"/>
            <w:tcBorders>
              <w:bottom w:val="single" w:sz="12" w:space="0" w:color="auto"/>
            </w:tcBorders>
            <w:shd w:val="clear" w:color="auto" w:fill="auto"/>
            <w:vAlign w:val="center"/>
          </w:tcPr>
          <w:p w:rsidR="00933532" w:rsidRPr="00C525CD" w:rsidRDefault="00933532" w:rsidP="008218F9">
            <w:pPr>
              <w:keepNext/>
              <w:widowControl/>
              <w:suppressAutoHyphens/>
              <w:spacing w:before="20" w:after="20" w:line="240" w:lineRule="auto"/>
              <w:ind w:firstLine="0"/>
              <w:jc w:val="center"/>
              <w:rPr>
                <w:b/>
                <w:bCs/>
                <w:sz w:val="20"/>
              </w:rPr>
            </w:pPr>
            <w:r w:rsidRPr="00C525CD">
              <w:rPr>
                <w:b/>
                <w:bCs/>
                <w:sz w:val="20"/>
              </w:rPr>
              <w:t>(g.rok</w:t>
            </w:r>
            <w:r w:rsidRPr="00C525CD">
              <w:rPr>
                <w:b/>
                <w:bCs/>
                <w:sz w:val="20"/>
                <w:vertAlign w:val="superscript"/>
              </w:rPr>
              <w:t>-1</w:t>
            </w:r>
            <w:r w:rsidRPr="00C525CD">
              <w:rPr>
                <w:b/>
                <w:bCs/>
                <w:sz w:val="20"/>
              </w:rPr>
              <w:t>)</w:t>
            </w:r>
          </w:p>
        </w:tc>
      </w:tr>
      <w:tr w:rsidR="004B3568" w:rsidRPr="00C525CD" w:rsidTr="003667D2">
        <w:tc>
          <w:tcPr>
            <w:tcW w:w="4271" w:type="dxa"/>
            <w:shd w:val="clear" w:color="auto" w:fill="auto"/>
            <w:vAlign w:val="center"/>
          </w:tcPr>
          <w:p w:rsidR="004B3568" w:rsidRPr="00C525CD" w:rsidRDefault="004B3568" w:rsidP="008218F9">
            <w:pPr>
              <w:keepNext/>
              <w:widowControl/>
              <w:suppressAutoHyphens/>
              <w:spacing w:before="20" w:after="20" w:line="240" w:lineRule="auto"/>
              <w:ind w:firstLine="0"/>
              <w:jc w:val="left"/>
              <w:rPr>
                <w:sz w:val="20"/>
              </w:rPr>
            </w:pPr>
            <w:bookmarkStart w:id="29" w:name="_Hlk61108674"/>
            <w:r w:rsidRPr="00C525CD">
              <w:rPr>
                <w:sz w:val="20"/>
              </w:rPr>
              <w:t>Výhledový horizont ÚPn – výchozí stav</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39</w:t>
            </w:r>
            <w:r w:rsidR="00C959DB" w:rsidRPr="00C525CD">
              <w:rPr>
                <w:sz w:val="20"/>
              </w:rPr>
              <w:t>,</w:t>
            </w:r>
            <w:r w:rsidRPr="00C525CD">
              <w:rPr>
                <w:sz w:val="20"/>
              </w:rPr>
              <w:t>25</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0</w:t>
            </w:r>
            <w:r w:rsidR="00C959DB" w:rsidRPr="00C525CD">
              <w:rPr>
                <w:sz w:val="20"/>
              </w:rPr>
              <w:t>,</w:t>
            </w:r>
            <w:r w:rsidRPr="00C525CD">
              <w:rPr>
                <w:sz w:val="20"/>
              </w:rPr>
              <w:t>37</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23</w:t>
            </w:r>
            <w:r w:rsidR="00C959DB" w:rsidRPr="00C525CD">
              <w:rPr>
                <w:sz w:val="20"/>
              </w:rPr>
              <w:t>,</w:t>
            </w:r>
            <w:r w:rsidRPr="00C525CD">
              <w:rPr>
                <w:sz w:val="20"/>
              </w:rPr>
              <w:t>45</w:t>
            </w:r>
          </w:p>
        </w:tc>
        <w:tc>
          <w:tcPr>
            <w:tcW w:w="977"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8</w:t>
            </w:r>
            <w:r w:rsidR="00C959DB" w:rsidRPr="00C525CD">
              <w:rPr>
                <w:sz w:val="20"/>
              </w:rPr>
              <w:t>,</w:t>
            </w:r>
            <w:r w:rsidRPr="00C525CD">
              <w:rPr>
                <w:sz w:val="20"/>
              </w:rPr>
              <w:t>00</w:t>
            </w:r>
          </w:p>
        </w:tc>
        <w:tc>
          <w:tcPr>
            <w:tcW w:w="953"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1 204</w:t>
            </w:r>
            <w:r w:rsidR="00C959DB" w:rsidRPr="00C525CD">
              <w:rPr>
                <w:sz w:val="20"/>
              </w:rPr>
              <w:t>,</w:t>
            </w:r>
            <w:r w:rsidRPr="00C525CD">
              <w:rPr>
                <w:sz w:val="20"/>
              </w:rPr>
              <w:t>85</w:t>
            </w:r>
          </w:p>
        </w:tc>
      </w:tr>
      <w:tr w:rsidR="004B3568" w:rsidRPr="00C525CD" w:rsidTr="003667D2">
        <w:tc>
          <w:tcPr>
            <w:tcW w:w="4271" w:type="dxa"/>
            <w:shd w:val="clear" w:color="auto" w:fill="auto"/>
            <w:vAlign w:val="center"/>
          </w:tcPr>
          <w:p w:rsidR="004B3568" w:rsidRPr="00C525CD" w:rsidRDefault="004B3568" w:rsidP="008218F9">
            <w:pPr>
              <w:keepNext/>
              <w:widowControl/>
              <w:suppressAutoHyphens/>
              <w:spacing w:before="20" w:after="20" w:line="240" w:lineRule="auto"/>
              <w:ind w:firstLine="0"/>
              <w:jc w:val="left"/>
              <w:rPr>
                <w:sz w:val="20"/>
              </w:rPr>
            </w:pPr>
            <w:r w:rsidRPr="00C525CD">
              <w:rPr>
                <w:sz w:val="20"/>
              </w:rPr>
              <w:t>Výhledový horizont ÚPn – stav po změně 3111/10</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39</w:t>
            </w:r>
            <w:r w:rsidR="00C959DB" w:rsidRPr="00C525CD">
              <w:rPr>
                <w:sz w:val="20"/>
              </w:rPr>
              <w:t>,</w:t>
            </w:r>
            <w:r w:rsidRPr="00C525CD">
              <w:rPr>
                <w:sz w:val="20"/>
              </w:rPr>
              <w:t>49</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0</w:t>
            </w:r>
            <w:r w:rsidR="00C959DB" w:rsidRPr="00C525CD">
              <w:rPr>
                <w:sz w:val="20"/>
              </w:rPr>
              <w:t>,</w:t>
            </w:r>
            <w:r w:rsidRPr="00C525CD">
              <w:rPr>
                <w:sz w:val="20"/>
              </w:rPr>
              <w:t>39</w:t>
            </w:r>
          </w:p>
        </w:tc>
        <w:tc>
          <w:tcPr>
            <w:tcW w:w="976"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23</w:t>
            </w:r>
            <w:r w:rsidR="00C959DB" w:rsidRPr="00C525CD">
              <w:rPr>
                <w:sz w:val="20"/>
              </w:rPr>
              <w:t>,</w:t>
            </w:r>
            <w:r w:rsidRPr="00C525CD">
              <w:rPr>
                <w:sz w:val="20"/>
              </w:rPr>
              <w:t>53</w:t>
            </w:r>
          </w:p>
        </w:tc>
        <w:tc>
          <w:tcPr>
            <w:tcW w:w="977"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8</w:t>
            </w:r>
            <w:r w:rsidR="00C959DB" w:rsidRPr="00C525CD">
              <w:rPr>
                <w:sz w:val="20"/>
              </w:rPr>
              <w:t>,</w:t>
            </w:r>
            <w:r w:rsidRPr="00C525CD">
              <w:rPr>
                <w:sz w:val="20"/>
              </w:rPr>
              <w:t>03</w:t>
            </w:r>
          </w:p>
        </w:tc>
        <w:tc>
          <w:tcPr>
            <w:tcW w:w="953" w:type="dxa"/>
            <w:shd w:val="clear" w:color="auto" w:fill="auto"/>
            <w:vAlign w:val="center"/>
          </w:tcPr>
          <w:p w:rsidR="004B3568" w:rsidRPr="00C525CD" w:rsidRDefault="004B3568" w:rsidP="004B3568">
            <w:pPr>
              <w:keepNext/>
              <w:widowControl/>
              <w:suppressAutoHyphens/>
              <w:spacing w:before="20" w:after="20" w:line="240" w:lineRule="auto"/>
              <w:ind w:right="57" w:firstLine="0"/>
              <w:jc w:val="right"/>
              <w:rPr>
                <w:sz w:val="20"/>
              </w:rPr>
            </w:pPr>
            <w:r w:rsidRPr="00C525CD">
              <w:rPr>
                <w:sz w:val="20"/>
              </w:rPr>
              <w:t>1 210</w:t>
            </w:r>
            <w:r w:rsidR="00C959DB" w:rsidRPr="00C525CD">
              <w:rPr>
                <w:sz w:val="20"/>
              </w:rPr>
              <w:t>,</w:t>
            </w:r>
            <w:r w:rsidRPr="00C525CD">
              <w:rPr>
                <w:sz w:val="20"/>
              </w:rPr>
              <w:t>26</w:t>
            </w:r>
          </w:p>
        </w:tc>
      </w:tr>
      <w:bookmarkEnd w:id="29"/>
      <w:tr w:rsidR="00C959DB" w:rsidRPr="00C525CD" w:rsidTr="003667D2">
        <w:tc>
          <w:tcPr>
            <w:tcW w:w="4271" w:type="dxa"/>
            <w:tcBorders>
              <w:top w:val="single" w:sz="12" w:space="0" w:color="auto"/>
              <w:bottom w:val="single" w:sz="18" w:space="0" w:color="auto"/>
            </w:tcBorders>
            <w:shd w:val="clear" w:color="auto" w:fill="auto"/>
            <w:vAlign w:val="center"/>
          </w:tcPr>
          <w:p w:rsidR="00C959DB" w:rsidRPr="00C525CD" w:rsidRDefault="00C959DB" w:rsidP="008218F9">
            <w:pPr>
              <w:keepNext/>
              <w:widowControl/>
              <w:suppressAutoHyphens/>
              <w:spacing w:before="20" w:after="20" w:line="240" w:lineRule="auto"/>
              <w:ind w:firstLine="0"/>
              <w:jc w:val="left"/>
              <w:rPr>
                <w:b/>
                <w:sz w:val="20"/>
              </w:rPr>
            </w:pPr>
            <w:r w:rsidRPr="00C525CD">
              <w:rPr>
                <w:b/>
                <w:sz w:val="20"/>
              </w:rPr>
              <w:t>Rozdíl</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0,24</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0,02</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0,08</w:t>
            </w:r>
          </w:p>
        </w:tc>
        <w:tc>
          <w:tcPr>
            <w:tcW w:w="977"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0,03</w:t>
            </w:r>
          </w:p>
        </w:tc>
        <w:tc>
          <w:tcPr>
            <w:tcW w:w="953"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5,41</w:t>
            </w:r>
          </w:p>
        </w:tc>
      </w:tr>
    </w:tbl>
    <w:p w:rsidR="00933532" w:rsidRPr="00C525CD" w:rsidRDefault="00933532" w:rsidP="00933532">
      <w:pPr>
        <w:keepLines/>
        <w:widowControl/>
        <w:numPr>
          <w:ilvl w:val="12"/>
          <w:numId w:val="0"/>
        </w:numPr>
        <w:spacing w:before="0"/>
        <w:ind w:left="992" w:hanging="992"/>
        <w:jc w:val="left"/>
        <w:rPr>
          <w:bCs/>
          <w:sz w:val="16"/>
        </w:rPr>
      </w:pPr>
      <w:r w:rsidRPr="00C525CD">
        <w:rPr>
          <w:bCs/>
          <w:sz w:val="16"/>
          <w:vertAlign w:val="superscript"/>
        </w:rPr>
        <w:t>*</w:t>
      </w:r>
      <w:r w:rsidRPr="00C525CD">
        <w:rPr>
          <w:bCs/>
          <w:sz w:val="16"/>
        </w:rPr>
        <w:t xml:space="preserve"> produkce NO</w:t>
      </w:r>
      <w:r w:rsidRPr="00C525CD">
        <w:rPr>
          <w:bCs/>
          <w:sz w:val="16"/>
          <w:vertAlign w:val="subscript"/>
        </w:rPr>
        <w:t>2</w:t>
      </w:r>
      <w:r w:rsidRPr="00C525CD">
        <w:rPr>
          <w:bCs/>
          <w:sz w:val="16"/>
        </w:rPr>
        <w:t xml:space="preserve"> představuje 3 – 10 % NO</w:t>
      </w:r>
      <w:r w:rsidRPr="00C525CD">
        <w:rPr>
          <w:bCs/>
          <w:sz w:val="16"/>
          <w:vertAlign w:val="subscript"/>
        </w:rPr>
        <w:t>X</w:t>
      </w:r>
      <w:r w:rsidRPr="00C525CD">
        <w:rPr>
          <w:bCs/>
          <w:sz w:val="16"/>
        </w:rPr>
        <w:tab/>
      </w:r>
      <w:r w:rsidRPr="00C525CD">
        <w:rPr>
          <w:bCs/>
          <w:sz w:val="16"/>
        </w:rPr>
        <w:tab/>
      </w:r>
      <w:r w:rsidRPr="00C525CD">
        <w:rPr>
          <w:bCs/>
          <w:sz w:val="16"/>
          <w:vertAlign w:val="superscript"/>
        </w:rPr>
        <w:t>**</w:t>
      </w:r>
      <w:r w:rsidRPr="00C525CD">
        <w:rPr>
          <w:bCs/>
          <w:sz w:val="16"/>
        </w:rPr>
        <w:t>zahrnuje primární prašnost a sekundární prašnost z dopravy</w:t>
      </w:r>
    </w:p>
    <w:p w:rsidR="007968F5" w:rsidRPr="00C525CD" w:rsidRDefault="007968F5" w:rsidP="007968F5">
      <w:pPr>
        <w:keepNext/>
        <w:keepLines/>
        <w:widowControl/>
        <w:numPr>
          <w:ilvl w:val="12"/>
          <w:numId w:val="0"/>
        </w:numPr>
        <w:spacing w:before="240" w:after="60"/>
        <w:ind w:left="992" w:hanging="992"/>
        <w:jc w:val="left"/>
        <w:rPr>
          <w:b/>
          <w:sz w:val="24"/>
        </w:rPr>
      </w:pPr>
      <w:r w:rsidRPr="00C525CD">
        <w:rPr>
          <w:b/>
          <w:sz w:val="24"/>
        </w:rPr>
        <w:t xml:space="preserve">Tab. 5.4. Emise z automobilové dopravy – úprava ÚP </w:t>
      </w:r>
      <w:r w:rsidR="00764732" w:rsidRPr="00C525CD">
        <w:rPr>
          <w:b/>
          <w:sz w:val="24"/>
        </w:rPr>
        <w:t>č. U 1250/2</w:t>
      </w:r>
    </w:p>
    <w:tbl>
      <w:tblPr>
        <w:tblW w:w="4969"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4192"/>
        <w:gridCol w:w="960"/>
        <w:gridCol w:w="960"/>
        <w:gridCol w:w="960"/>
        <w:gridCol w:w="961"/>
        <w:gridCol w:w="937"/>
      </w:tblGrid>
      <w:tr w:rsidR="007968F5" w:rsidRPr="00C525CD" w:rsidTr="003667D2">
        <w:tc>
          <w:tcPr>
            <w:tcW w:w="4271" w:type="dxa"/>
            <w:vMerge w:val="restart"/>
            <w:tcBorders>
              <w:top w:val="single" w:sz="18"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Stav</w:t>
            </w:r>
          </w:p>
        </w:tc>
        <w:tc>
          <w:tcPr>
            <w:tcW w:w="4858" w:type="dxa"/>
            <w:gridSpan w:val="5"/>
            <w:tcBorders>
              <w:top w:val="single" w:sz="18"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Emise</w:t>
            </w:r>
          </w:p>
        </w:tc>
      </w:tr>
      <w:tr w:rsidR="007968F5" w:rsidRPr="00C525CD" w:rsidTr="003667D2">
        <w:tc>
          <w:tcPr>
            <w:tcW w:w="4271" w:type="dxa"/>
            <w:vMerge/>
            <w:shd w:val="clear" w:color="auto" w:fill="auto"/>
            <w:vAlign w:val="center"/>
          </w:tcPr>
          <w:p w:rsidR="007968F5" w:rsidRPr="00C525CD" w:rsidRDefault="007968F5" w:rsidP="00D72CC3">
            <w:pPr>
              <w:keepNext/>
              <w:widowControl/>
              <w:suppressAutoHyphens/>
              <w:spacing w:before="20" w:after="20" w:line="240" w:lineRule="auto"/>
              <w:ind w:firstLine="0"/>
              <w:jc w:val="left"/>
              <w:rPr>
                <w:b/>
                <w:bCs/>
                <w:sz w:val="20"/>
              </w:rPr>
            </w:pPr>
          </w:p>
        </w:tc>
        <w:tc>
          <w:tcPr>
            <w:tcW w:w="976" w:type="dxa"/>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oxidy dusíku</w:t>
            </w:r>
            <w:r w:rsidRPr="00C525CD">
              <w:rPr>
                <w:b/>
                <w:bCs/>
                <w:sz w:val="20"/>
                <w:vertAlign w:val="superscript"/>
              </w:rPr>
              <w:t>*</w:t>
            </w:r>
          </w:p>
        </w:tc>
        <w:tc>
          <w:tcPr>
            <w:tcW w:w="976" w:type="dxa"/>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benzen</w:t>
            </w:r>
          </w:p>
        </w:tc>
        <w:tc>
          <w:tcPr>
            <w:tcW w:w="976" w:type="dxa"/>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částice PM</w:t>
            </w:r>
            <w:r w:rsidRPr="00C525CD">
              <w:rPr>
                <w:b/>
                <w:bCs/>
                <w:sz w:val="20"/>
                <w:vertAlign w:val="subscript"/>
              </w:rPr>
              <w:t>10</w:t>
            </w:r>
            <w:r w:rsidRPr="00C525CD">
              <w:rPr>
                <w:b/>
                <w:bCs/>
                <w:sz w:val="20"/>
                <w:vertAlign w:val="superscript"/>
              </w:rPr>
              <w:t>**</w:t>
            </w:r>
          </w:p>
        </w:tc>
        <w:tc>
          <w:tcPr>
            <w:tcW w:w="977" w:type="dxa"/>
            <w:tcBorders>
              <w:right w:val="single" w:sz="4"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částice PM</w:t>
            </w:r>
            <w:r w:rsidRPr="00C525CD">
              <w:rPr>
                <w:b/>
                <w:bCs/>
                <w:sz w:val="20"/>
                <w:vertAlign w:val="subscript"/>
              </w:rPr>
              <w:t>2,5</w:t>
            </w:r>
            <w:r w:rsidRPr="00C525CD">
              <w:rPr>
                <w:b/>
                <w:bCs/>
                <w:sz w:val="20"/>
                <w:vertAlign w:val="superscript"/>
              </w:rPr>
              <w:t>**</w:t>
            </w:r>
          </w:p>
        </w:tc>
        <w:tc>
          <w:tcPr>
            <w:tcW w:w="953" w:type="dxa"/>
            <w:tcBorders>
              <w:left w:val="single" w:sz="4"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B[a]P</w:t>
            </w:r>
            <w:r w:rsidRPr="00C525CD">
              <w:rPr>
                <w:b/>
                <w:bCs/>
                <w:sz w:val="20"/>
                <w:vertAlign w:val="superscript"/>
              </w:rPr>
              <w:t>**</w:t>
            </w:r>
          </w:p>
        </w:tc>
      </w:tr>
      <w:tr w:rsidR="007968F5" w:rsidRPr="00C525CD" w:rsidTr="003667D2">
        <w:tc>
          <w:tcPr>
            <w:tcW w:w="4271" w:type="dxa"/>
            <w:vMerge/>
            <w:tcBorders>
              <w:bottom w:val="single" w:sz="12"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left"/>
              <w:rPr>
                <w:rFonts w:ascii="Arial" w:hAnsi="Arial" w:cs="Arial"/>
                <w:sz w:val="20"/>
              </w:rPr>
            </w:pPr>
          </w:p>
        </w:tc>
        <w:tc>
          <w:tcPr>
            <w:tcW w:w="3905" w:type="dxa"/>
            <w:gridSpan w:val="4"/>
            <w:tcBorders>
              <w:bottom w:val="single" w:sz="12"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w:t>
            </w:r>
            <w:r w:rsidR="00DA6D55" w:rsidRPr="00C525CD">
              <w:rPr>
                <w:b/>
                <w:bCs/>
                <w:sz w:val="20"/>
              </w:rPr>
              <w:t>t</w:t>
            </w:r>
            <w:r w:rsidRPr="00C525CD">
              <w:rPr>
                <w:b/>
                <w:bCs/>
                <w:sz w:val="20"/>
              </w:rPr>
              <w:t>.rok</w:t>
            </w:r>
            <w:r w:rsidRPr="00C525CD">
              <w:rPr>
                <w:b/>
                <w:bCs/>
                <w:sz w:val="20"/>
                <w:vertAlign w:val="superscript"/>
              </w:rPr>
              <w:t>-1</w:t>
            </w:r>
            <w:r w:rsidRPr="00C525CD">
              <w:rPr>
                <w:b/>
                <w:bCs/>
                <w:sz w:val="20"/>
              </w:rPr>
              <w:t>)</w:t>
            </w:r>
          </w:p>
        </w:tc>
        <w:tc>
          <w:tcPr>
            <w:tcW w:w="953" w:type="dxa"/>
            <w:tcBorders>
              <w:bottom w:val="single" w:sz="12" w:space="0" w:color="auto"/>
            </w:tcBorders>
            <w:shd w:val="clear" w:color="auto" w:fill="auto"/>
            <w:vAlign w:val="center"/>
          </w:tcPr>
          <w:p w:rsidR="007968F5" w:rsidRPr="00C525CD" w:rsidRDefault="007968F5" w:rsidP="00D72CC3">
            <w:pPr>
              <w:keepNext/>
              <w:widowControl/>
              <w:suppressAutoHyphens/>
              <w:spacing w:before="20" w:after="20" w:line="240" w:lineRule="auto"/>
              <w:ind w:firstLine="0"/>
              <w:jc w:val="center"/>
              <w:rPr>
                <w:b/>
                <w:bCs/>
                <w:sz w:val="20"/>
              </w:rPr>
            </w:pPr>
            <w:r w:rsidRPr="00C525CD">
              <w:rPr>
                <w:b/>
                <w:bCs/>
                <w:sz w:val="20"/>
              </w:rPr>
              <w:t>(g.rok</w:t>
            </w:r>
            <w:r w:rsidRPr="00C525CD">
              <w:rPr>
                <w:b/>
                <w:bCs/>
                <w:sz w:val="20"/>
                <w:vertAlign w:val="superscript"/>
              </w:rPr>
              <w:t>-1</w:t>
            </w:r>
            <w:r w:rsidRPr="00C525CD">
              <w:rPr>
                <w:b/>
                <w:bCs/>
                <w:sz w:val="20"/>
              </w:rPr>
              <w:t>)</w:t>
            </w:r>
          </w:p>
        </w:tc>
      </w:tr>
      <w:tr w:rsidR="004B3568" w:rsidRPr="00C525CD" w:rsidTr="003667D2">
        <w:tc>
          <w:tcPr>
            <w:tcW w:w="4271" w:type="dxa"/>
            <w:shd w:val="clear" w:color="auto" w:fill="auto"/>
            <w:vAlign w:val="center"/>
          </w:tcPr>
          <w:p w:rsidR="004B3568" w:rsidRPr="00C525CD" w:rsidRDefault="004B3568" w:rsidP="00D72CC3">
            <w:pPr>
              <w:keepNext/>
              <w:widowControl/>
              <w:suppressAutoHyphens/>
              <w:spacing w:before="20" w:after="20" w:line="240" w:lineRule="auto"/>
              <w:ind w:firstLine="0"/>
              <w:jc w:val="left"/>
              <w:rPr>
                <w:sz w:val="20"/>
              </w:rPr>
            </w:pPr>
            <w:r w:rsidRPr="00C525CD">
              <w:rPr>
                <w:sz w:val="20"/>
              </w:rPr>
              <w:t>Výhledový horizont ÚPn – výchozí stav</w:t>
            </w:r>
          </w:p>
        </w:tc>
        <w:tc>
          <w:tcPr>
            <w:tcW w:w="976" w:type="dxa"/>
            <w:shd w:val="clear" w:color="auto" w:fill="auto"/>
            <w:vAlign w:val="center"/>
          </w:tcPr>
          <w:p w:rsidR="004B3568" w:rsidRPr="00C525CD" w:rsidRDefault="004B3568" w:rsidP="0020320A">
            <w:pPr>
              <w:keepNext/>
              <w:widowControl/>
              <w:suppressAutoHyphens/>
              <w:spacing w:before="20" w:after="20" w:line="240" w:lineRule="auto"/>
              <w:ind w:right="57" w:firstLine="0"/>
              <w:jc w:val="right"/>
              <w:rPr>
                <w:sz w:val="20"/>
              </w:rPr>
            </w:pPr>
            <w:r w:rsidRPr="00C525CD">
              <w:rPr>
                <w:sz w:val="20"/>
              </w:rPr>
              <w:t>39</w:t>
            </w:r>
            <w:r w:rsidR="00C959DB" w:rsidRPr="00C525CD">
              <w:rPr>
                <w:sz w:val="20"/>
              </w:rPr>
              <w:t>,</w:t>
            </w:r>
            <w:r w:rsidRPr="00C525CD">
              <w:rPr>
                <w:sz w:val="20"/>
              </w:rPr>
              <w:t>25</w:t>
            </w:r>
          </w:p>
        </w:tc>
        <w:tc>
          <w:tcPr>
            <w:tcW w:w="976" w:type="dxa"/>
            <w:shd w:val="clear" w:color="auto" w:fill="auto"/>
            <w:vAlign w:val="center"/>
          </w:tcPr>
          <w:p w:rsidR="004B3568" w:rsidRPr="00C525CD" w:rsidRDefault="004B3568" w:rsidP="0020320A">
            <w:pPr>
              <w:keepNext/>
              <w:widowControl/>
              <w:suppressAutoHyphens/>
              <w:spacing w:before="20" w:after="20" w:line="240" w:lineRule="auto"/>
              <w:ind w:right="57" w:firstLine="0"/>
              <w:jc w:val="right"/>
              <w:rPr>
                <w:sz w:val="20"/>
              </w:rPr>
            </w:pPr>
            <w:r w:rsidRPr="00C525CD">
              <w:rPr>
                <w:sz w:val="20"/>
              </w:rPr>
              <w:t>0</w:t>
            </w:r>
            <w:r w:rsidR="00C959DB" w:rsidRPr="00C525CD">
              <w:rPr>
                <w:sz w:val="20"/>
              </w:rPr>
              <w:t>,</w:t>
            </w:r>
            <w:r w:rsidRPr="00C525CD">
              <w:rPr>
                <w:sz w:val="20"/>
              </w:rPr>
              <w:t>37</w:t>
            </w:r>
          </w:p>
        </w:tc>
        <w:tc>
          <w:tcPr>
            <w:tcW w:w="976" w:type="dxa"/>
            <w:shd w:val="clear" w:color="auto" w:fill="auto"/>
            <w:vAlign w:val="center"/>
          </w:tcPr>
          <w:p w:rsidR="004B3568" w:rsidRPr="00C525CD" w:rsidRDefault="004B3568" w:rsidP="0020320A">
            <w:pPr>
              <w:keepNext/>
              <w:widowControl/>
              <w:suppressAutoHyphens/>
              <w:spacing w:before="20" w:after="20" w:line="240" w:lineRule="auto"/>
              <w:ind w:right="57" w:firstLine="0"/>
              <w:jc w:val="right"/>
              <w:rPr>
                <w:sz w:val="20"/>
              </w:rPr>
            </w:pPr>
            <w:r w:rsidRPr="00C525CD">
              <w:rPr>
                <w:sz w:val="20"/>
              </w:rPr>
              <w:t>23</w:t>
            </w:r>
            <w:r w:rsidR="00C959DB" w:rsidRPr="00C525CD">
              <w:rPr>
                <w:sz w:val="20"/>
              </w:rPr>
              <w:t>,</w:t>
            </w:r>
            <w:r w:rsidRPr="00C525CD">
              <w:rPr>
                <w:sz w:val="20"/>
              </w:rPr>
              <w:t>45</w:t>
            </w:r>
          </w:p>
        </w:tc>
        <w:tc>
          <w:tcPr>
            <w:tcW w:w="977" w:type="dxa"/>
            <w:shd w:val="clear" w:color="auto" w:fill="auto"/>
            <w:vAlign w:val="center"/>
          </w:tcPr>
          <w:p w:rsidR="004B3568" w:rsidRPr="00C525CD" w:rsidRDefault="004B3568" w:rsidP="0020320A">
            <w:pPr>
              <w:keepNext/>
              <w:widowControl/>
              <w:suppressAutoHyphens/>
              <w:spacing w:before="20" w:after="20" w:line="240" w:lineRule="auto"/>
              <w:ind w:right="57" w:firstLine="0"/>
              <w:jc w:val="right"/>
              <w:rPr>
                <w:sz w:val="20"/>
              </w:rPr>
            </w:pPr>
            <w:r w:rsidRPr="00C525CD">
              <w:rPr>
                <w:sz w:val="20"/>
              </w:rPr>
              <w:t>8</w:t>
            </w:r>
            <w:r w:rsidR="00C959DB" w:rsidRPr="00C525CD">
              <w:rPr>
                <w:sz w:val="20"/>
              </w:rPr>
              <w:t>,</w:t>
            </w:r>
            <w:r w:rsidRPr="00C525CD">
              <w:rPr>
                <w:sz w:val="20"/>
              </w:rPr>
              <w:t>00</w:t>
            </w:r>
          </w:p>
        </w:tc>
        <w:tc>
          <w:tcPr>
            <w:tcW w:w="953" w:type="dxa"/>
            <w:shd w:val="clear" w:color="auto" w:fill="auto"/>
            <w:vAlign w:val="center"/>
          </w:tcPr>
          <w:p w:rsidR="004B3568" w:rsidRPr="00C525CD" w:rsidRDefault="004B3568" w:rsidP="0020320A">
            <w:pPr>
              <w:keepNext/>
              <w:widowControl/>
              <w:suppressAutoHyphens/>
              <w:spacing w:before="20" w:after="20" w:line="240" w:lineRule="auto"/>
              <w:ind w:right="57" w:firstLine="0"/>
              <w:jc w:val="right"/>
              <w:rPr>
                <w:sz w:val="20"/>
              </w:rPr>
            </w:pPr>
            <w:r w:rsidRPr="00C525CD">
              <w:rPr>
                <w:sz w:val="20"/>
              </w:rPr>
              <w:t>1 204</w:t>
            </w:r>
            <w:r w:rsidR="00C959DB" w:rsidRPr="00C525CD">
              <w:rPr>
                <w:sz w:val="20"/>
              </w:rPr>
              <w:t>,</w:t>
            </w:r>
            <w:r w:rsidRPr="00C525CD">
              <w:rPr>
                <w:sz w:val="20"/>
              </w:rPr>
              <w:t>85</w:t>
            </w:r>
          </w:p>
        </w:tc>
      </w:tr>
      <w:tr w:rsidR="004B3568" w:rsidRPr="00C525CD" w:rsidTr="003667D2">
        <w:tc>
          <w:tcPr>
            <w:tcW w:w="4271" w:type="dxa"/>
            <w:shd w:val="clear" w:color="auto" w:fill="auto"/>
            <w:vAlign w:val="center"/>
          </w:tcPr>
          <w:p w:rsidR="004B3568" w:rsidRPr="00C525CD" w:rsidRDefault="004B3568" w:rsidP="00D72CC3">
            <w:pPr>
              <w:keepNext/>
              <w:widowControl/>
              <w:suppressAutoHyphens/>
              <w:spacing w:before="20" w:after="20" w:line="240" w:lineRule="auto"/>
              <w:ind w:firstLine="0"/>
              <w:jc w:val="left"/>
              <w:rPr>
                <w:sz w:val="20"/>
              </w:rPr>
            </w:pPr>
            <w:r w:rsidRPr="00C525CD">
              <w:rPr>
                <w:sz w:val="20"/>
              </w:rPr>
              <w:t>Výhledový horizont ÚPn – stav po úpravě 1250/2</w:t>
            </w:r>
          </w:p>
        </w:tc>
        <w:tc>
          <w:tcPr>
            <w:tcW w:w="976" w:type="dxa"/>
            <w:shd w:val="clear" w:color="auto" w:fill="auto"/>
            <w:vAlign w:val="center"/>
          </w:tcPr>
          <w:p w:rsidR="004B3568" w:rsidRPr="00C525CD" w:rsidRDefault="004B3568" w:rsidP="00D23720">
            <w:pPr>
              <w:keepNext/>
              <w:widowControl/>
              <w:suppressAutoHyphens/>
              <w:spacing w:before="20" w:after="20" w:line="240" w:lineRule="auto"/>
              <w:ind w:right="57" w:firstLine="0"/>
              <w:jc w:val="right"/>
              <w:rPr>
                <w:sz w:val="20"/>
              </w:rPr>
            </w:pPr>
            <w:r w:rsidRPr="00C525CD">
              <w:rPr>
                <w:sz w:val="20"/>
              </w:rPr>
              <w:t>39</w:t>
            </w:r>
            <w:r w:rsidR="00C959DB" w:rsidRPr="00C525CD">
              <w:rPr>
                <w:sz w:val="20"/>
              </w:rPr>
              <w:t>,</w:t>
            </w:r>
            <w:r w:rsidRPr="00C525CD">
              <w:rPr>
                <w:sz w:val="20"/>
              </w:rPr>
              <w:t>40</w:t>
            </w:r>
          </w:p>
        </w:tc>
        <w:tc>
          <w:tcPr>
            <w:tcW w:w="976" w:type="dxa"/>
            <w:shd w:val="clear" w:color="auto" w:fill="auto"/>
            <w:vAlign w:val="center"/>
          </w:tcPr>
          <w:p w:rsidR="004B3568" w:rsidRPr="00C525CD" w:rsidRDefault="004B3568" w:rsidP="00D23720">
            <w:pPr>
              <w:keepNext/>
              <w:widowControl/>
              <w:suppressAutoHyphens/>
              <w:spacing w:before="20" w:after="20" w:line="240" w:lineRule="auto"/>
              <w:ind w:right="57" w:firstLine="0"/>
              <w:jc w:val="right"/>
              <w:rPr>
                <w:sz w:val="20"/>
              </w:rPr>
            </w:pPr>
            <w:r w:rsidRPr="00C525CD">
              <w:rPr>
                <w:sz w:val="20"/>
              </w:rPr>
              <w:t>0</w:t>
            </w:r>
            <w:r w:rsidR="00C959DB" w:rsidRPr="00C525CD">
              <w:rPr>
                <w:sz w:val="20"/>
              </w:rPr>
              <w:t>,</w:t>
            </w:r>
            <w:r w:rsidRPr="00C525CD">
              <w:rPr>
                <w:sz w:val="20"/>
              </w:rPr>
              <w:t>38</w:t>
            </w:r>
          </w:p>
        </w:tc>
        <w:tc>
          <w:tcPr>
            <w:tcW w:w="976" w:type="dxa"/>
            <w:shd w:val="clear" w:color="auto" w:fill="auto"/>
            <w:vAlign w:val="center"/>
          </w:tcPr>
          <w:p w:rsidR="004B3568" w:rsidRPr="00C525CD" w:rsidRDefault="004B3568" w:rsidP="00D23720">
            <w:pPr>
              <w:keepNext/>
              <w:widowControl/>
              <w:suppressAutoHyphens/>
              <w:spacing w:before="20" w:after="20" w:line="240" w:lineRule="auto"/>
              <w:ind w:right="57" w:firstLine="0"/>
              <w:jc w:val="right"/>
              <w:rPr>
                <w:sz w:val="20"/>
              </w:rPr>
            </w:pPr>
            <w:r w:rsidRPr="00C525CD">
              <w:rPr>
                <w:sz w:val="20"/>
              </w:rPr>
              <w:t>23</w:t>
            </w:r>
            <w:r w:rsidR="00C959DB" w:rsidRPr="00C525CD">
              <w:rPr>
                <w:sz w:val="20"/>
              </w:rPr>
              <w:t>,</w:t>
            </w:r>
            <w:r w:rsidRPr="00C525CD">
              <w:rPr>
                <w:sz w:val="20"/>
              </w:rPr>
              <w:t>48</w:t>
            </w:r>
          </w:p>
        </w:tc>
        <w:tc>
          <w:tcPr>
            <w:tcW w:w="977" w:type="dxa"/>
            <w:shd w:val="clear" w:color="auto" w:fill="auto"/>
            <w:vAlign w:val="center"/>
          </w:tcPr>
          <w:p w:rsidR="004B3568" w:rsidRPr="00C525CD" w:rsidRDefault="004B3568" w:rsidP="00D23720">
            <w:pPr>
              <w:keepNext/>
              <w:widowControl/>
              <w:suppressAutoHyphens/>
              <w:spacing w:before="20" w:after="20" w:line="240" w:lineRule="auto"/>
              <w:ind w:right="57" w:firstLine="0"/>
              <w:jc w:val="right"/>
              <w:rPr>
                <w:sz w:val="20"/>
              </w:rPr>
            </w:pPr>
            <w:r w:rsidRPr="00C525CD">
              <w:rPr>
                <w:sz w:val="20"/>
              </w:rPr>
              <w:t>8</w:t>
            </w:r>
            <w:r w:rsidR="00C959DB" w:rsidRPr="00C525CD">
              <w:rPr>
                <w:sz w:val="20"/>
              </w:rPr>
              <w:t>,</w:t>
            </w:r>
            <w:r w:rsidRPr="00C525CD">
              <w:rPr>
                <w:sz w:val="20"/>
              </w:rPr>
              <w:t>01</w:t>
            </w:r>
          </w:p>
        </w:tc>
        <w:tc>
          <w:tcPr>
            <w:tcW w:w="953" w:type="dxa"/>
            <w:shd w:val="clear" w:color="auto" w:fill="auto"/>
            <w:vAlign w:val="center"/>
          </w:tcPr>
          <w:p w:rsidR="004B3568" w:rsidRPr="00C525CD" w:rsidRDefault="004B3568" w:rsidP="00D23720">
            <w:pPr>
              <w:keepNext/>
              <w:widowControl/>
              <w:suppressAutoHyphens/>
              <w:spacing w:before="20" w:after="20" w:line="240" w:lineRule="auto"/>
              <w:ind w:right="57" w:firstLine="0"/>
              <w:jc w:val="right"/>
              <w:rPr>
                <w:sz w:val="20"/>
              </w:rPr>
            </w:pPr>
            <w:r w:rsidRPr="00C525CD">
              <w:rPr>
                <w:sz w:val="20"/>
              </w:rPr>
              <w:t>1</w:t>
            </w:r>
            <w:r w:rsidR="00D23720" w:rsidRPr="00C525CD">
              <w:rPr>
                <w:sz w:val="20"/>
              </w:rPr>
              <w:t xml:space="preserve"> </w:t>
            </w:r>
            <w:r w:rsidRPr="00C525CD">
              <w:rPr>
                <w:sz w:val="20"/>
              </w:rPr>
              <w:t>208</w:t>
            </w:r>
            <w:r w:rsidR="00C959DB" w:rsidRPr="00C525CD">
              <w:rPr>
                <w:sz w:val="20"/>
              </w:rPr>
              <w:t>,</w:t>
            </w:r>
            <w:r w:rsidRPr="00C525CD">
              <w:rPr>
                <w:sz w:val="20"/>
              </w:rPr>
              <w:t>53</w:t>
            </w:r>
          </w:p>
        </w:tc>
      </w:tr>
      <w:tr w:rsidR="00C959DB" w:rsidRPr="00C525CD" w:rsidTr="003667D2">
        <w:tc>
          <w:tcPr>
            <w:tcW w:w="4271" w:type="dxa"/>
            <w:tcBorders>
              <w:top w:val="single" w:sz="12" w:space="0" w:color="auto"/>
              <w:bottom w:val="single" w:sz="18" w:space="0" w:color="auto"/>
            </w:tcBorders>
            <w:shd w:val="clear" w:color="auto" w:fill="auto"/>
            <w:vAlign w:val="center"/>
          </w:tcPr>
          <w:p w:rsidR="00C959DB" w:rsidRPr="00C525CD" w:rsidRDefault="00C959DB" w:rsidP="00D72CC3">
            <w:pPr>
              <w:keepNext/>
              <w:widowControl/>
              <w:suppressAutoHyphens/>
              <w:spacing w:before="20" w:after="20" w:line="240" w:lineRule="auto"/>
              <w:ind w:firstLine="0"/>
              <w:jc w:val="left"/>
              <w:rPr>
                <w:b/>
                <w:sz w:val="20"/>
              </w:rPr>
            </w:pPr>
            <w:r w:rsidRPr="00C525CD">
              <w:rPr>
                <w:b/>
                <w:sz w:val="20"/>
              </w:rPr>
              <w:t>Rozdíl</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0,15</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0,01</w:t>
            </w:r>
          </w:p>
        </w:tc>
        <w:tc>
          <w:tcPr>
            <w:tcW w:w="976"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0,03</w:t>
            </w:r>
          </w:p>
        </w:tc>
        <w:tc>
          <w:tcPr>
            <w:tcW w:w="977"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0,01</w:t>
            </w:r>
          </w:p>
        </w:tc>
        <w:tc>
          <w:tcPr>
            <w:tcW w:w="953" w:type="dxa"/>
            <w:tcBorders>
              <w:top w:val="single" w:sz="12" w:space="0" w:color="auto"/>
              <w:bottom w:val="single" w:sz="18" w:space="0" w:color="auto"/>
            </w:tcBorders>
            <w:shd w:val="clear" w:color="auto" w:fill="auto"/>
            <w:vAlign w:val="center"/>
          </w:tcPr>
          <w:p w:rsidR="00C959DB" w:rsidRPr="00C525CD" w:rsidRDefault="00C959DB" w:rsidP="00C959DB">
            <w:pPr>
              <w:keepNext/>
              <w:widowControl/>
              <w:suppressAutoHyphens/>
              <w:spacing w:before="20" w:after="20" w:line="240" w:lineRule="auto"/>
              <w:ind w:right="57" w:firstLine="0"/>
              <w:jc w:val="right"/>
              <w:rPr>
                <w:b/>
                <w:sz w:val="20"/>
              </w:rPr>
            </w:pPr>
            <w:r w:rsidRPr="00C525CD">
              <w:rPr>
                <w:b/>
                <w:sz w:val="20"/>
              </w:rPr>
              <w:t>3,68</w:t>
            </w:r>
          </w:p>
        </w:tc>
      </w:tr>
    </w:tbl>
    <w:p w:rsidR="007968F5" w:rsidRPr="00C525CD" w:rsidRDefault="007968F5" w:rsidP="007968F5">
      <w:pPr>
        <w:keepLines/>
        <w:widowControl/>
        <w:numPr>
          <w:ilvl w:val="12"/>
          <w:numId w:val="0"/>
        </w:numPr>
        <w:spacing w:before="0"/>
        <w:ind w:left="992" w:hanging="992"/>
        <w:jc w:val="left"/>
        <w:rPr>
          <w:bCs/>
          <w:sz w:val="16"/>
        </w:rPr>
      </w:pPr>
      <w:r w:rsidRPr="00C525CD">
        <w:rPr>
          <w:bCs/>
          <w:sz w:val="16"/>
          <w:vertAlign w:val="superscript"/>
        </w:rPr>
        <w:t>*</w:t>
      </w:r>
      <w:r w:rsidRPr="00C525CD">
        <w:rPr>
          <w:bCs/>
          <w:sz w:val="16"/>
        </w:rPr>
        <w:t xml:space="preserve"> produkce NO</w:t>
      </w:r>
      <w:r w:rsidRPr="00C525CD">
        <w:rPr>
          <w:bCs/>
          <w:sz w:val="16"/>
          <w:vertAlign w:val="subscript"/>
        </w:rPr>
        <w:t>2</w:t>
      </w:r>
      <w:r w:rsidRPr="00C525CD">
        <w:rPr>
          <w:bCs/>
          <w:sz w:val="16"/>
        </w:rPr>
        <w:t xml:space="preserve"> představuje 3 – 10 % NO</w:t>
      </w:r>
      <w:r w:rsidRPr="00C525CD">
        <w:rPr>
          <w:bCs/>
          <w:sz w:val="16"/>
          <w:vertAlign w:val="subscript"/>
        </w:rPr>
        <w:t>X</w:t>
      </w:r>
      <w:r w:rsidRPr="00C525CD">
        <w:rPr>
          <w:bCs/>
          <w:sz w:val="16"/>
        </w:rPr>
        <w:tab/>
      </w:r>
      <w:r w:rsidRPr="00C525CD">
        <w:rPr>
          <w:bCs/>
          <w:sz w:val="16"/>
        </w:rPr>
        <w:tab/>
      </w:r>
      <w:r w:rsidRPr="00C525CD">
        <w:rPr>
          <w:bCs/>
          <w:sz w:val="16"/>
          <w:vertAlign w:val="superscript"/>
        </w:rPr>
        <w:t>**</w:t>
      </w:r>
      <w:r w:rsidRPr="00C525CD">
        <w:rPr>
          <w:bCs/>
          <w:sz w:val="16"/>
        </w:rPr>
        <w:t>zahrnuje primární prašnost a sekundární prašnost z dopravy</w:t>
      </w:r>
    </w:p>
    <w:p w:rsidR="00933532" w:rsidRPr="00C525CD" w:rsidRDefault="00933532" w:rsidP="00190CB0"/>
    <w:p w:rsidR="00B168C6" w:rsidRDefault="00B168C6" w:rsidP="00B168C6">
      <w:pPr>
        <w:widowControl/>
      </w:pPr>
      <w:r w:rsidRPr="00C525CD">
        <w:t xml:space="preserve">Do modelových výpočtů bylo zahrnuto kompletní imisní pozadí tvořené všemi zdroji znečišťování na území Prahy, včetně přenosu znečištění ze vzdálených oblastí ČR a ze zahraničí. Základním zdrojem dat o imisním pozadí v Praze jsou výstupy </w:t>
      </w:r>
      <w:r w:rsidRPr="00C525CD">
        <w:rPr>
          <w:spacing w:val="-4"/>
        </w:rPr>
        <w:t xml:space="preserve">modelového hodnocení kvality ovzduší na území hl. m. Prahy, které je zpracováváno v pravidelných dvouletých aktualizacích. </w:t>
      </w:r>
      <w:r w:rsidRPr="00C525CD">
        <w:t>Údaje o imisním pozadí v předkládané studii vycházejí z modelového výpočtu, jenž je z hlediska zdrojových sestav, použitých metodik i výsledků modelování prakticky shodný s výstupy projektu „Modelové hodnocení kvality ovzduší na území hl. m. Prahy – Aktualizace 2018“ [14]. Výjimkou je sestava větrných růžic, u nichž jsou v souladu s metodickým pokynem MŽP [15] použity průměrné hodnoty za období let 2007 – 2016.</w:t>
      </w:r>
    </w:p>
    <w:p w:rsidR="001B566B" w:rsidRDefault="001B566B" w:rsidP="00B168C6">
      <w:pPr>
        <w:widowControl/>
      </w:pPr>
    </w:p>
    <w:p w:rsidR="00D32F09" w:rsidRDefault="001B566B" w:rsidP="00B168C6">
      <w:pPr>
        <w:widowControl/>
      </w:pPr>
      <w:r>
        <w:t xml:space="preserve">Pro potřeby stanovení produkce emisí ze spalování zemního plynu </w:t>
      </w:r>
      <w:r w:rsidR="00675F31">
        <w:t xml:space="preserve">pro potřeby vytápění o ohřevu vody byl na základě údajů o výměře pozemků a koeficientu podlažních ploch proveden odhad spotřeby zemního plynu při zohlednění </w:t>
      </w:r>
      <w:r w:rsidR="00675F31" w:rsidRPr="00675F31">
        <w:t>standardů energetické náročnosti budov</w:t>
      </w:r>
      <w:r w:rsidR="00675F31">
        <w:t>, platných od roku 2022. Produkce emisí NO</w:t>
      </w:r>
      <w:r w:rsidR="00675F31">
        <w:rPr>
          <w:vertAlign w:val="subscript"/>
        </w:rPr>
        <w:t>x</w:t>
      </w:r>
      <w:r w:rsidR="00675F31">
        <w:t xml:space="preserve"> pak byla uvažována ve výši 100 mg/kWh (resp. 80 mg/m</w:t>
      </w:r>
      <w:r w:rsidR="00675F31" w:rsidRPr="00675F31">
        <w:rPr>
          <w:vertAlign w:val="superscript"/>
        </w:rPr>
        <w:t>3</w:t>
      </w:r>
      <w:r w:rsidR="00675F31">
        <w:t xml:space="preserve"> spalin). </w:t>
      </w:r>
      <w:r w:rsidR="00D32F09">
        <w:t>Výsledný nárůst emisí NO</w:t>
      </w:r>
      <w:r w:rsidR="00D32F09">
        <w:rPr>
          <w:vertAlign w:val="subscript"/>
        </w:rPr>
        <w:t>x</w:t>
      </w:r>
      <w:r w:rsidR="00D32F09">
        <w:t xml:space="preserve"> v</w:t>
      </w:r>
      <w:r w:rsidR="00675F31">
        <w:t> </w:t>
      </w:r>
      <w:r w:rsidR="00D32F09">
        <w:t>porovnání s platným ÚP pak činí  0,</w:t>
      </w:r>
      <w:r w:rsidR="00675F31">
        <w:t>1</w:t>
      </w:r>
      <w:r w:rsidR="00D32F09">
        <w:t>3 t/rok pro změnu č. 3111/10 a 0,0</w:t>
      </w:r>
      <w:r w:rsidR="00164A44">
        <w:t>3</w:t>
      </w:r>
      <w:r w:rsidR="00D32F09">
        <w:t xml:space="preserve"> t/rok pro úpravu č. U 1250/2.</w:t>
      </w:r>
    </w:p>
    <w:p w:rsidR="00B168C6" w:rsidRPr="00C525CD" w:rsidRDefault="00B168C6" w:rsidP="00190CB0"/>
    <w:p w:rsidR="00933532" w:rsidRPr="00C525CD" w:rsidRDefault="00933532" w:rsidP="00933532">
      <w:pPr>
        <w:pStyle w:val="Nadpis2"/>
        <w:numPr>
          <w:ilvl w:val="1"/>
          <w:numId w:val="4"/>
        </w:numPr>
      </w:pPr>
      <w:bookmarkStart w:id="30" w:name="_Toc59444728"/>
      <w:bookmarkStart w:id="31" w:name="_Toc73358435"/>
      <w:r w:rsidRPr="00C525CD">
        <w:lastRenderedPageBreak/>
        <w:t>Použitá metodika výpočtu</w:t>
      </w:r>
      <w:bookmarkEnd w:id="30"/>
      <w:bookmarkEnd w:id="31"/>
    </w:p>
    <w:p w:rsidR="00933532" w:rsidRPr="00C525CD" w:rsidRDefault="00933532" w:rsidP="00933532">
      <w:pPr>
        <w:widowControl/>
      </w:pPr>
      <w:r w:rsidRPr="00C525CD">
        <w:t>Pro výpočet byl použit model ATEM [</w:t>
      </w:r>
      <w:r w:rsidR="00B168C6" w:rsidRPr="00C525CD">
        <w:t>16</w:t>
      </w:r>
      <w:r w:rsidRPr="00C525CD">
        <w:t>], který je ve vyhlášce č. 330/2012 Sb. uveden jako jedna z referenčních metod pro imisní modelování. Jedná se o gaussovský disperzní model rozptylu znečištění, který imisní situaci hodnotí na základě podrobných klimatologických a meteorologických údajů [</w:t>
      </w:r>
      <w:r w:rsidR="00B168C6" w:rsidRPr="00C525CD">
        <w:t>17, 18</w:t>
      </w:r>
      <w:r w:rsidRPr="00C525CD">
        <w:t>]. Model je založen na stacionárním řešení rovnice difúze pasivní příměsi v atmosféře.</w:t>
      </w:r>
    </w:p>
    <w:p w:rsidR="00933532" w:rsidRPr="00C525CD" w:rsidRDefault="00933532" w:rsidP="007968F5">
      <w:pPr>
        <w:keepNext/>
        <w:widowControl/>
      </w:pPr>
      <w:r w:rsidRPr="00C525CD">
        <w:t>Model umožňuje:</w:t>
      </w:r>
    </w:p>
    <w:p w:rsidR="00933532" w:rsidRPr="00C525CD" w:rsidRDefault="00933532" w:rsidP="00933532">
      <w:pPr>
        <w:pStyle w:val="Seznamsodrkami"/>
        <w:tabs>
          <w:tab w:val="clear" w:pos="284"/>
          <w:tab w:val="clear" w:pos="720"/>
        </w:tabs>
        <w:ind w:left="714" w:hanging="357"/>
        <w:rPr>
          <w:szCs w:val="24"/>
        </w:rPr>
      </w:pPr>
      <w:r w:rsidRPr="00C525CD">
        <w:rPr>
          <w:szCs w:val="24"/>
        </w:rPr>
        <w:t>výpočet znečištění ovzduší plynnými látkami a prachovými částicemi od velkého počtu bodových, liniových a plošných zdrojů znečišťování ovzduší</w:t>
      </w:r>
    </w:p>
    <w:p w:rsidR="00933532" w:rsidRPr="00C525CD" w:rsidRDefault="00933532" w:rsidP="00933532">
      <w:pPr>
        <w:pStyle w:val="Seznamsodrkami"/>
        <w:tabs>
          <w:tab w:val="clear" w:pos="284"/>
          <w:tab w:val="clear" w:pos="720"/>
        </w:tabs>
        <w:ind w:left="714" w:hanging="357"/>
        <w:rPr>
          <w:szCs w:val="24"/>
        </w:rPr>
      </w:pPr>
      <w:r w:rsidRPr="00C525CD">
        <w:rPr>
          <w:szCs w:val="24"/>
        </w:rPr>
        <w:t>výpočet charakteristik znečištění v husté pravidelné i nepravidelné síti referenčních bodů tak, aby výsledky mohly být dále zpracovány např. pomocí geografického informačního systému (GIS) a podány v mapové formě</w:t>
      </w:r>
    </w:p>
    <w:p w:rsidR="00933532" w:rsidRPr="00C525CD" w:rsidRDefault="00933532" w:rsidP="00933532">
      <w:pPr>
        <w:pStyle w:val="Seznamsodrkami"/>
        <w:tabs>
          <w:tab w:val="clear" w:pos="284"/>
          <w:tab w:val="clear" w:pos="720"/>
        </w:tabs>
        <w:ind w:left="714" w:hanging="357"/>
        <w:rPr>
          <w:szCs w:val="24"/>
        </w:rPr>
      </w:pPr>
      <w:r w:rsidRPr="00C525CD">
        <w:rPr>
          <w:szCs w:val="24"/>
        </w:rPr>
        <w:t>výpočet znečištění v relativně komplikovaném terénu</w:t>
      </w:r>
    </w:p>
    <w:p w:rsidR="00933532" w:rsidRPr="00C525CD" w:rsidRDefault="00933532" w:rsidP="00933532">
      <w:pPr>
        <w:pStyle w:val="Seznamsodrkami"/>
        <w:tabs>
          <w:tab w:val="clear" w:pos="284"/>
          <w:tab w:val="clear" w:pos="720"/>
        </w:tabs>
        <w:ind w:left="714" w:hanging="357"/>
        <w:rPr>
          <w:szCs w:val="24"/>
        </w:rPr>
      </w:pPr>
      <w:r w:rsidRPr="00C525CD">
        <w:rPr>
          <w:szCs w:val="24"/>
        </w:rPr>
        <w:t>výpočet na základě většího počtu větrných růžic, přičemž každá z nich je charakteristická pro určitou část modelové oblasti a popisuje větrné poměry v této oblasti.</w:t>
      </w:r>
    </w:p>
    <w:p w:rsidR="00933532" w:rsidRPr="00C525CD" w:rsidRDefault="00933532" w:rsidP="00933532">
      <w:pPr>
        <w:widowControl/>
      </w:pPr>
      <w:r w:rsidRPr="00C525CD">
        <w:t>Model zohledňuje odstraňování látek z atmosféry a transformaci oxidu dusnatého na oxid dusičitý. Pro výpočet koncentrace NO</w:t>
      </w:r>
      <w:r w:rsidRPr="00C525CD">
        <w:rPr>
          <w:vertAlign w:val="subscript"/>
        </w:rPr>
        <w:t>2</w:t>
      </w:r>
      <w:r w:rsidRPr="00C525CD">
        <w:t xml:space="preserve"> se vychází z výpočtu koncentrace NO</w:t>
      </w:r>
      <w:r w:rsidRPr="00C525CD">
        <w:rPr>
          <w:vertAlign w:val="subscript"/>
        </w:rPr>
        <w:t>x</w:t>
      </w:r>
      <w:r w:rsidRPr="00C525CD">
        <w:t>, avšak ve vstupních datech musí být zadán emisní poměr NO</w:t>
      </w:r>
      <w:r w:rsidRPr="00C525CD">
        <w:rPr>
          <w:vertAlign w:val="subscript"/>
        </w:rPr>
        <w:t>2</w:t>
      </w:r>
      <w:r w:rsidRPr="00C525CD">
        <w:t>/NO</w:t>
      </w:r>
      <w:r w:rsidRPr="00C525CD">
        <w:rPr>
          <w:vertAlign w:val="subscript"/>
        </w:rPr>
        <w:t>x</w:t>
      </w:r>
      <w:r w:rsidRPr="00C525CD">
        <w:t xml:space="preserve"> a tento poměr je nutno znát pro každý jednotlivý zdroj. Na základě vzdálenosti zdroje a referenčního bodu a rychlosti proudění v úrovni ústí zdroje je nejprve určen čas, který je nutný k překonání dané vzdálenosti. Následně je vypočten imisní poměr NO</w:t>
      </w:r>
      <w:r w:rsidRPr="00C525CD">
        <w:rPr>
          <w:vertAlign w:val="subscript"/>
        </w:rPr>
        <w:t>2</w:t>
      </w:r>
      <w:r w:rsidRPr="00C525CD">
        <w:t>/NO</w:t>
      </w:r>
      <w:r w:rsidRPr="00C525CD">
        <w:rPr>
          <w:vertAlign w:val="subscript"/>
        </w:rPr>
        <w:t>x</w:t>
      </w:r>
      <w:r w:rsidRPr="00C525CD">
        <w:t>, který závisí na této časové hodnotě, výchozím poměru NO</w:t>
      </w:r>
      <w:r w:rsidRPr="00C525CD">
        <w:rPr>
          <w:vertAlign w:val="subscript"/>
        </w:rPr>
        <w:t>2</w:t>
      </w:r>
      <w:r w:rsidRPr="00C525CD">
        <w:t>/NO</w:t>
      </w:r>
      <w:r w:rsidRPr="00C525CD">
        <w:rPr>
          <w:vertAlign w:val="subscript"/>
        </w:rPr>
        <w:t>x</w:t>
      </w:r>
      <w:r w:rsidRPr="00C525CD">
        <w:t xml:space="preserve"> a limitním poměru NO</w:t>
      </w:r>
      <w:r w:rsidRPr="00C525CD">
        <w:rPr>
          <w:vertAlign w:val="subscript"/>
        </w:rPr>
        <w:t>2</w:t>
      </w:r>
      <w:r w:rsidRPr="00C525CD">
        <w:t>/NO</w:t>
      </w:r>
      <w:r w:rsidRPr="00C525CD">
        <w:rPr>
          <w:vertAlign w:val="subscript"/>
        </w:rPr>
        <w:t>x</w:t>
      </w:r>
      <w:r w:rsidRPr="00C525CD">
        <w:t xml:space="preserve"> dle meteorologických podmínek.</w:t>
      </w:r>
    </w:p>
    <w:p w:rsidR="00FC4039" w:rsidRPr="00C525CD" w:rsidRDefault="00FC4039" w:rsidP="00933532">
      <w:pPr>
        <w:widowControl/>
      </w:pPr>
    </w:p>
    <w:p w:rsidR="00933532" w:rsidRPr="00C525CD" w:rsidRDefault="00933532" w:rsidP="00933532">
      <w:pPr>
        <w:pStyle w:val="Nadpis2"/>
        <w:numPr>
          <w:ilvl w:val="1"/>
          <w:numId w:val="4"/>
        </w:numPr>
      </w:pPr>
      <w:bookmarkStart w:id="32" w:name="_Toc73358436"/>
      <w:r w:rsidRPr="00C525CD">
        <w:t>Výsledky modelových výpočtů</w:t>
      </w:r>
      <w:bookmarkEnd w:id="32"/>
    </w:p>
    <w:p w:rsidR="00FC4039" w:rsidRPr="00C525CD" w:rsidRDefault="00FC4039" w:rsidP="00FC4039">
      <w:pPr>
        <w:widowControl/>
      </w:pPr>
      <w:r w:rsidRPr="00C525CD">
        <w:t>V následujícím přehledu jsou shrnuty výsledky provedených modelových výpočtů.</w:t>
      </w:r>
    </w:p>
    <w:p w:rsidR="00FC4039" w:rsidRPr="00C525CD" w:rsidRDefault="00FC4039" w:rsidP="00FC4039">
      <w:pPr>
        <w:widowControl/>
      </w:pPr>
    </w:p>
    <w:p w:rsidR="00FC4039" w:rsidRPr="00C525CD" w:rsidRDefault="00FC4039" w:rsidP="00FC4039">
      <w:pPr>
        <w:pStyle w:val="Nadpis3"/>
        <w:widowControl/>
        <w:numPr>
          <w:ilvl w:val="2"/>
          <w:numId w:val="4"/>
        </w:numPr>
        <w:spacing w:line="288" w:lineRule="auto"/>
      </w:pPr>
      <w:r w:rsidRPr="00C525CD">
        <w:t>Průměrné roční koncentrace oxidu dusičitého</w:t>
      </w:r>
    </w:p>
    <w:p w:rsidR="00FB2D52" w:rsidRPr="00C525CD" w:rsidRDefault="00FC4039" w:rsidP="00FC4039">
      <w:pPr>
        <w:widowControl/>
      </w:pPr>
      <w:r w:rsidRPr="00C525CD">
        <w:t xml:space="preserve">Ve výchozím stavu byly v prostoru změny vypočteny hodnoty </w:t>
      </w:r>
      <w:r w:rsidR="001541C1" w:rsidRPr="00C525CD">
        <w:t>nejčastěji v rozmezí 21 – 22 µg.m</w:t>
      </w:r>
      <w:r w:rsidR="001541C1" w:rsidRPr="00C525CD">
        <w:rPr>
          <w:vertAlign w:val="superscript"/>
        </w:rPr>
        <w:t>-3</w:t>
      </w:r>
      <w:r w:rsidRPr="00C525CD">
        <w:t>. V celém zájmovém území pak byly vypočteny hodnoty v</w:t>
      </w:r>
      <w:r w:rsidR="00BE1784">
        <w:t> </w:t>
      </w:r>
      <w:r w:rsidRPr="00C525CD">
        <w:t xml:space="preserve">rozmezí </w:t>
      </w:r>
      <w:r w:rsidR="001541C1" w:rsidRPr="00C525CD">
        <w:t>20</w:t>
      </w:r>
      <w:r w:rsidRPr="00C525CD">
        <w:t xml:space="preserve"> – </w:t>
      </w:r>
      <w:r w:rsidR="001541C1" w:rsidRPr="00C525CD">
        <w:t>28</w:t>
      </w:r>
      <w:r w:rsidRPr="00C525CD">
        <w:t xml:space="preserve"> µg.m</w:t>
      </w:r>
      <w:r w:rsidRPr="00C525CD">
        <w:rPr>
          <w:vertAlign w:val="superscript"/>
        </w:rPr>
        <w:t>-3</w:t>
      </w:r>
      <w:r w:rsidRPr="00C525CD">
        <w:t>.</w:t>
      </w:r>
    </w:p>
    <w:p w:rsidR="00FC4039" w:rsidRPr="00C525CD" w:rsidRDefault="00FC4039" w:rsidP="00FC4039">
      <w:pPr>
        <w:widowControl/>
      </w:pPr>
      <w:r w:rsidRPr="00C525CD">
        <w:t xml:space="preserve">Vlivem hodnocené změny </w:t>
      </w:r>
      <w:r w:rsidR="00FB2D52" w:rsidRPr="00C525CD">
        <w:t xml:space="preserve">Z 3111/10 </w:t>
      </w:r>
      <w:r w:rsidRPr="00C525CD">
        <w:t>byl vypočten nárůst imisní zátěže nejvýše na úrovni 0,</w:t>
      </w:r>
      <w:r w:rsidR="00FB2D52" w:rsidRPr="00C525CD">
        <w:t>7</w:t>
      </w:r>
      <w:r w:rsidRPr="00C525CD">
        <w:t>5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w:t>
      </w:r>
      <w:r w:rsidR="000559E4" w:rsidRPr="00C525CD">
        <w:t xml:space="preserve">v prostoru nově navrženého kruhového objezdu. </w:t>
      </w:r>
      <w:r w:rsidR="00FB2D52" w:rsidRPr="00C525CD">
        <w:t>V plochách určených pro bydlení byl nejvyšší nárůst vypočten na úrovni cca 0,50</w:t>
      </w:r>
      <w:r w:rsidR="00BE1784">
        <w:t> </w:t>
      </w:r>
      <w:r w:rsidR="00FB2D52" w:rsidRPr="00C525CD">
        <w:t>µg.m</w:t>
      </w:r>
      <w:r w:rsidR="00FB2D52" w:rsidRPr="00C525CD">
        <w:rPr>
          <w:vertAlign w:val="superscript"/>
        </w:rPr>
        <w:t>-3</w:t>
      </w:r>
      <w:r w:rsidR="00FB2D52" w:rsidRPr="00C525CD">
        <w:t>.</w:t>
      </w:r>
    </w:p>
    <w:p w:rsidR="00FB2D52" w:rsidRPr="00C525CD" w:rsidRDefault="00FB2D52" w:rsidP="00FC4039">
      <w:pPr>
        <w:widowControl/>
      </w:pPr>
      <w:r w:rsidRPr="00C525CD">
        <w:lastRenderedPageBreak/>
        <w:t>Příspěvek úpravy U 1250/2 k imisní zátěži průměrnými ročními koncentracemi NO</w:t>
      </w:r>
      <w:r w:rsidRPr="00C525CD">
        <w:rPr>
          <w:vertAlign w:val="subscript"/>
        </w:rPr>
        <w:t>2</w:t>
      </w:r>
      <w:r w:rsidRPr="00C525CD">
        <w:t xml:space="preserve"> bude činit nejvýše okolo 0,65 µg.m</w:t>
      </w:r>
      <w:r w:rsidRPr="00C525CD">
        <w:rPr>
          <w:vertAlign w:val="superscript"/>
        </w:rPr>
        <w:t>-3</w:t>
      </w:r>
      <w:r w:rsidRPr="00C525CD">
        <w:t>, v plochách pro bydlení pak do 0,45 µg.m</w:t>
      </w:r>
      <w:r w:rsidRPr="00C525CD">
        <w:rPr>
          <w:vertAlign w:val="superscript"/>
        </w:rPr>
        <w:t>-3</w:t>
      </w:r>
      <w:r w:rsidRPr="00C525CD">
        <w:t>.</w:t>
      </w:r>
    </w:p>
    <w:p w:rsidR="00FC4039" w:rsidRPr="00C525CD" w:rsidRDefault="00FC4039" w:rsidP="00FC4039">
      <w:pPr>
        <w:widowControl/>
      </w:pPr>
      <w:r w:rsidRPr="00C525CD">
        <w:t>Imisní limit pro průměrné roční koncentrace oxidu dusičitého je stanoven ve výši 40 µg.m</w:t>
      </w:r>
      <w:r w:rsidRPr="00C525CD">
        <w:rPr>
          <w:vertAlign w:val="superscript"/>
        </w:rPr>
        <w:t>-3</w:t>
      </w:r>
      <w:r w:rsidRPr="00C525CD">
        <w:t xml:space="preserve">. Jak vyplývá z provedeného hodnocení, lze ve výchozím stavu očekávat koncentrace </w:t>
      </w:r>
      <w:r w:rsidR="00FB2D52" w:rsidRPr="00C525CD">
        <w:t xml:space="preserve">v celé výpočtové oblasti </w:t>
      </w:r>
      <w:r w:rsidRPr="00C525CD">
        <w:t xml:space="preserve">pod hranicí </w:t>
      </w:r>
      <w:r w:rsidR="00FB2D52" w:rsidRPr="00C525CD">
        <w:t>7</w:t>
      </w:r>
      <w:r w:rsidRPr="00C525CD">
        <w:t xml:space="preserve">0 % limitní hodnoty, přičemž vliv změny ÚP SÚ hl. m. Prahy bude </w:t>
      </w:r>
      <w:r w:rsidR="00A576FD" w:rsidRPr="00C525CD">
        <w:t>málo významný</w:t>
      </w:r>
      <w:r w:rsidRPr="00C525CD">
        <w:t xml:space="preserve"> a nedojde k překročení imisního limitu.</w:t>
      </w:r>
    </w:p>
    <w:p w:rsidR="00F219C8" w:rsidRPr="00C525CD" w:rsidRDefault="00F219C8" w:rsidP="00F219C8">
      <w:pPr>
        <w:pStyle w:val="Nadpis3"/>
        <w:widowControl/>
        <w:numPr>
          <w:ilvl w:val="2"/>
          <w:numId w:val="4"/>
        </w:numPr>
        <w:spacing w:line="288" w:lineRule="auto"/>
      </w:pPr>
      <w:r w:rsidRPr="00C525CD">
        <w:t>Průměrné roční koncentrace benzenu</w:t>
      </w:r>
    </w:p>
    <w:p w:rsidR="00F219C8" w:rsidRPr="00C525CD" w:rsidRDefault="00F219C8" w:rsidP="00F219C8">
      <w:pPr>
        <w:widowControl/>
      </w:pPr>
      <w:r w:rsidRPr="00C525CD">
        <w:t>Ve výchozím stavu byly v prostoru změny vypočteny hodnoty nejčastěji v rozmezí 1,0 – 1,1 µg.m</w:t>
      </w:r>
      <w:r w:rsidRPr="00C525CD">
        <w:rPr>
          <w:vertAlign w:val="superscript"/>
        </w:rPr>
        <w:t>-3</w:t>
      </w:r>
      <w:r w:rsidRPr="00C525CD">
        <w:t>. V celém zájmovém území pak byly vypočteny hodnoty v</w:t>
      </w:r>
      <w:r w:rsidR="00BE1784">
        <w:t> </w:t>
      </w:r>
      <w:r w:rsidRPr="00C525CD">
        <w:t>rozmezí 0,95 – 1,15 µg.m</w:t>
      </w:r>
      <w:r w:rsidRPr="00C525CD">
        <w:rPr>
          <w:vertAlign w:val="superscript"/>
        </w:rPr>
        <w:t>-3</w:t>
      </w:r>
      <w:r w:rsidRPr="00C525CD">
        <w:t>.</w:t>
      </w:r>
    </w:p>
    <w:p w:rsidR="00F219C8" w:rsidRPr="00C525CD" w:rsidRDefault="00F219C8" w:rsidP="00F219C8">
      <w:pPr>
        <w:widowControl/>
      </w:pPr>
      <w:r w:rsidRPr="00C525CD">
        <w:t>Vlivem hodnocené změny Z 3111/10 byl vypočten nárůst imisní zátěže nejvýše na úrovni 0,08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v prostoru nově navrženého kruhového objezdu. V plochách určených pro bydlení byl nejvyšší nárůst vypočten na úrovni cca 0,06</w:t>
      </w:r>
      <w:r w:rsidR="00BE1784">
        <w:t> </w:t>
      </w:r>
      <w:r w:rsidRPr="00C525CD">
        <w:t>µg.m</w:t>
      </w:r>
      <w:r w:rsidRPr="00C525CD">
        <w:rPr>
          <w:vertAlign w:val="superscript"/>
        </w:rPr>
        <w:t>-3</w:t>
      </w:r>
      <w:r w:rsidRPr="00C525CD">
        <w:t>.</w:t>
      </w:r>
    </w:p>
    <w:p w:rsidR="00F219C8" w:rsidRPr="00C525CD" w:rsidRDefault="00F219C8" w:rsidP="00F219C8">
      <w:pPr>
        <w:widowControl/>
      </w:pPr>
      <w:r w:rsidRPr="00C525CD">
        <w:t>Příspěvek úpravy U 1250/2 k imisní zátěži průměrnými ročními koncentracemi benzenu bude činit nejvýše okolo 0,075 µg.m</w:t>
      </w:r>
      <w:r w:rsidRPr="00C525CD">
        <w:rPr>
          <w:vertAlign w:val="superscript"/>
        </w:rPr>
        <w:t>-3</w:t>
      </w:r>
      <w:r w:rsidRPr="00C525CD">
        <w:t>. V plochách určených pro bydlení byl nejvyšší nárůst vypočten na úrovni cca 0,05 µg.m</w:t>
      </w:r>
      <w:r w:rsidRPr="00C525CD">
        <w:rPr>
          <w:vertAlign w:val="superscript"/>
        </w:rPr>
        <w:t>-3</w:t>
      </w:r>
      <w:r w:rsidRPr="00C525CD">
        <w:t>.</w:t>
      </w:r>
    </w:p>
    <w:p w:rsidR="00F219C8" w:rsidRPr="00C525CD" w:rsidRDefault="00F219C8" w:rsidP="00F219C8">
      <w:pPr>
        <w:widowControl/>
      </w:pPr>
      <w:r w:rsidRPr="00C525CD">
        <w:t>Imisní limit pro průměrné roční koncentrace benzenu je stanoven ve výši 5 µg.m</w:t>
      </w:r>
      <w:r w:rsidRPr="00C525CD">
        <w:rPr>
          <w:vertAlign w:val="superscript"/>
        </w:rPr>
        <w:t>-3</w:t>
      </w:r>
      <w:r w:rsidRPr="00C525CD">
        <w:t>. Jak vyplývá z provedeného hodnocení, lze ve výchozím stavu očekávat v celé výpočtové oblasti koncentrace pod hranicí 23 % limitní hodnoty, přičemž vliv změny ÚP SÚ hl. m. Prahy bude velmi malý a nedojde k překročení imisního limitu.</w:t>
      </w:r>
    </w:p>
    <w:p w:rsidR="00F219C8" w:rsidRPr="00C525CD" w:rsidRDefault="00F219C8" w:rsidP="00F219C8">
      <w:pPr>
        <w:widowControl/>
      </w:pPr>
    </w:p>
    <w:p w:rsidR="00FC4039" w:rsidRPr="00C525CD" w:rsidRDefault="00FC4039" w:rsidP="00FC4039">
      <w:pPr>
        <w:pStyle w:val="Nadpis3"/>
        <w:widowControl/>
        <w:numPr>
          <w:ilvl w:val="2"/>
          <w:numId w:val="4"/>
        </w:numPr>
        <w:spacing w:line="288" w:lineRule="auto"/>
      </w:pPr>
      <w:r w:rsidRPr="00C525CD">
        <w:t>Průměrné roční koncentrace suspendovaných částic PM</w:t>
      </w:r>
      <w:r w:rsidRPr="00C525CD">
        <w:rPr>
          <w:vertAlign w:val="subscript"/>
        </w:rPr>
        <w:t>10</w:t>
      </w:r>
    </w:p>
    <w:p w:rsidR="0080695D" w:rsidRPr="00C525CD" w:rsidRDefault="0080695D" w:rsidP="0080695D">
      <w:pPr>
        <w:widowControl/>
      </w:pPr>
      <w:r w:rsidRPr="00C525CD">
        <w:t>Ve výchozím stavu byly v prostoru změny vypočteny hodnoty nejčastěji v rozmezí 22 – 24 µg.m</w:t>
      </w:r>
      <w:r w:rsidRPr="00C525CD">
        <w:rPr>
          <w:vertAlign w:val="superscript"/>
        </w:rPr>
        <w:t>-3</w:t>
      </w:r>
      <w:r w:rsidRPr="00C525CD">
        <w:t>. V celém zájmovém území pak byly vypočteny hodnoty v</w:t>
      </w:r>
      <w:r w:rsidR="00BE1784">
        <w:t> </w:t>
      </w:r>
      <w:r w:rsidRPr="00C525CD">
        <w:t>rozmezí 19 – 32 µg.m</w:t>
      </w:r>
      <w:r w:rsidRPr="00C525CD">
        <w:rPr>
          <w:vertAlign w:val="superscript"/>
        </w:rPr>
        <w:t>-3</w:t>
      </w:r>
      <w:r w:rsidRPr="00C525CD">
        <w:t>.</w:t>
      </w:r>
    </w:p>
    <w:p w:rsidR="0080695D" w:rsidRPr="00C525CD" w:rsidRDefault="0080695D" w:rsidP="0080695D">
      <w:pPr>
        <w:widowControl/>
      </w:pPr>
      <w:r w:rsidRPr="00C525CD">
        <w:t>Vlivem hodnocené změny Z 3111/10 byl vypočten nárůst imisní zátěže nejvýše na úrovni 0,27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v okolí nově navrženého kruhového objezdu. Obdobný nárůst byl vypočten i v</w:t>
      </w:r>
      <w:r w:rsidR="00973F60" w:rsidRPr="00C525CD">
        <w:t xml:space="preserve"> nejvíce ovlivněných </w:t>
      </w:r>
      <w:r w:rsidRPr="00C525CD">
        <w:t>plochách určených pro bydlení. Zcela lokálně (přímo v prostoru kruhového objezdu) byl vypočten pokles koncentrací až o 0,07 µg.m</w:t>
      </w:r>
      <w:r w:rsidRPr="00C525CD">
        <w:rPr>
          <w:vertAlign w:val="superscript"/>
        </w:rPr>
        <w:t>-3</w:t>
      </w:r>
      <w:r w:rsidRPr="00C525CD">
        <w:t>.</w:t>
      </w:r>
    </w:p>
    <w:p w:rsidR="0080695D" w:rsidRPr="00C525CD" w:rsidRDefault="0080695D" w:rsidP="0080695D">
      <w:pPr>
        <w:widowControl/>
      </w:pPr>
      <w:r w:rsidRPr="00C525CD">
        <w:t>Příspěvek úpravy U 1250/2 k imisní zátěži průměrnými ročními koncentracemi PM</w:t>
      </w:r>
      <w:r w:rsidRPr="00C525CD">
        <w:rPr>
          <w:vertAlign w:val="subscript"/>
        </w:rPr>
        <w:t>10</w:t>
      </w:r>
      <w:r w:rsidRPr="00C525CD">
        <w:t xml:space="preserve"> bude činit nejvýše okolo 0,20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i v plochách pro bydlení. Lokálně byl vypočten pokles imisní zátěže (v prostoru kruhového objezdu) do 0,15 µg.m</w:t>
      </w:r>
      <w:r w:rsidRPr="00C525CD">
        <w:rPr>
          <w:vertAlign w:val="superscript"/>
        </w:rPr>
        <w:t>-3</w:t>
      </w:r>
      <w:r w:rsidRPr="00C525CD">
        <w:t>.</w:t>
      </w:r>
    </w:p>
    <w:p w:rsidR="0080695D" w:rsidRPr="00C525CD" w:rsidRDefault="0080695D" w:rsidP="0080695D">
      <w:pPr>
        <w:widowControl/>
      </w:pPr>
      <w:r w:rsidRPr="00C525CD">
        <w:t>Imisní limit pro průměrné roční koncentrace suspendovaných částic PM</w:t>
      </w:r>
      <w:r w:rsidRPr="00C525CD">
        <w:rPr>
          <w:vertAlign w:val="subscript"/>
        </w:rPr>
        <w:t>10</w:t>
      </w:r>
      <w:r w:rsidRPr="00C525CD">
        <w:t xml:space="preserve"> je stanoven ve výši 40 µg.m</w:t>
      </w:r>
      <w:r w:rsidRPr="00C525CD">
        <w:rPr>
          <w:vertAlign w:val="superscript"/>
        </w:rPr>
        <w:t>-3</w:t>
      </w:r>
      <w:r w:rsidRPr="00C525CD">
        <w:t xml:space="preserve">. Jak vyplývá z provedeného hodnocení, lze ve výchozím stavu očekávat koncentrace v celé výpočtové oblasti pod hranicí 80 % limitní hodnoty, </w:t>
      </w:r>
      <w:r w:rsidRPr="00C525CD">
        <w:lastRenderedPageBreak/>
        <w:t>přičemž vliv změny ÚP SÚ hl. m. Prahy bude m</w:t>
      </w:r>
      <w:r w:rsidR="00A576FD" w:rsidRPr="00C525CD">
        <w:t>á</w:t>
      </w:r>
      <w:r w:rsidRPr="00C525CD">
        <w:t>l</w:t>
      </w:r>
      <w:r w:rsidR="00A576FD" w:rsidRPr="00C525CD">
        <w:t>o významný</w:t>
      </w:r>
      <w:r w:rsidRPr="00C525CD">
        <w:t xml:space="preserve"> a nedojde k překročení imisního limitu.</w:t>
      </w:r>
    </w:p>
    <w:p w:rsidR="00FC4039" w:rsidRPr="00C525CD" w:rsidRDefault="00FC4039" w:rsidP="00FC4039">
      <w:pPr>
        <w:widowControl/>
      </w:pPr>
    </w:p>
    <w:p w:rsidR="00FC4039" w:rsidRPr="00C525CD" w:rsidRDefault="00FC4039" w:rsidP="00FC4039">
      <w:pPr>
        <w:pStyle w:val="Nadpis3"/>
        <w:widowControl/>
        <w:numPr>
          <w:ilvl w:val="2"/>
          <w:numId w:val="4"/>
        </w:numPr>
        <w:spacing w:line="288" w:lineRule="auto"/>
      </w:pPr>
      <w:r w:rsidRPr="00C525CD">
        <w:t>Průměrné roční koncentrace suspendovaných částic PM</w:t>
      </w:r>
      <w:r w:rsidRPr="00C525CD">
        <w:rPr>
          <w:vertAlign w:val="subscript"/>
        </w:rPr>
        <w:t>2,5</w:t>
      </w:r>
    </w:p>
    <w:p w:rsidR="00A576FD" w:rsidRPr="00C525CD" w:rsidRDefault="00A576FD" w:rsidP="00A576FD">
      <w:pPr>
        <w:widowControl/>
      </w:pPr>
      <w:r w:rsidRPr="00C525CD">
        <w:t xml:space="preserve">Ve výchozím stavu byly v prostoru změny vypočteny hodnoty nejčastěji v rozmezí </w:t>
      </w:r>
      <w:r w:rsidR="00973F60" w:rsidRPr="00C525CD">
        <w:t>17</w:t>
      </w:r>
      <w:r w:rsidRPr="00C525CD">
        <w:t xml:space="preserve"> – </w:t>
      </w:r>
      <w:r w:rsidR="00973F60" w:rsidRPr="00C525CD">
        <w:t>18</w:t>
      </w:r>
      <w:r w:rsidRPr="00C525CD">
        <w:t xml:space="preserve"> µg.m</w:t>
      </w:r>
      <w:r w:rsidRPr="00C525CD">
        <w:rPr>
          <w:vertAlign w:val="superscript"/>
        </w:rPr>
        <w:t>-3</w:t>
      </w:r>
      <w:r w:rsidRPr="00C525CD">
        <w:t>. V celém zájmovém území pak byly vypočteny hodnoty v</w:t>
      </w:r>
      <w:r w:rsidR="00BE1784">
        <w:t> </w:t>
      </w:r>
      <w:r w:rsidRPr="00C525CD">
        <w:t>rozmezí 1</w:t>
      </w:r>
      <w:r w:rsidR="00973F60" w:rsidRPr="00C525CD">
        <w:t>6</w:t>
      </w:r>
      <w:r w:rsidRPr="00C525CD">
        <w:t xml:space="preserve"> – </w:t>
      </w:r>
      <w:r w:rsidR="00973F60" w:rsidRPr="00C525CD">
        <w:t>20,2</w:t>
      </w:r>
      <w:r w:rsidRPr="00C525CD">
        <w:t xml:space="preserve"> µg.m</w:t>
      </w:r>
      <w:r w:rsidRPr="00C525CD">
        <w:rPr>
          <w:vertAlign w:val="superscript"/>
        </w:rPr>
        <w:t>-3</w:t>
      </w:r>
      <w:r w:rsidRPr="00C525CD">
        <w:t>.</w:t>
      </w:r>
    </w:p>
    <w:p w:rsidR="00A576FD" w:rsidRPr="00C525CD" w:rsidRDefault="00A576FD" w:rsidP="00A576FD">
      <w:pPr>
        <w:widowControl/>
      </w:pPr>
      <w:r w:rsidRPr="00C525CD">
        <w:t>Vlivem hodnocené změny Z 3111/10 byl vypočten nárůst imisní zátěže nejvýše na úrovni 0,</w:t>
      </w:r>
      <w:r w:rsidR="00973F60" w:rsidRPr="00C525CD">
        <w:t>09</w:t>
      </w:r>
      <w:r w:rsidRPr="00C525CD">
        <w:t xml:space="preserve">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v okolí nově navrženého kruhového objezdu. Obdobný nárůst byl vypočten i v</w:t>
      </w:r>
      <w:r w:rsidR="00973F60" w:rsidRPr="00C525CD">
        <w:t xml:space="preserve"> nejvíce ovlivněných </w:t>
      </w:r>
      <w:r w:rsidRPr="00C525CD">
        <w:t>plochách určených pro bydlení</w:t>
      </w:r>
      <w:r w:rsidR="00973F60" w:rsidRPr="00C525CD">
        <w:t>.</w:t>
      </w:r>
    </w:p>
    <w:p w:rsidR="00A576FD" w:rsidRPr="00C525CD" w:rsidRDefault="00A576FD" w:rsidP="00A576FD">
      <w:pPr>
        <w:widowControl/>
      </w:pPr>
      <w:r w:rsidRPr="00C525CD">
        <w:t>Příspěvek úpravy U 1250/2 k imisní zátěži průměrnými ročními koncentracemi PM</w:t>
      </w:r>
      <w:r w:rsidRPr="00C525CD">
        <w:rPr>
          <w:vertAlign w:val="subscript"/>
        </w:rPr>
        <w:t>10</w:t>
      </w:r>
      <w:r w:rsidRPr="00C525CD">
        <w:t xml:space="preserve"> bude činit nejvýše okolo 0,0</w:t>
      </w:r>
      <w:r w:rsidR="00973F60" w:rsidRPr="00C525CD">
        <w:t>75</w:t>
      </w:r>
      <w:r w:rsidRPr="00C525CD">
        <w:t xml:space="preserve">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00973F60" w:rsidRPr="00C525CD">
        <w:t xml:space="preserve"> to i v plochách pro bydlení.</w:t>
      </w:r>
    </w:p>
    <w:p w:rsidR="00A576FD" w:rsidRPr="00C525CD" w:rsidRDefault="00A576FD" w:rsidP="00A576FD">
      <w:pPr>
        <w:widowControl/>
      </w:pPr>
      <w:r w:rsidRPr="00C525CD">
        <w:t>Imisní limit pro průměrné roční koncentrace suspendovaných částic PM</w:t>
      </w:r>
      <w:r w:rsidR="00D72D3E" w:rsidRPr="00C525CD">
        <w:rPr>
          <w:vertAlign w:val="subscript"/>
        </w:rPr>
        <w:t>2,5</w:t>
      </w:r>
      <w:r w:rsidRPr="00C525CD">
        <w:t xml:space="preserve"> je stanoven ve výši </w:t>
      </w:r>
      <w:r w:rsidR="00D72D3E" w:rsidRPr="00C525CD">
        <w:t>2</w:t>
      </w:r>
      <w:r w:rsidRPr="00C525CD">
        <w:t>0 µg.m</w:t>
      </w:r>
      <w:r w:rsidRPr="00C525CD">
        <w:rPr>
          <w:vertAlign w:val="superscript"/>
        </w:rPr>
        <w:t>-3</w:t>
      </w:r>
      <w:r w:rsidRPr="00C525CD">
        <w:t xml:space="preserve">. Jak vyplývá z provedeného hodnocení, lze ve výchozím stavu očekávat </w:t>
      </w:r>
      <w:r w:rsidR="00D72D3E" w:rsidRPr="00C525CD">
        <w:t>překročení tohoto limitu pouze zcela lokálně, v nejbližší blíz</w:t>
      </w:r>
      <w:r w:rsidR="004146DD" w:rsidRPr="00C525CD">
        <w:t>k</w:t>
      </w:r>
      <w:r w:rsidR="00D72D3E" w:rsidRPr="00C525CD">
        <w:t>osti trasy D0. V</w:t>
      </w:r>
      <w:r w:rsidRPr="00C525CD">
        <w:t>liv</w:t>
      </w:r>
      <w:r w:rsidR="00D72D3E" w:rsidRPr="00C525CD">
        <w:t>em</w:t>
      </w:r>
      <w:r w:rsidRPr="00C525CD">
        <w:t xml:space="preserve"> změny ÚP SÚ hl. m. Prahy </w:t>
      </w:r>
      <w:r w:rsidR="00D72D3E" w:rsidRPr="00C525CD">
        <w:t>dojde pouze k </w:t>
      </w:r>
      <w:r w:rsidRPr="00C525CD">
        <w:t>m</w:t>
      </w:r>
      <w:r w:rsidR="00D72D3E" w:rsidRPr="00C525CD">
        <w:t xml:space="preserve">álo významné změně a nikde v prostoru obytné zástavby nedojde k překročení imisního limitu. </w:t>
      </w:r>
    </w:p>
    <w:p w:rsidR="00FC4039" w:rsidRPr="00C525CD" w:rsidRDefault="00FC4039" w:rsidP="00FC4039">
      <w:pPr>
        <w:widowControl/>
      </w:pPr>
    </w:p>
    <w:p w:rsidR="00FC4039" w:rsidRPr="00C525CD" w:rsidRDefault="00FC4039" w:rsidP="00FC4039">
      <w:pPr>
        <w:pStyle w:val="Nadpis3"/>
        <w:widowControl/>
        <w:numPr>
          <w:ilvl w:val="2"/>
          <w:numId w:val="4"/>
        </w:numPr>
        <w:spacing w:line="288" w:lineRule="auto"/>
      </w:pPr>
      <w:r w:rsidRPr="00C525CD">
        <w:t>Průměrné roční koncentrace benzo[a]pyrenu</w:t>
      </w:r>
    </w:p>
    <w:p w:rsidR="000130B2" w:rsidRPr="00C525CD" w:rsidRDefault="000130B2" w:rsidP="000130B2">
      <w:pPr>
        <w:widowControl/>
      </w:pPr>
      <w:r w:rsidRPr="00C525CD">
        <w:t xml:space="preserve">Ve výchozím stavu byly v prostoru změny vypočteny hodnoty nejčastěji </w:t>
      </w:r>
      <w:r w:rsidR="006B1B2A" w:rsidRPr="00C525CD">
        <w:t>okolo</w:t>
      </w:r>
      <w:r w:rsidRPr="00C525CD">
        <w:t xml:space="preserve"> 0</w:t>
      </w:r>
      <w:r w:rsidR="006B1B2A" w:rsidRPr="00C525CD">
        <w:t>,9</w:t>
      </w:r>
      <w:r w:rsidRPr="00C525CD">
        <w:t xml:space="preserve"> </w:t>
      </w:r>
      <w:r w:rsidR="006B1B2A" w:rsidRPr="00C525CD">
        <w:t>n</w:t>
      </w:r>
      <w:r w:rsidRPr="00C525CD">
        <w:t>g.m</w:t>
      </w:r>
      <w:r w:rsidRPr="00C525CD">
        <w:rPr>
          <w:vertAlign w:val="superscript"/>
        </w:rPr>
        <w:t>-3</w:t>
      </w:r>
      <w:r w:rsidRPr="00C525CD">
        <w:t>. V celém zájmovém území pak byly vypočteny hodnoty v rozmezí 0,</w:t>
      </w:r>
      <w:r w:rsidR="006B1B2A" w:rsidRPr="00C525CD">
        <w:t>8</w:t>
      </w:r>
      <w:r w:rsidRPr="00C525CD">
        <w:t xml:space="preserve"> – 1,</w:t>
      </w:r>
      <w:r w:rsidR="006B1B2A" w:rsidRPr="00C525CD">
        <w:t>2</w:t>
      </w:r>
      <w:r w:rsidRPr="00C525CD">
        <w:t xml:space="preserve"> </w:t>
      </w:r>
      <w:r w:rsidR="006B1B2A" w:rsidRPr="00C525CD">
        <w:t>n</w:t>
      </w:r>
      <w:r w:rsidRPr="00C525CD">
        <w:t>g.m</w:t>
      </w:r>
      <w:r w:rsidRPr="00C525CD">
        <w:rPr>
          <w:vertAlign w:val="superscript"/>
        </w:rPr>
        <w:t>-3</w:t>
      </w:r>
      <w:r w:rsidRPr="00C525CD">
        <w:t>.</w:t>
      </w:r>
    </w:p>
    <w:p w:rsidR="000130B2" w:rsidRPr="00C525CD" w:rsidRDefault="000130B2" w:rsidP="000130B2">
      <w:pPr>
        <w:widowControl/>
      </w:pPr>
      <w:r w:rsidRPr="00C525CD">
        <w:t>Vlivem hodnocené změny Z 3111/10 byl vypočten nárůst imisní zátěže nejvýše na úrovni 0,</w:t>
      </w:r>
      <w:r w:rsidR="006B1B2A" w:rsidRPr="00C525CD">
        <w:t>035</w:t>
      </w:r>
      <w:r w:rsidRPr="00C525CD">
        <w:t xml:space="preserve"> </w:t>
      </w:r>
      <w:r w:rsidR="006B1B2A" w:rsidRPr="00C525CD">
        <w:t>n</w:t>
      </w:r>
      <w:r w:rsidRPr="00C525CD">
        <w:t>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a</w:t>
        </w:r>
      </w:smartTag>
      <w:r w:rsidRPr="00C525CD">
        <w:t xml:space="preserve"> to v prostoru nově navrženého kruhového objezdu. V plochách určených pro bydlení byl nejvyšší nárůst vypočten na úrovni cca 0,0</w:t>
      </w:r>
      <w:r w:rsidR="006B1B2A" w:rsidRPr="00C525CD">
        <w:t>20 n</w:t>
      </w:r>
      <w:r w:rsidRPr="00C525CD">
        <w:t>g.m</w:t>
      </w:r>
      <w:r w:rsidRPr="00C525CD">
        <w:rPr>
          <w:vertAlign w:val="superscript"/>
        </w:rPr>
        <w:t>-3</w:t>
      </w:r>
      <w:r w:rsidRPr="00C525CD">
        <w:t>.</w:t>
      </w:r>
    </w:p>
    <w:p w:rsidR="000130B2" w:rsidRPr="00C525CD" w:rsidRDefault="000130B2" w:rsidP="000130B2">
      <w:pPr>
        <w:widowControl/>
      </w:pPr>
      <w:r w:rsidRPr="00C525CD">
        <w:t>Příspěvek úpravy U 1250/2 k imisní zátěži průměrnými ročními koncentracemi benzenu bude činit nejvýše okolo 0,0</w:t>
      </w:r>
      <w:r w:rsidR="006B1B2A" w:rsidRPr="00C525CD">
        <w:t>30</w:t>
      </w:r>
      <w:r w:rsidRPr="00C525CD">
        <w:t xml:space="preserve"> µg.m</w:t>
      </w:r>
      <w:r w:rsidRPr="00C525CD">
        <w:rPr>
          <w:vertAlign w:val="superscript"/>
        </w:rPr>
        <w:t>-3</w:t>
      </w:r>
      <w:r w:rsidRPr="00C525CD">
        <w:t>. V plochách určených pro bydlení byl nejvyšší nárůst vypočten na úrovni cca 0,0</w:t>
      </w:r>
      <w:r w:rsidR="006B1B2A" w:rsidRPr="00C525CD">
        <w:t>20</w:t>
      </w:r>
      <w:r w:rsidRPr="00C525CD">
        <w:t xml:space="preserve"> µg.m</w:t>
      </w:r>
      <w:r w:rsidRPr="00C525CD">
        <w:rPr>
          <w:vertAlign w:val="superscript"/>
        </w:rPr>
        <w:t>-3</w:t>
      </w:r>
      <w:r w:rsidRPr="00C525CD">
        <w:t>.</w:t>
      </w:r>
    </w:p>
    <w:p w:rsidR="000130B2" w:rsidRPr="00C525CD" w:rsidRDefault="000130B2" w:rsidP="000130B2">
      <w:pPr>
        <w:widowControl/>
      </w:pPr>
      <w:r w:rsidRPr="00C525CD">
        <w:t xml:space="preserve">Imisní limit pro průměrné roční koncentrace </w:t>
      </w:r>
      <w:r w:rsidR="006B1B2A" w:rsidRPr="00C525CD">
        <w:t>benzo[a]pyrenu</w:t>
      </w:r>
      <w:r w:rsidRPr="00C525CD">
        <w:t xml:space="preserve"> je stanoven ve výši </w:t>
      </w:r>
      <w:r w:rsidR="006B1B2A" w:rsidRPr="00C525CD">
        <w:t>1</w:t>
      </w:r>
      <w:r w:rsidRPr="00C525CD">
        <w:t> </w:t>
      </w:r>
      <w:r w:rsidR="006B1B2A" w:rsidRPr="00C525CD">
        <w:t>n</w:t>
      </w:r>
      <w:r w:rsidRPr="00C525CD">
        <w:t>g.m</w:t>
      </w:r>
      <w:r w:rsidRPr="00C525CD">
        <w:rPr>
          <w:vertAlign w:val="superscript"/>
        </w:rPr>
        <w:t>-3</w:t>
      </w:r>
      <w:r w:rsidRPr="00C525CD">
        <w:t xml:space="preserve">. </w:t>
      </w:r>
      <w:r w:rsidR="006B1B2A" w:rsidRPr="00C525CD">
        <w:t>Jak vyplývá z provedeného hodnocení, lze ve výchozím stavu očekávat překročení tohoto limitu pouze lokálně, v blízkosti trasy D0. Vlivem změny ÚP SÚ hl. m. Prahy dojde pouze k málo významné změně a nikde v prostoru obytné zástavby nedojde k překročení imisního limitu.</w:t>
      </w:r>
    </w:p>
    <w:p w:rsidR="00FC4039" w:rsidRPr="00C525CD" w:rsidRDefault="00FC4039" w:rsidP="00FC4039">
      <w:pPr>
        <w:widowControl/>
      </w:pPr>
    </w:p>
    <w:p w:rsidR="00FC4039" w:rsidRPr="00C525CD" w:rsidRDefault="00FC4039" w:rsidP="00B8465A">
      <w:pPr>
        <w:pStyle w:val="Nadpis2"/>
        <w:keepLines/>
        <w:numPr>
          <w:ilvl w:val="1"/>
          <w:numId w:val="4"/>
        </w:numPr>
      </w:pPr>
      <w:bookmarkStart w:id="33" w:name="_Toc73358437"/>
      <w:r w:rsidRPr="00C525CD">
        <w:lastRenderedPageBreak/>
        <w:t>Návrh opatření</w:t>
      </w:r>
      <w:bookmarkEnd w:id="33"/>
    </w:p>
    <w:p w:rsidR="006B1B2A" w:rsidRPr="00C525CD" w:rsidRDefault="006B1B2A" w:rsidP="00B8465A">
      <w:pPr>
        <w:keepNext/>
        <w:keepLines/>
      </w:pPr>
      <w:r w:rsidRPr="00C525CD">
        <w:t xml:space="preserve">Pro změnu ÚP </w:t>
      </w:r>
      <w:r w:rsidR="00764732" w:rsidRPr="00C525CD">
        <w:t>č. Z 3111/</w:t>
      </w:r>
      <w:r w:rsidRPr="00C525CD">
        <w:t>10 ani pro úpravu ÚP č.  1250/2 nejsou navrhována žádná opatření k omezení vlivu na kvalitu ovzduší.</w:t>
      </w:r>
    </w:p>
    <w:p w:rsidR="00FC4039" w:rsidRPr="00C525CD" w:rsidRDefault="00FC4039" w:rsidP="00FC4039"/>
    <w:p w:rsidR="00FC4039" w:rsidRPr="00C525CD" w:rsidRDefault="00FC4039" w:rsidP="00FC4039">
      <w:pPr>
        <w:pStyle w:val="Nadpis2"/>
        <w:numPr>
          <w:ilvl w:val="1"/>
          <w:numId w:val="4"/>
        </w:numPr>
      </w:pPr>
      <w:bookmarkStart w:id="34" w:name="_Toc73358438"/>
      <w:r w:rsidRPr="00C525CD">
        <w:t>Závěrečné zhodnocení</w:t>
      </w:r>
      <w:bookmarkEnd w:id="34"/>
    </w:p>
    <w:p w:rsidR="005E0B46" w:rsidRPr="00C525CD" w:rsidRDefault="00B8465A" w:rsidP="00B8465A">
      <w:r w:rsidRPr="00C525CD">
        <w:t>Ve výchozím stavu lze v zájmovém území očekávat plnění většiny limitů pro průměrné roční koncentrace sledovaných látek. Pouze v případě suspendovaných částic PM</w:t>
      </w:r>
      <w:r w:rsidRPr="00C525CD">
        <w:rPr>
          <w:vertAlign w:val="subscript"/>
        </w:rPr>
        <w:t>2,5</w:t>
      </w:r>
      <w:r w:rsidRPr="00C525CD">
        <w:t xml:space="preserve"> a benzo[a]pyrenu bylo lokálně zaznamenáno překračování imisního lim</w:t>
      </w:r>
      <w:r w:rsidR="005E0B46" w:rsidRPr="00C525CD">
        <w:t>i</w:t>
      </w:r>
      <w:r w:rsidRPr="00C525CD">
        <w:t>t</w:t>
      </w:r>
      <w:r w:rsidR="005E0B46" w:rsidRPr="00C525CD">
        <w:t>u</w:t>
      </w:r>
      <w:r w:rsidRPr="00C525CD">
        <w:t>, avšak vždy v prostoru mimo obytnou zástavbu.</w:t>
      </w:r>
    </w:p>
    <w:p w:rsidR="00B8465A" w:rsidRPr="00C525CD" w:rsidRDefault="00B8465A" w:rsidP="00B8465A">
      <w:r w:rsidRPr="00C525CD">
        <w:t>Vlive</w:t>
      </w:r>
      <w:r w:rsidR="005E0B46" w:rsidRPr="00C525CD">
        <w:t xml:space="preserve">m realizace změny </w:t>
      </w:r>
      <w:r w:rsidR="00764732" w:rsidRPr="00C525CD">
        <w:t>č. Z 3111/</w:t>
      </w:r>
      <w:r w:rsidR="005E0B46" w:rsidRPr="00C525CD">
        <w:t>10 nedojde k nárůstu imisní zátěže, která by představovala významnou změnu z hlediska plnění imisních limitů.</w:t>
      </w:r>
    </w:p>
    <w:p w:rsidR="00B8465A" w:rsidRPr="00C525CD" w:rsidRDefault="00B8465A" w:rsidP="00B8465A">
      <w:r w:rsidRPr="00C525CD">
        <w:t xml:space="preserve">Rovněž vlivem odsouhlasení navrhované úpravy </w:t>
      </w:r>
      <w:r w:rsidR="00764732" w:rsidRPr="00C525CD">
        <w:t>U 1250</w:t>
      </w:r>
      <w:r w:rsidRPr="00C525CD">
        <w:t xml:space="preserve">/2 dojde v území ke změně </w:t>
      </w:r>
      <w:r w:rsidR="005E0B46" w:rsidRPr="00C525CD">
        <w:t>imisní zátěže</w:t>
      </w:r>
      <w:r w:rsidRPr="00C525CD">
        <w:t xml:space="preserve">, ovšem v menší míře než u změny 3111/10. </w:t>
      </w:r>
      <w:r w:rsidR="005E0B46" w:rsidRPr="00C525CD">
        <w:t xml:space="preserve">Ani v tomto případě není třeba očekávat překračování imisních limitů. </w:t>
      </w:r>
    </w:p>
    <w:p w:rsidR="00B8465A" w:rsidRPr="00C525CD" w:rsidRDefault="00B8465A" w:rsidP="00B8465A">
      <w:bookmarkStart w:id="35" w:name="OLE_LINK6"/>
      <w:bookmarkStart w:id="36" w:name="OLE_LINK7"/>
      <w:r w:rsidRPr="00C525CD">
        <w:t xml:space="preserve">Celkově lze vliv změny ÚP </w:t>
      </w:r>
      <w:r w:rsidR="005E0B46" w:rsidRPr="00C525CD">
        <w:t>Z</w:t>
      </w:r>
      <w:r w:rsidRPr="00C525CD">
        <w:t xml:space="preserve"> 3111/10 i úpravy ÚP </w:t>
      </w:r>
      <w:r w:rsidR="005E0B46" w:rsidRPr="00C525CD">
        <w:t xml:space="preserve">U </w:t>
      </w:r>
      <w:r w:rsidRPr="00C525CD">
        <w:t>1250/2 hodnotit jako akceptovatelný.</w:t>
      </w:r>
    </w:p>
    <w:bookmarkEnd w:id="35"/>
    <w:bookmarkEnd w:id="36"/>
    <w:p w:rsidR="00FC4039" w:rsidRPr="00C525CD" w:rsidRDefault="00FC4039" w:rsidP="00FC4039"/>
    <w:p w:rsidR="00043590" w:rsidRPr="00C525CD" w:rsidRDefault="00043590" w:rsidP="00043590">
      <w:pPr>
        <w:pStyle w:val="Nadpis1"/>
        <w:widowControl/>
        <w:numPr>
          <w:ilvl w:val="0"/>
          <w:numId w:val="6"/>
        </w:numPr>
        <w:tabs>
          <w:tab w:val="clear" w:pos="567"/>
        </w:tabs>
        <w:spacing w:after="0"/>
        <w:ind w:left="426" w:hanging="426"/>
      </w:pPr>
      <w:bookmarkStart w:id="37" w:name="_Toc73358439"/>
      <w:r w:rsidRPr="00C525CD">
        <w:lastRenderedPageBreak/>
        <w:t>vliv</w:t>
      </w:r>
      <w:r w:rsidR="00570AC1" w:rsidRPr="00C525CD">
        <w:t>y na lidské zdraví</w:t>
      </w:r>
      <w:bookmarkEnd w:id="37"/>
    </w:p>
    <w:p w:rsidR="00676887" w:rsidRPr="00C525CD" w:rsidRDefault="00676887" w:rsidP="00190CB0">
      <w:r w:rsidRPr="00C525CD">
        <w:t xml:space="preserve">Hodnocení vlivů na lidské zdraví je provedeno z hlediska expozice obyvatel v okolí posuzované změny ÚP chemickým látkám v ovzduší a hluku. </w:t>
      </w:r>
      <w:r w:rsidR="00977807" w:rsidRPr="00C525CD">
        <w:t xml:space="preserve">Podkladem pro hodnocení jsou výsledky modelových výpočtů, obsažené v předchozích kapitolách. </w:t>
      </w:r>
      <w:r w:rsidRPr="00C525CD">
        <w:t>V</w:t>
      </w:r>
      <w:r w:rsidR="00977807" w:rsidRPr="00C525CD">
        <w:t> </w:t>
      </w:r>
      <w:r w:rsidRPr="00C525CD">
        <w:t>hodnocení jsou uvažovány pouze vlivy působící při běžném provozu, jeho výsledky není možno vztáhnout na případy zvláštních situací, včetně havárií.</w:t>
      </w:r>
    </w:p>
    <w:p w:rsidR="00676887" w:rsidRPr="00C525CD" w:rsidRDefault="00676887" w:rsidP="00190CB0"/>
    <w:p w:rsidR="00676887" w:rsidRPr="00C525CD" w:rsidRDefault="00676887" w:rsidP="00676887">
      <w:pPr>
        <w:pStyle w:val="Nadpis2"/>
        <w:numPr>
          <w:ilvl w:val="1"/>
          <w:numId w:val="4"/>
        </w:numPr>
      </w:pPr>
      <w:bookmarkStart w:id="38" w:name="_Toc100660693"/>
      <w:bookmarkStart w:id="39" w:name="_Toc59530261"/>
      <w:bookmarkStart w:id="40" w:name="_Toc73358440"/>
      <w:r w:rsidRPr="00C525CD">
        <w:t>Metodika hodnocení</w:t>
      </w:r>
      <w:bookmarkEnd w:id="38"/>
      <w:bookmarkEnd w:id="39"/>
      <w:bookmarkEnd w:id="40"/>
    </w:p>
    <w:p w:rsidR="00676887" w:rsidRPr="00C525CD" w:rsidRDefault="00676887" w:rsidP="00676887">
      <w:r w:rsidRPr="00C525CD">
        <w:t>Použitá metodika hodnocení vychází ze základních metodických postupů hodnocení zdravotních rizik (Health Risk Assessment) vypracovaných americkou Agenturou pro ochranu životního prostředí (US EPA) a s využitím autorizačních návodů SZÚ k hodnocení zdravotního rizika expozice chemickým látkám ve venkovním ovzduší AN 17/15 [</w:t>
      </w:r>
      <w:r w:rsidR="00B168C6" w:rsidRPr="00C525CD">
        <w:t>19</w:t>
      </w:r>
      <w:r w:rsidRPr="00C525CD">
        <w:t>], k hodnocení zdravotního rizika expozice hluku [</w:t>
      </w:r>
      <w:r w:rsidR="00B168C6" w:rsidRPr="00C525CD">
        <w:t>20</w:t>
      </w:r>
      <w:r w:rsidRPr="00C525CD">
        <w:t>] a odborné literatury [</w:t>
      </w:r>
      <w:r w:rsidR="00B168C6" w:rsidRPr="00C525CD">
        <w:t>21</w:t>
      </w:r>
      <w:r w:rsidRPr="00C525CD">
        <w:t>]. Postup hodnocení zdravotního rizika je sestaven ze čtyř navazujících kroků:</w:t>
      </w:r>
    </w:p>
    <w:p w:rsidR="00676887" w:rsidRPr="00C525CD" w:rsidRDefault="00676887" w:rsidP="00676887">
      <w:pPr>
        <w:pStyle w:val="Seznamsodrkami"/>
        <w:tabs>
          <w:tab w:val="clear" w:pos="284"/>
          <w:tab w:val="clear" w:pos="720"/>
          <w:tab w:val="num" w:pos="360"/>
        </w:tabs>
        <w:ind w:left="360"/>
      </w:pPr>
      <w:r w:rsidRPr="00C525CD">
        <w:rPr>
          <w:b/>
          <w:bCs/>
        </w:rPr>
        <w:t>Identifikace nebezpečnosti</w:t>
      </w:r>
      <w:r w:rsidRPr="00C525CD">
        <w:t xml:space="preserve"> – jedná se o určení faktorů, které mají být hodnoceny, popis jejich vlastností se zaměřením na nebezpečnost pro člověka a podmínky, za kterých se může projevit.</w:t>
      </w:r>
    </w:p>
    <w:p w:rsidR="00676887" w:rsidRPr="00C525CD" w:rsidRDefault="00676887" w:rsidP="00676887">
      <w:pPr>
        <w:pStyle w:val="Seznamsodrkami"/>
        <w:tabs>
          <w:tab w:val="clear" w:pos="284"/>
          <w:tab w:val="clear" w:pos="720"/>
          <w:tab w:val="num" w:pos="360"/>
        </w:tabs>
        <w:ind w:left="360"/>
      </w:pPr>
      <w:r w:rsidRPr="00C525CD">
        <w:rPr>
          <w:b/>
          <w:bCs/>
        </w:rPr>
        <w:t xml:space="preserve">Určení vztahu dávky a účinku </w:t>
      </w:r>
      <w:r w:rsidRPr="00C525CD">
        <w:t xml:space="preserve">– kvantitativně hodnotí vztah mezi úrovní expozice danému faktoru (látce v ovzduší a mírou rizika). </w:t>
      </w:r>
    </w:p>
    <w:p w:rsidR="00676887" w:rsidRPr="00C525CD" w:rsidRDefault="00676887" w:rsidP="00676887">
      <w:pPr>
        <w:pStyle w:val="Seznamsodrkami"/>
        <w:tabs>
          <w:tab w:val="clear" w:pos="284"/>
          <w:tab w:val="clear" w:pos="720"/>
          <w:tab w:val="num" w:pos="360"/>
        </w:tabs>
        <w:ind w:left="360"/>
      </w:pPr>
      <w:r w:rsidRPr="00C525CD">
        <w:rPr>
          <w:b/>
          <w:bCs/>
        </w:rPr>
        <w:t>Hodnocení expozice</w:t>
      </w:r>
      <w:r w:rsidRPr="00C525CD">
        <w:t xml:space="preserve"> – obsahuje kvalitativní vyjádření kontaktu hodnoceného faktoru s hranicemi organismu a kvantitativní vyjádření intenzity tohoto kontaktu. Cílem je získat informaci, jakými cestami, v jaké míře a v jakém množství je konkrétní populace vystavena působení hodnocené chemické látky, apod.</w:t>
      </w:r>
    </w:p>
    <w:p w:rsidR="00676887" w:rsidRPr="00C525CD" w:rsidRDefault="00676887" w:rsidP="00676887">
      <w:pPr>
        <w:pStyle w:val="Seznamsodrkami"/>
        <w:tabs>
          <w:tab w:val="clear" w:pos="284"/>
          <w:tab w:val="clear" w:pos="720"/>
          <w:tab w:val="num" w:pos="360"/>
        </w:tabs>
        <w:ind w:left="360"/>
      </w:pPr>
      <w:r w:rsidRPr="00C525CD">
        <w:rPr>
          <w:b/>
          <w:bCs/>
        </w:rPr>
        <w:t>Charakterizace rizika</w:t>
      </w:r>
      <w:r w:rsidRPr="00C525CD">
        <w:t xml:space="preserve"> – obsahem této etapy je vyjádření míry zdravotního rizika exponované populace na základě poznatků o nebezpečnosti působícího faktoru a odhadu konkrétní expoziční úrovně. Jedná se o kvalitativní a kvantitativní popis odhadnutého zdravotního rizika pro sledovanou populaci, tj. výčet všech možných zdravotních poškození u sledované populace a uvedení pravděpodobnosti jejich vzniku. Je nutno popsat všechny výchozí podmínky a fakta zahrnutá do postupu hodnocení rizik, jakož i všechna zjednodušení a nejistoty, které se zde promítají. Takto hodnocená rizika je vždy nutno považovat za potenciální, avšak dostatečně pravděpodobná pro populaci v zájmovém území.</w:t>
      </w:r>
    </w:p>
    <w:p w:rsidR="00676887" w:rsidRPr="00C525CD" w:rsidRDefault="00676887" w:rsidP="00190CB0"/>
    <w:p w:rsidR="00977807" w:rsidRPr="00C525CD" w:rsidRDefault="00977807" w:rsidP="00B04485">
      <w:pPr>
        <w:pStyle w:val="Nadpis2"/>
        <w:keepLines/>
        <w:numPr>
          <w:ilvl w:val="1"/>
          <w:numId w:val="4"/>
        </w:numPr>
      </w:pPr>
      <w:bookmarkStart w:id="41" w:name="_Toc59530264"/>
      <w:bookmarkStart w:id="42" w:name="_Toc73358441"/>
      <w:r w:rsidRPr="00C525CD">
        <w:lastRenderedPageBreak/>
        <w:t>Vlivy znečištění ovzduší na zdraví obyvatel</w:t>
      </w:r>
      <w:bookmarkEnd w:id="41"/>
      <w:bookmarkEnd w:id="42"/>
      <w:r w:rsidRPr="00C525CD">
        <w:t xml:space="preserve"> </w:t>
      </w:r>
    </w:p>
    <w:p w:rsidR="00977807" w:rsidRPr="00C525CD" w:rsidRDefault="00977807" w:rsidP="00B04485">
      <w:pPr>
        <w:pStyle w:val="Nadpis3"/>
        <w:keepLines/>
        <w:widowControl/>
        <w:numPr>
          <w:ilvl w:val="2"/>
          <w:numId w:val="4"/>
        </w:numPr>
        <w:spacing w:line="288" w:lineRule="auto"/>
      </w:pPr>
      <w:bookmarkStart w:id="43" w:name="_Toc206912492"/>
      <w:bookmarkStart w:id="44" w:name="_Toc272838615"/>
      <w:bookmarkStart w:id="45" w:name="_Toc59530265"/>
      <w:r w:rsidRPr="00C525CD">
        <w:t>Identifikace nebezpečnosti a vztahů dávka – účinek</w:t>
      </w:r>
      <w:bookmarkEnd w:id="43"/>
      <w:bookmarkEnd w:id="44"/>
      <w:bookmarkEnd w:id="45"/>
    </w:p>
    <w:p w:rsidR="00977807" w:rsidRPr="00C525CD" w:rsidRDefault="00977807" w:rsidP="00B04485">
      <w:pPr>
        <w:keepNext/>
        <w:keepLines/>
        <w:widowControl/>
        <w:ind w:firstLine="0"/>
        <w:rPr>
          <w:b/>
        </w:rPr>
      </w:pPr>
      <w:bookmarkStart w:id="46" w:name="_Toc206912495"/>
      <w:bookmarkStart w:id="47" w:name="_Toc272838618"/>
      <w:bookmarkStart w:id="48" w:name="_Toc59530266"/>
      <w:r w:rsidRPr="00C525CD">
        <w:rPr>
          <w:b/>
        </w:rPr>
        <w:t>Suspendované částice</w:t>
      </w:r>
      <w:bookmarkEnd w:id="46"/>
      <w:bookmarkEnd w:id="47"/>
      <w:bookmarkEnd w:id="48"/>
    </w:p>
    <w:p w:rsidR="00977807" w:rsidRPr="00C525CD" w:rsidRDefault="00977807" w:rsidP="00977807">
      <w:pPr>
        <w:widowControl/>
        <w:ind w:firstLine="708"/>
      </w:pPr>
      <w:r w:rsidRPr="00C525CD">
        <w:t xml:space="preserve">Suspendované částice v ovzduší představují složitou směs organických a anorganických látek. Jsou produkovány jak ve venkovním, tak i ve vnitřním prostředí. Jsou tedy důležitým faktorem, který způsobuje zhoršení zdravotního stavu. </w:t>
      </w:r>
    </w:p>
    <w:p w:rsidR="00977807" w:rsidRPr="00C525CD" w:rsidRDefault="00977807" w:rsidP="00977807">
      <w:pPr>
        <w:widowControl/>
        <w:ind w:firstLine="708"/>
      </w:pPr>
      <w:r w:rsidRPr="00C525CD">
        <w:t>Suspendované částice mají různou velikost, hmotnost a složení. Obecně je možné konstatovat, že:</w:t>
      </w:r>
    </w:p>
    <w:p w:rsidR="00977807" w:rsidRPr="00C525CD" w:rsidRDefault="00977807" w:rsidP="00977807">
      <w:pPr>
        <w:pStyle w:val="Seznamsodrkami"/>
        <w:tabs>
          <w:tab w:val="clear" w:pos="284"/>
          <w:tab w:val="clear" w:pos="720"/>
          <w:tab w:val="num" w:pos="360"/>
        </w:tabs>
        <w:ind w:left="360"/>
      </w:pPr>
      <w:r w:rsidRPr="00C525CD">
        <w:t xml:space="preserve">při spalování pevných paliv bez odlučovačů převažují v emisích částice s aerodynamickým průměrem nad 10 </w:t>
      </w:r>
      <w:r w:rsidRPr="00C525CD">
        <w:rPr>
          <w:rFonts w:ascii="Symbol" w:hAnsi="Symbol"/>
        </w:rPr>
        <w:t></w:t>
      </w:r>
      <w:r w:rsidRPr="00C525CD">
        <w:t>m, při spalování kapalných paliv je zastoupení těchto částic menší, avšak rovněž významné. S účinností odlučovače se zastoupení „hrubších frakcí“ výrazně snižuje, neboť tato zařízení odstraňují nejúčinněji právě velké částice prachu.</w:t>
      </w:r>
    </w:p>
    <w:p w:rsidR="00977807" w:rsidRPr="00C525CD" w:rsidRDefault="00977807" w:rsidP="00977807">
      <w:pPr>
        <w:pStyle w:val="Seznamsodrkami"/>
        <w:tabs>
          <w:tab w:val="clear" w:pos="284"/>
          <w:tab w:val="clear" w:pos="720"/>
          <w:tab w:val="num" w:pos="360"/>
        </w:tabs>
        <w:ind w:left="360"/>
      </w:pPr>
      <w:r w:rsidRPr="00C525CD">
        <w:t>ve zvířeném prachu v okolí silnic a průmyslových areálů lze obecně předpokládat nízké zastoupení jemných částic, podíl jednotlivých velikostních frakcí je však závislý na složení usazených částic, které byly zvířeny.</w:t>
      </w:r>
    </w:p>
    <w:p w:rsidR="00977807" w:rsidRPr="00C525CD" w:rsidRDefault="00977807" w:rsidP="00977807">
      <w:pPr>
        <w:pStyle w:val="Seznamsodrkami"/>
        <w:tabs>
          <w:tab w:val="clear" w:pos="284"/>
          <w:tab w:val="clear" w:pos="720"/>
          <w:tab w:val="num" w:pos="360"/>
        </w:tabs>
        <w:ind w:left="360"/>
      </w:pPr>
      <w:r w:rsidRPr="00C525CD">
        <w:t xml:space="preserve">v emisích z výfuků motorových vozidel jednoznačně dominují jemné částice do 2,5 </w:t>
      </w:r>
      <w:r w:rsidRPr="00C525CD">
        <w:rPr>
          <w:rFonts w:ascii="Symbol" w:hAnsi="Symbol"/>
        </w:rPr>
        <w:t></w:t>
      </w:r>
      <w:r w:rsidRPr="00C525CD">
        <w:t xml:space="preserve">m (podíl částic se pohybuje okolo 90 %), většina emitovaných částic je menších než 1 </w:t>
      </w:r>
      <w:r w:rsidRPr="00C525CD">
        <w:rPr>
          <w:rFonts w:ascii="Symbol" w:hAnsi="Symbol"/>
        </w:rPr>
        <w:t></w:t>
      </w:r>
      <w:r w:rsidRPr="00C525CD">
        <w:t xml:space="preserve">m. </w:t>
      </w:r>
    </w:p>
    <w:p w:rsidR="00977807" w:rsidRPr="00C525CD" w:rsidRDefault="00977807" w:rsidP="00977807">
      <w:pPr>
        <w:pStyle w:val="Seznamsodrkami"/>
        <w:tabs>
          <w:tab w:val="clear" w:pos="284"/>
          <w:tab w:val="clear" w:pos="720"/>
          <w:tab w:val="num" w:pos="360"/>
        </w:tabs>
        <w:ind w:left="360"/>
      </w:pPr>
      <w:r w:rsidRPr="00C525CD">
        <w:t xml:space="preserve">rovněž naprostá většina aerosolů vzniklých sekundárně v ovzduší (kondenzací plynných látek) je tvořena převážně jemnými částicemi do 2,5 </w:t>
      </w:r>
      <w:r w:rsidRPr="00C525CD">
        <w:rPr>
          <w:rFonts w:ascii="Symbol" w:hAnsi="Symbol"/>
        </w:rPr>
        <w:t></w:t>
      </w:r>
      <w:r w:rsidRPr="00C525CD">
        <w:t>m [</w:t>
      </w:r>
      <w:r w:rsidR="00B168C6" w:rsidRPr="00C525CD">
        <w:t>22</w:t>
      </w:r>
      <w:r w:rsidRPr="00C525CD">
        <w:t>].</w:t>
      </w:r>
    </w:p>
    <w:p w:rsidR="00977807" w:rsidRPr="00C525CD" w:rsidRDefault="00977807" w:rsidP="00977807">
      <w:pPr>
        <w:widowControl/>
        <w:suppressAutoHyphens/>
      </w:pPr>
      <w:r w:rsidRPr="00C525CD">
        <w:t xml:space="preserve">Většina vlivů suspendovaných částic na zdraví spadá do oblasti dýchací a kardiovaskulární soustavy. Hlavní účinky působení suspendovaných částic </w:t>
      </w:r>
      <w:r w:rsidRPr="00C525CD">
        <w:br/>
        <w:t xml:space="preserve">na dýchací soustavu zahrnují dráždění dýchacích cest, exacerbaci existujících onemocnění, zvýšenou sekreci hlenu v průduškách a snížení obranyschopnosti dýchacího traktu vůči infekci. Suspendované částice však mají i další zdravotní účinky mimo respirační soustavu. Jedná se především o urychlení procesu aterosklerózy </w:t>
      </w:r>
      <w:r w:rsidRPr="00C525CD">
        <w:br/>
        <w:t xml:space="preserve">nebo ovlivnění nervové regulace srdeční činnosti pronikáním ultra jemných částic </w:t>
      </w:r>
      <w:r w:rsidRPr="00C525CD">
        <w:br/>
        <w:t>do nervového systému [</w:t>
      </w:r>
      <w:r w:rsidR="00B168C6" w:rsidRPr="00C525CD">
        <w:t>22</w:t>
      </w:r>
      <w:r w:rsidRPr="00C525CD">
        <w:t xml:space="preserve">]. Prokazatelný zdravotní účinek expozice suspendovaným částicím se uvádí již při průměrných ročních koncentracích částic </w:t>
      </w:r>
      <w:r w:rsidRPr="00C525CD">
        <w:br/>
        <w:t>PM</w:t>
      </w:r>
      <w:r w:rsidRPr="00C525CD">
        <w:rPr>
          <w:vertAlign w:val="subscript"/>
        </w:rPr>
        <w:t>2,5</w:t>
      </w:r>
      <w:r w:rsidRPr="00C525CD">
        <w:t xml:space="preserve"> 11 – 15 µg.m</w:t>
      </w:r>
      <w:r w:rsidRPr="00C525CD">
        <w:rPr>
          <w:vertAlign w:val="superscript"/>
        </w:rPr>
        <w:t>-3</w:t>
      </w:r>
      <w:r w:rsidRPr="00C525CD">
        <w:t>. Specifické zdravotní účinky expozice suspendovaným částicím je však značně obtížné hodnotit, neboť silně závisí na velikosti částic a jejich složení. K obecnému (indikačnímu) hodnocení se proto používají epidemiologické ukazatele mortality (úmrtnosti) a morbidity (nemocnosti). WHO [</w:t>
      </w:r>
      <w:r w:rsidR="00B168C6" w:rsidRPr="00C525CD">
        <w:t>22</w:t>
      </w:r>
      <w:r w:rsidRPr="00C525CD">
        <w:t xml:space="preserve">] uvádí pro krátkodobou expozici vzestup celkové mortality o 0,5 % při zvýšení denní koncentrace </w:t>
      </w:r>
      <w:r w:rsidRPr="00C525CD">
        <w:br/>
        <w:t>PM</w:t>
      </w:r>
      <w:r w:rsidRPr="00C525CD">
        <w:rPr>
          <w:vertAlign w:val="subscript"/>
        </w:rPr>
        <w:t>2,5</w:t>
      </w:r>
      <w:r w:rsidRPr="00C525CD">
        <w:t xml:space="preserve"> o 5 µg.m</w:t>
      </w:r>
      <w:r w:rsidRPr="00C525CD">
        <w:rPr>
          <w:vertAlign w:val="superscript"/>
        </w:rPr>
        <w:t>-3</w:t>
      </w:r>
      <w:r w:rsidRPr="00C525CD">
        <w:t>. Pro chronickou expozici se uvádí nárůst mortality o 6 % při zvýšení průměrných ročních koncentrací PM</w:t>
      </w:r>
      <w:r w:rsidRPr="00C525CD">
        <w:rPr>
          <w:vertAlign w:val="subscript"/>
        </w:rPr>
        <w:t>2,5</w:t>
      </w:r>
      <w:r w:rsidRPr="00C525CD">
        <w:t xml:space="preserve"> o 10 µg.m</w:t>
      </w:r>
      <w:r w:rsidRPr="00C525CD">
        <w:rPr>
          <w:vertAlign w:val="superscript"/>
        </w:rPr>
        <w:t>-3</w:t>
      </w:r>
      <w:r w:rsidRPr="00C525CD">
        <w:t>. Směrné hodnoty WHO [</w:t>
      </w:r>
      <w:r w:rsidR="00B168C6" w:rsidRPr="00C525CD">
        <w:t>22</w:t>
      </w:r>
      <w:r w:rsidRPr="00C525CD">
        <w:t>] jsou pak uvedeny v následující výši:</w:t>
      </w:r>
    </w:p>
    <w:p w:rsidR="00977807" w:rsidRPr="00C525CD" w:rsidRDefault="00977807" w:rsidP="00977807">
      <w:pPr>
        <w:pStyle w:val="Seznamsodrkami"/>
        <w:tabs>
          <w:tab w:val="clear" w:pos="284"/>
          <w:tab w:val="clear" w:pos="720"/>
          <w:tab w:val="num" w:pos="360"/>
        </w:tabs>
        <w:ind w:left="360"/>
      </w:pPr>
      <w:r w:rsidRPr="00C525CD">
        <w:t>částice PM</w:t>
      </w:r>
      <w:r w:rsidRPr="00C525CD">
        <w:rPr>
          <w:vertAlign w:val="subscript"/>
        </w:rPr>
        <w:t>2,5</w:t>
      </w:r>
      <w:r w:rsidRPr="00C525CD">
        <w:t xml:space="preserve"> – 10 µg.m</w:t>
      </w:r>
      <w:r w:rsidRPr="00C525CD">
        <w:rPr>
          <w:vertAlign w:val="superscript"/>
        </w:rPr>
        <w:t>-3</w:t>
      </w:r>
      <w:r w:rsidRPr="00C525CD">
        <w:t xml:space="preserve"> pro průměrné roční koncentrace a 25 µg.m</w:t>
      </w:r>
      <w:r w:rsidRPr="00C525CD">
        <w:rPr>
          <w:vertAlign w:val="superscript"/>
        </w:rPr>
        <w:t>-3</w:t>
      </w:r>
      <w:r w:rsidRPr="00C525CD">
        <w:t xml:space="preserve"> pro 24-hodinové koncentrace</w:t>
      </w:r>
    </w:p>
    <w:p w:rsidR="00977807" w:rsidRPr="00C525CD" w:rsidRDefault="00977807" w:rsidP="00977807">
      <w:pPr>
        <w:pStyle w:val="Seznamsodrkami"/>
        <w:tabs>
          <w:tab w:val="clear" w:pos="284"/>
          <w:tab w:val="clear" w:pos="720"/>
          <w:tab w:val="num" w:pos="360"/>
        </w:tabs>
        <w:ind w:left="360"/>
      </w:pPr>
      <w:r w:rsidRPr="00C525CD">
        <w:lastRenderedPageBreak/>
        <w:t>částice PM</w:t>
      </w:r>
      <w:r w:rsidRPr="00C525CD">
        <w:rPr>
          <w:vertAlign w:val="subscript"/>
        </w:rPr>
        <w:t>10</w:t>
      </w:r>
      <w:r w:rsidRPr="00C525CD">
        <w:t xml:space="preserve"> – 20 µg.m</w:t>
      </w:r>
      <w:r w:rsidRPr="00C525CD">
        <w:rPr>
          <w:vertAlign w:val="superscript"/>
        </w:rPr>
        <w:t>-3</w:t>
      </w:r>
      <w:r w:rsidRPr="00C525CD">
        <w:t xml:space="preserve"> pro průměrné roční koncentrace a 50 µg.m</w:t>
      </w:r>
      <w:r w:rsidRPr="00C525CD">
        <w:rPr>
          <w:vertAlign w:val="superscript"/>
        </w:rPr>
        <w:t>-3</w:t>
      </w:r>
      <w:r w:rsidRPr="00C525CD">
        <w:t xml:space="preserve"> pro 24-hodinové koncentrace</w:t>
      </w:r>
    </w:p>
    <w:p w:rsidR="00977807" w:rsidRPr="00C525CD" w:rsidRDefault="00977807" w:rsidP="00977807">
      <w:pPr>
        <w:widowControl/>
        <w:ind w:firstLine="708"/>
      </w:pPr>
      <w:r w:rsidRPr="00C525CD">
        <w:t>Imisní limity jsou v ČR stanoveny pro suspendované částice PM</w:t>
      </w:r>
      <w:r w:rsidRPr="00C525CD">
        <w:rPr>
          <w:vertAlign w:val="subscript"/>
        </w:rPr>
        <w:t>10</w:t>
      </w:r>
      <w:r w:rsidRPr="00C525CD">
        <w:t xml:space="preserve"> ve výši 40 µg.m</w:t>
      </w:r>
      <w:r w:rsidRPr="00C525CD">
        <w:rPr>
          <w:vertAlign w:val="superscript"/>
        </w:rPr>
        <w:t>-3</w:t>
      </w:r>
      <w:r w:rsidRPr="00C525CD">
        <w:t xml:space="preserve"> pro průměrné roční koncentrace a 50 µg.m</w:t>
      </w:r>
      <w:r w:rsidRPr="00C525CD">
        <w:rPr>
          <w:vertAlign w:val="superscript"/>
        </w:rPr>
        <w:t>-3</w:t>
      </w:r>
      <w:r w:rsidRPr="00C525CD">
        <w:t xml:space="preserve"> pro 24-hodinové hodnoty (s tolerovaným počtem 35 překročení v roce). Pro částice PM</w:t>
      </w:r>
      <w:r w:rsidRPr="00C525CD">
        <w:rPr>
          <w:vertAlign w:val="subscript"/>
        </w:rPr>
        <w:t>2,5</w:t>
      </w:r>
      <w:r w:rsidRPr="00C525CD">
        <w:t xml:space="preserve"> je stanoven pouze limit pro průměrné roční koncentrace, a to v současnosti ve výši 25 µg.m</w:t>
      </w:r>
      <w:r w:rsidRPr="00C525CD">
        <w:rPr>
          <w:vertAlign w:val="superscript"/>
        </w:rPr>
        <w:t>-3</w:t>
      </w:r>
      <w:r w:rsidRPr="00C525CD">
        <w:t>, od roku 2020 pak ve výši 20 µg.m</w:t>
      </w:r>
      <w:r w:rsidRPr="00C525CD">
        <w:rPr>
          <w:vertAlign w:val="superscript"/>
        </w:rPr>
        <w:t>-3</w:t>
      </w:r>
      <w:r w:rsidRPr="00C525CD">
        <w:t>.</w:t>
      </w:r>
    </w:p>
    <w:p w:rsidR="00977807" w:rsidRPr="00C525CD" w:rsidRDefault="00977807" w:rsidP="00977807">
      <w:pPr>
        <w:widowControl/>
        <w:ind w:firstLine="708"/>
      </w:pPr>
      <w:r w:rsidRPr="00C525CD">
        <w:t xml:space="preserve">V předkládaném hodnocení jsou pro kvantifikaci rizika z expozice suspendovaným částicím (a obdobně i oxidu dusičitému, viz dále) použity funkce koncentrace – účinek, publikované Světovou zdravotnickou organizací v rámci projektu </w:t>
      </w:r>
      <w:r w:rsidRPr="00C525CD">
        <w:rPr>
          <w:i/>
        </w:rPr>
        <w:t xml:space="preserve">Health risks of air pollution in Europe </w:t>
      </w:r>
      <w:r w:rsidRPr="00C525CD">
        <w:t>(HRAPIE) [</w:t>
      </w:r>
      <w:r w:rsidR="00B168C6" w:rsidRPr="00C525CD">
        <w:t>23</w:t>
      </w:r>
      <w:r w:rsidRPr="00C525CD">
        <w:t>]. Jedná se o vztahy odvozené na základě analýzy výsledků mnoha epidemiologických studií a dat o zdravotních ukazatelích u populace zemí EU. Jednotlivé faktory koncentrace a účinku jsou formulovány prostřednictvím relativního rizika (RR), které vyjadřuje rozdíl v pravděpodobnosti výskytu daného účinku v populaci exponované určitou úrovní koncentrací znečišťující látky vůči populaci neexponované. Vztah mezi koncentrací a pravděpodobností výskytu účinku (rizikem) je lineární. Pro vlastní charakterizaci rizika exponované populace se pak používá výpočet metodou atributivní frakce, popsaný v</w:t>
      </w:r>
      <w:r w:rsidR="00B168C6" w:rsidRPr="00C525CD">
        <w:t xml:space="preserve"> následující kapitole</w:t>
      </w:r>
      <w:r w:rsidRPr="00C525CD">
        <w:t xml:space="preserve">. </w:t>
      </w:r>
    </w:p>
    <w:p w:rsidR="00977807" w:rsidRPr="00C525CD" w:rsidRDefault="00977807" w:rsidP="00977807">
      <w:pPr>
        <w:widowControl/>
        <w:ind w:firstLine="708"/>
      </w:pPr>
      <w:r w:rsidRPr="00C525CD">
        <w:t>Doporučené vztahy jsou rozděleny do dvou skupin:</w:t>
      </w:r>
    </w:p>
    <w:p w:rsidR="00977807" w:rsidRPr="00C525CD" w:rsidRDefault="00977807" w:rsidP="00F172A0">
      <w:pPr>
        <w:pStyle w:val="Seznamsodrkami"/>
      </w:pPr>
      <w:r w:rsidRPr="00C525CD">
        <w:t>skupina A – k dispozici jsou dostatečné údaje pro spolehlivou kvantifikaci účinků</w:t>
      </w:r>
    </w:p>
    <w:p w:rsidR="00977807" w:rsidRPr="00C525CD" w:rsidRDefault="00977807" w:rsidP="00F172A0">
      <w:pPr>
        <w:pStyle w:val="Seznamsodrkami"/>
      </w:pPr>
      <w:r w:rsidRPr="00C525CD">
        <w:t>skupina B – údaje s vyšší mírou nejistoty ohledně přesnosti údajů použitých pro kvantifikaci účinků</w:t>
      </w:r>
    </w:p>
    <w:p w:rsidR="00977807" w:rsidRPr="00C525CD" w:rsidRDefault="00977807" w:rsidP="00977807">
      <w:pPr>
        <w:widowControl/>
        <w:ind w:firstLine="708"/>
      </w:pPr>
      <w:r w:rsidRPr="00C525CD">
        <w:t>V některých případech jsou dále kromě „základních“ výpočetních vztahů uvedeny i vztahy alternativní, použitelné v určitých situacích (např. není-li dostatek dat pro provedení výpočtu podle vztahu předchozího). Tabulka 6.1. shrnuje přehled hodnot relativního rizika, použitých v této studii, jedná se ve všech případech o „základní“ hodnoty RR. Uveden je vždy interval spolehlivosti (v závorce) a střední hodnota relativního rizika.</w:t>
      </w:r>
    </w:p>
    <w:p w:rsidR="00977807" w:rsidRPr="00C525CD" w:rsidRDefault="00977807" w:rsidP="00977807">
      <w:pPr>
        <w:keepNext/>
        <w:keepLines/>
        <w:widowControl/>
        <w:spacing w:before="240" w:after="120"/>
        <w:ind w:firstLine="0"/>
        <w:jc w:val="left"/>
        <w:rPr>
          <w:b/>
          <w:bCs/>
          <w:sz w:val="24"/>
        </w:rPr>
      </w:pPr>
      <w:r w:rsidRPr="00C525CD">
        <w:rPr>
          <w:b/>
          <w:bCs/>
          <w:sz w:val="24"/>
        </w:rPr>
        <w:t>Tab. 6.1. Faktory koncentrace – účinek – suspendované částice [</w:t>
      </w:r>
      <w:r w:rsidR="00B168C6" w:rsidRPr="00C525CD">
        <w:rPr>
          <w:b/>
          <w:bCs/>
          <w:sz w:val="24"/>
        </w:rPr>
        <w:t>23</w:t>
      </w:r>
      <w:r w:rsidRPr="00C525CD">
        <w:rPr>
          <w:b/>
          <w:bCs/>
          <w:sz w:val="24"/>
        </w:rPr>
        <w:t>]</w:t>
      </w:r>
    </w:p>
    <w:tbl>
      <w:tblPr>
        <w:tblW w:w="9072" w:type="dxa"/>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3"/>
        <w:gridCol w:w="2693"/>
        <w:gridCol w:w="1276"/>
        <w:gridCol w:w="992"/>
        <w:gridCol w:w="2268"/>
      </w:tblGrid>
      <w:tr w:rsidR="00977807" w:rsidRPr="00C525CD" w:rsidTr="008218F9">
        <w:trPr>
          <w:jc w:val="center"/>
        </w:trPr>
        <w:tc>
          <w:tcPr>
            <w:tcW w:w="1843" w:type="dxa"/>
            <w:tcBorders>
              <w:bottom w:val="single" w:sz="12" w:space="0" w:color="auto"/>
            </w:tcBorders>
            <w:shd w:val="clear" w:color="auto" w:fill="auto"/>
            <w:noWrap/>
            <w:vAlign w:val="center"/>
          </w:tcPr>
          <w:p w:rsidR="00977807" w:rsidRPr="00C525CD" w:rsidRDefault="00977807" w:rsidP="008218F9">
            <w:pPr>
              <w:keepNext/>
              <w:keepLines/>
              <w:widowControl/>
              <w:suppressAutoHyphens/>
              <w:spacing w:before="60" w:after="60" w:line="240" w:lineRule="auto"/>
              <w:ind w:firstLine="0"/>
              <w:jc w:val="left"/>
              <w:rPr>
                <w:b/>
                <w:sz w:val="20"/>
              </w:rPr>
            </w:pPr>
            <w:r w:rsidRPr="00C525CD">
              <w:rPr>
                <w:b/>
                <w:sz w:val="20"/>
              </w:rPr>
              <w:t>Imisní veličina</w:t>
            </w:r>
          </w:p>
        </w:tc>
        <w:tc>
          <w:tcPr>
            <w:tcW w:w="2693" w:type="dxa"/>
            <w:tcBorders>
              <w:bottom w:val="single" w:sz="12" w:space="0" w:color="auto"/>
            </w:tcBorders>
            <w:shd w:val="clear" w:color="auto" w:fill="auto"/>
            <w:noWrap/>
            <w:vAlign w:val="center"/>
          </w:tcPr>
          <w:p w:rsidR="00977807" w:rsidRPr="00C525CD" w:rsidRDefault="00977807" w:rsidP="008218F9">
            <w:pPr>
              <w:keepNext/>
              <w:keepLines/>
              <w:widowControl/>
              <w:suppressAutoHyphens/>
              <w:spacing w:before="60" w:after="60" w:line="240" w:lineRule="auto"/>
              <w:ind w:firstLine="0"/>
              <w:jc w:val="left"/>
              <w:rPr>
                <w:b/>
                <w:sz w:val="20"/>
              </w:rPr>
            </w:pPr>
            <w:r w:rsidRPr="00C525CD">
              <w:rPr>
                <w:b/>
                <w:sz w:val="20"/>
              </w:rPr>
              <w:t>Zdravotní účinek</w:t>
            </w:r>
          </w:p>
        </w:tc>
        <w:tc>
          <w:tcPr>
            <w:tcW w:w="1276" w:type="dxa"/>
            <w:tcBorders>
              <w:bottom w:val="single" w:sz="12" w:space="0" w:color="auto"/>
            </w:tcBorders>
            <w:shd w:val="clear" w:color="auto" w:fill="auto"/>
            <w:noWrap/>
            <w:vAlign w:val="center"/>
          </w:tcPr>
          <w:p w:rsidR="00977807" w:rsidRPr="00C525CD" w:rsidRDefault="00977807" w:rsidP="008218F9">
            <w:pPr>
              <w:keepNext/>
              <w:keepLines/>
              <w:widowControl/>
              <w:suppressAutoHyphens/>
              <w:spacing w:before="60" w:after="60" w:line="240" w:lineRule="auto"/>
              <w:ind w:firstLine="0"/>
              <w:jc w:val="left"/>
              <w:rPr>
                <w:b/>
                <w:sz w:val="20"/>
              </w:rPr>
            </w:pPr>
            <w:r w:rsidRPr="00C525CD">
              <w:rPr>
                <w:b/>
                <w:sz w:val="20"/>
              </w:rPr>
              <w:t>Segment populace</w:t>
            </w:r>
          </w:p>
        </w:tc>
        <w:tc>
          <w:tcPr>
            <w:tcW w:w="992" w:type="dxa"/>
            <w:tcBorders>
              <w:bottom w:val="single" w:sz="12" w:space="0" w:color="auto"/>
            </w:tcBorders>
            <w:shd w:val="clear" w:color="auto" w:fill="auto"/>
            <w:noWrap/>
            <w:vAlign w:val="center"/>
          </w:tcPr>
          <w:p w:rsidR="00977807" w:rsidRPr="00C525CD" w:rsidRDefault="00977807" w:rsidP="008218F9">
            <w:pPr>
              <w:keepNext/>
              <w:keepLines/>
              <w:widowControl/>
              <w:suppressAutoHyphens/>
              <w:spacing w:before="60" w:after="60" w:line="240" w:lineRule="auto"/>
              <w:ind w:firstLine="0"/>
              <w:jc w:val="left"/>
              <w:rPr>
                <w:b/>
                <w:sz w:val="20"/>
              </w:rPr>
            </w:pPr>
            <w:r w:rsidRPr="00C525CD">
              <w:rPr>
                <w:b/>
                <w:sz w:val="20"/>
              </w:rPr>
              <w:t>Skupina</w:t>
            </w:r>
          </w:p>
        </w:tc>
        <w:tc>
          <w:tcPr>
            <w:tcW w:w="2268" w:type="dxa"/>
            <w:tcBorders>
              <w:bottom w:val="single" w:sz="12" w:space="0" w:color="auto"/>
            </w:tcBorders>
            <w:shd w:val="clear" w:color="auto" w:fill="auto"/>
            <w:noWrap/>
            <w:vAlign w:val="center"/>
          </w:tcPr>
          <w:p w:rsidR="00977807" w:rsidRPr="00C525CD" w:rsidRDefault="00977807" w:rsidP="008218F9">
            <w:pPr>
              <w:keepNext/>
              <w:keepLines/>
              <w:widowControl/>
              <w:suppressAutoHyphens/>
              <w:spacing w:before="60" w:after="60" w:line="240" w:lineRule="auto"/>
              <w:ind w:firstLine="0"/>
              <w:jc w:val="left"/>
              <w:rPr>
                <w:b/>
                <w:sz w:val="20"/>
              </w:rPr>
            </w:pPr>
            <w:r w:rsidRPr="00C525CD">
              <w:rPr>
                <w:b/>
                <w:sz w:val="20"/>
              </w:rPr>
              <w:t xml:space="preserve">RR při zvýšení </w:t>
            </w:r>
            <w:r w:rsidRPr="00C525CD">
              <w:rPr>
                <w:b/>
                <w:sz w:val="20"/>
              </w:rPr>
              <w:br/>
              <w:t>koncentrace o 10 µg.m</w:t>
            </w:r>
            <w:r w:rsidRPr="00C525CD">
              <w:rPr>
                <w:b/>
                <w:sz w:val="20"/>
                <w:vertAlign w:val="superscript"/>
              </w:rPr>
              <w:t>-3</w:t>
            </w:r>
          </w:p>
        </w:tc>
      </w:tr>
      <w:tr w:rsidR="00977807" w:rsidRPr="00C525CD" w:rsidTr="008218F9">
        <w:trPr>
          <w:jc w:val="center"/>
        </w:trPr>
        <w:tc>
          <w:tcPr>
            <w:tcW w:w="1843" w:type="dxa"/>
            <w:tcBorders>
              <w:top w:val="single" w:sz="12" w:space="0" w:color="auto"/>
              <w:bottom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PM</w:t>
            </w:r>
            <w:r w:rsidRPr="00C525CD">
              <w:rPr>
                <w:sz w:val="20"/>
                <w:vertAlign w:val="subscript"/>
              </w:rPr>
              <w:t>2,5</w:t>
            </w:r>
            <w:r w:rsidRPr="00C525CD">
              <w:rPr>
                <w:sz w:val="20"/>
              </w:rPr>
              <w:t xml:space="preserve"> roční průměr</w:t>
            </w:r>
          </w:p>
        </w:tc>
        <w:tc>
          <w:tcPr>
            <w:tcW w:w="2693" w:type="dxa"/>
            <w:tcBorders>
              <w:top w:val="single" w:sz="12" w:space="0" w:color="auto"/>
              <w:bottom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 xml:space="preserve">úmrtnost u dospělých </w:t>
            </w:r>
          </w:p>
        </w:tc>
        <w:tc>
          <w:tcPr>
            <w:tcW w:w="1276" w:type="dxa"/>
            <w:tcBorders>
              <w:top w:val="single" w:sz="12" w:space="0" w:color="auto"/>
              <w:bottom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&gt; 30 let</w:t>
            </w:r>
          </w:p>
        </w:tc>
        <w:tc>
          <w:tcPr>
            <w:tcW w:w="992" w:type="dxa"/>
            <w:tcBorders>
              <w:top w:val="single" w:sz="12" w:space="0" w:color="auto"/>
              <w:bottom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center"/>
              <w:rPr>
                <w:sz w:val="20"/>
              </w:rPr>
            </w:pPr>
            <w:r w:rsidRPr="00C525CD">
              <w:rPr>
                <w:sz w:val="20"/>
              </w:rPr>
              <w:t>A</w:t>
            </w:r>
          </w:p>
        </w:tc>
        <w:tc>
          <w:tcPr>
            <w:tcW w:w="2268" w:type="dxa"/>
            <w:tcBorders>
              <w:top w:val="single" w:sz="12" w:space="0" w:color="auto"/>
              <w:bottom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 xml:space="preserve">1,062 </w:t>
            </w:r>
            <w:r w:rsidRPr="00C525CD">
              <w:rPr>
                <w:sz w:val="20"/>
              </w:rPr>
              <w:br/>
              <w:t>(1,040 – 1,083)</w:t>
            </w:r>
          </w:p>
        </w:tc>
      </w:tr>
      <w:tr w:rsidR="00977807" w:rsidRPr="00C525CD" w:rsidTr="008218F9">
        <w:trPr>
          <w:jc w:val="center"/>
        </w:trPr>
        <w:tc>
          <w:tcPr>
            <w:tcW w:w="1843" w:type="dxa"/>
            <w:tcBorders>
              <w:top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PM</w:t>
            </w:r>
            <w:r w:rsidRPr="00C525CD">
              <w:rPr>
                <w:sz w:val="20"/>
                <w:vertAlign w:val="subscript"/>
              </w:rPr>
              <w:t>10</w:t>
            </w:r>
            <w:r w:rsidRPr="00C525CD">
              <w:rPr>
                <w:sz w:val="20"/>
              </w:rPr>
              <w:t xml:space="preserve"> roční průměr</w:t>
            </w:r>
          </w:p>
        </w:tc>
        <w:tc>
          <w:tcPr>
            <w:tcW w:w="2693" w:type="dxa"/>
            <w:tcBorders>
              <w:top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 xml:space="preserve">kojenecká úmrtnost </w:t>
            </w:r>
          </w:p>
        </w:tc>
        <w:tc>
          <w:tcPr>
            <w:tcW w:w="1276" w:type="dxa"/>
            <w:tcBorders>
              <w:top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0-1 rok</w:t>
            </w:r>
          </w:p>
        </w:tc>
        <w:tc>
          <w:tcPr>
            <w:tcW w:w="992" w:type="dxa"/>
            <w:tcBorders>
              <w:top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center"/>
              <w:rPr>
                <w:sz w:val="20"/>
              </w:rPr>
            </w:pPr>
            <w:r w:rsidRPr="00C525CD">
              <w:rPr>
                <w:sz w:val="20"/>
              </w:rPr>
              <w:t>B</w:t>
            </w:r>
          </w:p>
        </w:tc>
        <w:tc>
          <w:tcPr>
            <w:tcW w:w="2268" w:type="dxa"/>
            <w:tcBorders>
              <w:top w:val="single" w:sz="4" w:space="0" w:color="auto"/>
            </w:tcBorders>
            <w:shd w:val="clear" w:color="auto" w:fill="auto"/>
            <w:noWrap/>
            <w:vAlign w:val="center"/>
          </w:tcPr>
          <w:p w:rsidR="00977807" w:rsidRPr="00C525CD" w:rsidRDefault="00977807" w:rsidP="008218F9">
            <w:pPr>
              <w:keepNext/>
              <w:keepLines/>
              <w:widowControl/>
              <w:suppressAutoHyphens/>
              <w:spacing w:before="0" w:line="240" w:lineRule="auto"/>
              <w:ind w:firstLine="0"/>
              <w:jc w:val="left"/>
              <w:rPr>
                <w:sz w:val="20"/>
              </w:rPr>
            </w:pPr>
            <w:r w:rsidRPr="00C525CD">
              <w:rPr>
                <w:sz w:val="20"/>
              </w:rPr>
              <w:t xml:space="preserve">1,04 </w:t>
            </w:r>
            <w:r w:rsidRPr="00C525CD">
              <w:rPr>
                <w:sz w:val="20"/>
              </w:rPr>
              <w:br/>
              <w:t>(1,02 – 1,07)</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10</w:t>
            </w:r>
            <w:r w:rsidRPr="00C525CD">
              <w:rPr>
                <w:sz w:val="20"/>
              </w:rPr>
              <w:t xml:space="preserve"> roční průměr</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prevalence bronchitidy u dětí</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6-12 let</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1,08 </w:t>
            </w:r>
          </w:p>
          <w:p w:rsidR="00977807" w:rsidRPr="00C525CD" w:rsidRDefault="00977807" w:rsidP="008218F9">
            <w:pPr>
              <w:widowControl/>
              <w:suppressAutoHyphens/>
              <w:spacing w:before="0" w:line="240" w:lineRule="auto"/>
              <w:ind w:firstLine="0"/>
              <w:jc w:val="left"/>
              <w:rPr>
                <w:sz w:val="20"/>
              </w:rPr>
            </w:pPr>
            <w:r w:rsidRPr="00C525CD">
              <w:rPr>
                <w:sz w:val="20"/>
              </w:rPr>
              <w:t>(0,98 – 1,19)</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10</w:t>
            </w:r>
            <w:r w:rsidRPr="00C525CD">
              <w:rPr>
                <w:sz w:val="20"/>
              </w:rPr>
              <w:t xml:space="preserve"> roční průměr</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incidence chronické bronchitidy u dospělých </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&gt; 18 let</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1,117 </w:t>
            </w:r>
          </w:p>
          <w:p w:rsidR="00977807" w:rsidRPr="00C525CD" w:rsidRDefault="00977807" w:rsidP="008218F9">
            <w:pPr>
              <w:widowControl/>
              <w:suppressAutoHyphens/>
              <w:spacing w:before="0" w:line="240" w:lineRule="auto"/>
              <w:ind w:firstLine="0"/>
              <w:jc w:val="left"/>
              <w:rPr>
                <w:sz w:val="20"/>
              </w:rPr>
            </w:pPr>
            <w:r w:rsidRPr="00C525CD">
              <w:rPr>
                <w:sz w:val="20"/>
              </w:rPr>
              <w:t>(1,040 – 1,189)</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lastRenderedPageBreak/>
              <w:t>PM</w:t>
            </w:r>
            <w:r w:rsidRPr="00C525CD">
              <w:rPr>
                <w:sz w:val="20"/>
                <w:vertAlign w:val="subscript"/>
              </w:rPr>
              <w:t>2,5</w:t>
            </w:r>
            <w:r w:rsidRPr="00C525CD">
              <w:rPr>
                <w:sz w:val="20"/>
              </w:rPr>
              <w:t xml:space="preserve"> denní průměr</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hospitalizace s kardiovaskulárními chorobami </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všichni</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A</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1,0091 </w:t>
            </w:r>
          </w:p>
          <w:p w:rsidR="00977807" w:rsidRPr="00C525CD" w:rsidRDefault="00977807" w:rsidP="008218F9">
            <w:pPr>
              <w:widowControl/>
              <w:suppressAutoHyphens/>
              <w:spacing w:before="0" w:line="240" w:lineRule="auto"/>
              <w:ind w:firstLine="0"/>
              <w:jc w:val="left"/>
              <w:rPr>
                <w:sz w:val="20"/>
              </w:rPr>
            </w:pPr>
            <w:r w:rsidRPr="00C525CD">
              <w:rPr>
                <w:sz w:val="20"/>
              </w:rPr>
              <w:t>(1,0017 – 1,0166)</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2,5</w:t>
            </w:r>
            <w:r w:rsidRPr="00C525CD">
              <w:rPr>
                <w:sz w:val="20"/>
              </w:rPr>
              <w:t xml:space="preserve"> denní průměr</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hospitalizace s respiračními chorobami</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všichni</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A</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1,019 </w:t>
            </w:r>
          </w:p>
          <w:p w:rsidR="00977807" w:rsidRPr="00C525CD" w:rsidRDefault="00977807" w:rsidP="008218F9">
            <w:pPr>
              <w:widowControl/>
              <w:suppressAutoHyphens/>
              <w:spacing w:before="0" w:line="240" w:lineRule="auto"/>
              <w:ind w:firstLine="0"/>
              <w:jc w:val="left"/>
              <w:rPr>
                <w:sz w:val="20"/>
              </w:rPr>
            </w:pPr>
            <w:r w:rsidRPr="00C525CD">
              <w:rPr>
                <w:sz w:val="20"/>
              </w:rPr>
              <w:t>(0,9982 – 1,0402)</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2,5</w:t>
            </w:r>
            <w:r w:rsidRPr="00C525CD">
              <w:rPr>
                <w:sz w:val="20"/>
              </w:rPr>
              <w:t xml:space="preserve"> roční průměr</w:t>
            </w:r>
            <w:r w:rsidRPr="00C525CD">
              <w:rPr>
                <w:sz w:val="20"/>
                <w:vertAlign w:val="superscript"/>
              </w:rPr>
              <w:t>*</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dny s omezenou aktivitou</w:t>
            </w:r>
            <w:r w:rsidRPr="00C525CD">
              <w:rPr>
                <w:sz w:val="20"/>
                <w:vertAlign w:val="superscript"/>
              </w:rPr>
              <w:t>**</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všichni</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1,047 </w:t>
            </w:r>
          </w:p>
          <w:p w:rsidR="00977807" w:rsidRPr="00C525CD" w:rsidRDefault="00977807" w:rsidP="008218F9">
            <w:pPr>
              <w:widowControl/>
              <w:suppressAutoHyphens/>
              <w:spacing w:before="0" w:line="240" w:lineRule="auto"/>
              <w:ind w:firstLine="0"/>
              <w:jc w:val="left"/>
              <w:rPr>
                <w:sz w:val="20"/>
              </w:rPr>
            </w:pPr>
            <w:r w:rsidRPr="00C525CD">
              <w:rPr>
                <w:sz w:val="20"/>
              </w:rPr>
              <w:t>(1,042 – 1,053)</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2,5</w:t>
            </w:r>
            <w:r w:rsidRPr="00C525CD">
              <w:rPr>
                <w:sz w:val="20"/>
              </w:rPr>
              <w:t xml:space="preserve"> roční průměr</w:t>
            </w:r>
            <w:r w:rsidRPr="00C525CD">
              <w:rPr>
                <w:sz w:val="20"/>
                <w:vertAlign w:val="superscript"/>
              </w:rPr>
              <w:t>*</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dny pracovní neschopnosti</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20-65 let (zaměstnaní)</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1,046 </w:t>
            </w:r>
          </w:p>
          <w:p w:rsidR="00977807" w:rsidRPr="00C525CD" w:rsidRDefault="00977807" w:rsidP="008218F9">
            <w:pPr>
              <w:widowControl/>
              <w:suppressAutoHyphens/>
              <w:spacing w:before="0" w:line="240" w:lineRule="auto"/>
              <w:ind w:firstLine="0"/>
              <w:jc w:val="left"/>
              <w:rPr>
                <w:sz w:val="20"/>
              </w:rPr>
            </w:pPr>
            <w:r w:rsidRPr="00C525CD">
              <w:rPr>
                <w:sz w:val="20"/>
              </w:rPr>
              <w:t>(1,039 – 1,053)</w:t>
            </w:r>
          </w:p>
        </w:tc>
      </w:tr>
      <w:tr w:rsidR="00977807" w:rsidRPr="00C525CD" w:rsidTr="008218F9">
        <w:trPr>
          <w:jc w:val="center"/>
        </w:trPr>
        <w:tc>
          <w:tcPr>
            <w:tcW w:w="184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PM</w:t>
            </w:r>
            <w:r w:rsidRPr="00C525CD">
              <w:rPr>
                <w:sz w:val="20"/>
                <w:vertAlign w:val="subscript"/>
              </w:rPr>
              <w:t>2,5</w:t>
            </w:r>
            <w:r w:rsidRPr="00C525CD">
              <w:rPr>
                <w:sz w:val="20"/>
              </w:rPr>
              <w:t xml:space="preserve"> denní průměr</w:t>
            </w:r>
          </w:p>
        </w:tc>
        <w:tc>
          <w:tcPr>
            <w:tcW w:w="2693"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příznaky astmatu u astmatických dětí</w:t>
            </w:r>
          </w:p>
        </w:tc>
        <w:tc>
          <w:tcPr>
            <w:tcW w:w="1276"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5-19 let</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1,028 </w:t>
            </w:r>
          </w:p>
          <w:p w:rsidR="00977807" w:rsidRPr="00C525CD" w:rsidRDefault="00977807" w:rsidP="008218F9">
            <w:pPr>
              <w:widowControl/>
              <w:suppressAutoHyphens/>
              <w:spacing w:before="0" w:line="240" w:lineRule="auto"/>
              <w:ind w:firstLine="0"/>
              <w:jc w:val="left"/>
              <w:rPr>
                <w:sz w:val="20"/>
              </w:rPr>
            </w:pPr>
            <w:r w:rsidRPr="00C525CD">
              <w:rPr>
                <w:sz w:val="20"/>
              </w:rPr>
              <w:t>(1,006 – 1,051)</w:t>
            </w:r>
          </w:p>
        </w:tc>
      </w:tr>
    </w:tbl>
    <w:p w:rsidR="00977807" w:rsidRPr="00C525CD" w:rsidRDefault="00977807" w:rsidP="00977807">
      <w:pPr>
        <w:widowControl/>
        <w:spacing w:before="0" w:line="240" w:lineRule="auto"/>
        <w:ind w:firstLine="0"/>
        <w:rPr>
          <w:sz w:val="20"/>
        </w:rPr>
      </w:pPr>
      <w:r w:rsidRPr="00C525CD">
        <w:rPr>
          <w:sz w:val="20"/>
          <w:vertAlign w:val="superscript"/>
        </w:rPr>
        <w:t>*</w:t>
      </w:r>
      <w:r w:rsidRPr="00C525CD">
        <w:rPr>
          <w:sz w:val="20"/>
        </w:rPr>
        <w:t>) 2týdenní průměr přepočtený na roční průměr</w:t>
      </w:r>
    </w:p>
    <w:p w:rsidR="00977807" w:rsidRPr="00C525CD" w:rsidRDefault="00977807" w:rsidP="00977807">
      <w:pPr>
        <w:widowControl/>
        <w:spacing w:before="0" w:line="240" w:lineRule="auto"/>
        <w:ind w:firstLine="0"/>
        <w:rPr>
          <w:sz w:val="20"/>
        </w:rPr>
      </w:pPr>
      <w:r w:rsidRPr="00C525CD">
        <w:rPr>
          <w:sz w:val="20"/>
          <w:vertAlign w:val="superscript"/>
        </w:rPr>
        <w:t>**</w:t>
      </w:r>
      <w:r w:rsidRPr="00C525CD">
        <w:rPr>
          <w:sz w:val="20"/>
        </w:rPr>
        <w:t>) nutno odečíst dny hospitalizace s kardiovaskulárními a respiračními chorobami a dny pracovní neschopnosti</w:t>
      </w:r>
    </w:p>
    <w:p w:rsidR="00977807" w:rsidRPr="00C525CD" w:rsidRDefault="00977807" w:rsidP="00977807"/>
    <w:p w:rsidR="00977807" w:rsidRPr="00C525CD" w:rsidRDefault="00977807" w:rsidP="00977807">
      <w:pPr>
        <w:widowControl/>
        <w:ind w:firstLine="0"/>
        <w:rPr>
          <w:b/>
        </w:rPr>
      </w:pPr>
      <w:bookmarkStart w:id="49" w:name="_Toc206912493"/>
      <w:bookmarkStart w:id="50" w:name="_Toc272838616"/>
      <w:bookmarkStart w:id="51" w:name="_Toc59530267"/>
      <w:r w:rsidRPr="00C525CD">
        <w:rPr>
          <w:b/>
        </w:rPr>
        <w:t>Oxid dusičitý</w:t>
      </w:r>
      <w:bookmarkEnd w:id="49"/>
      <w:bookmarkEnd w:id="50"/>
      <w:bookmarkEnd w:id="51"/>
    </w:p>
    <w:p w:rsidR="00977807" w:rsidRPr="00C525CD" w:rsidRDefault="00977807" w:rsidP="00977807">
      <w:pPr>
        <w:widowControl/>
      </w:pPr>
      <w:r w:rsidRPr="00C525CD">
        <w:t>Oxid dusičitý (NO</w:t>
      </w:r>
      <w:r w:rsidRPr="00C525CD">
        <w:rPr>
          <w:vertAlign w:val="subscript"/>
        </w:rPr>
        <w:t>2</w:t>
      </w:r>
      <w:r w:rsidRPr="00C525CD">
        <w:t>) patří mezi nejčastěji sledované škodliviny při hodnocení vlivů spalovacích zdrojů (tj. zejména automobilové dopravy a vytápění budov) na kvalitu ovzduší a zdraví obyvatel. Ze zdrojů je emitován převážně oxid dusnatý (NO), který se ve vzduchu postupně oxiduje na NO</w:t>
      </w:r>
      <w:r w:rsidRPr="00C525CD">
        <w:rPr>
          <w:vertAlign w:val="subscript"/>
        </w:rPr>
        <w:t>2</w:t>
      </w:r>
      <w:r w:rsidRPr="00C525CD">
        <w:t>, v malé míře je emitován přímo NO</w:t>
      </w:r>
      <w:r w:rsidRPr="00C525CD">
        <w:rPr>
          <w:vertAlign w:val="subscript"/>
        </w:rPr>
        <w:t>2</w:t>
      </w:r>
      <w:r w:rsidRPr="00C525CD">
        <w:t>.</w:t>
      </w:r>
    </w:p>
    <w:p w:rsidR="00977807" w:rsidRPr="00C525CD" w:rsidRDefault="00977807" w:rsidP="00977807">
      <w:pPr>
        <w:widowControl/>
      </w:pPr>
      <w:r w:rsidRPr="00C525CD">
        <w:t>Při vstupu oxidu dusičitého do dýchacích cest je nejcitlivější oblastí průdušnice s průduškami a dále plicní sklípky (alveoly), kde dochází k náhradě alveolárního epitelu I. typu buňkami odolnějšími proti okysličování, které s narůstající koncentrací NO</w:t>
      </w:r>
      <w:r w:rsidRPr="00C525CD">
        <w:rPr>
          <w:vertAlign w:val="subscript"/>
        </w:rPr>
        <w:t>2</w:t>
      </w:r>
      <w:r w:rsidRPr="00C525CD">
        <w:t xml:space="preserve"> postupně navíc hypertrofují. To vede ke snížení odolnosti plicní tkáně vůči infekcím.</w:t>
      </w:r>
    </w:p>
    <w:p w:rsidR="00977807" w:rsidRPr="00C525CD" w:rsidRDefault="00977807" w:rsidP="00977807">
      <w:pPr>
        <w:widowControl/>
      </w:pPr>
      <w:r w:rsidRPr="00C525CD">
        <w:t>Světová zdravotnická organizace (WHO) uvádí, že pro hodnocení vlivů akutní expozice NO</w:t>
      </w:r>
      <w:r w:rsidRPr="00C525CD">
        <w:rPr>
          <w:vertAlign w:val="subscript"/>
        </w:rPr>
        <w:t>2</w:t>
      </w:r>
      <w:r w:rsidRPr="00C525CD">
        <w:t xml:space="preserve"> je možné uvažovat referenční koncentraci ve výši 200 </w:t>
      </w:r>
      <w:r w:rsidRPr="00C525CD">
        <w:rPr>
          <w:rFonts w:ascii="Symbol" w:hAnsi="Symbol"/>
        </w:rPr>
        <w:t></w:t>
      </w:r>
      <w:r w:rsidRPr="00C525CD">
        <w:t>g.m</w:t>
      </w:r>
      <w:r w:rsidRPr="00C525CD">
        <w:rPr>
          <w:vertAlign w:val="superscript"/>
        </w:rPr>
        <w:t>-3</w:t>
      </w:r>
      <w:r w:rsidRPr="00C525CD">
        <w:t>. Pod touto úrovní nebyly prokázány žádné účinky krátkodobých expozic NO</w:t>
      </w:r>
      <w:r w:rsidRPr="00C525CD">
        <w:rPr>
          <w:vertAlign w:val="subscript"/>
        </w:rPr>
        <w:t>2</w:t>
      </w:r>
      <w:r w:rsidRPr="00C525CD">
        <w:t>, většina studií pak poukazuje na vznik zdravotního efektu až při hodnotách nad 500 µg.m</w:t>
      </w:r>
      <w:r w:rsidRPr="00C525CD">
        <w:rPr>
          <w:vertAlign w:val="superscript"/>
        </w:rPr>
        <w:t>-3</w:t>
      </w:r>
      <w:r w:rsidRPr="00C525CD">
        <w:t>. Naopak při vyšších koncentracích lze účinky považovat za prokázané. Tyto závěry vyplývají ze zhodnocení výsledků z mnoha studií na zvířatech i na lidských dobrovolnících [</w:t>
      </w:r>
      <w:r w:rsidR="00B168C6" w:rsidRPr="00C525CD">
        <w:t>22</w:t>
      </w:r>
      <w:r w:rsidRPr="00C525CD">
        <w:t>]. Česká legislativa stanovuje imisní limit pro hodinové koncentrace NO</w:t>
      </w:r>
      <w:r w:rsidRPr="00C525CD">
        <w:rPr>
          <w:vertAlign w:val="subscript"/>
        </w:rPr>
        <w:t>2</w:t>
      </w:r>
      <w:r w:rsidRPr="00C525CD">
        <w:t xml:space="preserve"> na úrovni 200 µg.m</w:t>
      </w:r>
      <w:r w:rsidRPr="00C525CD">
        <w:rPr>
          <w:vertAlign w:val="superscript"/>
        </w:rPr>
        <w:t>-3</w:t>
      </w:r>
      <w:r w:rsidRPr="00C525CD">
        <w:t>.</w:t>
      </w:r>
    </w:p>
    <w:p w:rsidR="00977807" w:rsidRPr="00C525CD" w:rsidRDefault="00977807" w:rsidP="00977807">
      <w:pPr>
        <w:widowControl/>
      </w:pPr>
      <w:r w:rsidRPr="00C525CD">
        <w:t>U dlouhodobých expozic je situace složitější. Výsledky řady studií ukazují na vztah mezi úrovní průměrných ročních koncentrací NO</w:t>
      </w:r>
      <w:r w:rsidRPr="00C525CD">
        <w:rPr>
          <w:vertAlign w:val="subscript"/>
        </w:rPr>
        <w:t>2</w:t>
      </w:r>
      <w:r w:rsidRPr="00C525CD">
        <w:t xml:space="preserve"> a výskytem astmatu a respiračních onemocnění; uvádějí se též poruchy vývoje funkce plic u dětí při dlouhodobě zvýšené expozici NO</w:t>
      </w:r>
      <w:r w:rsidRPr="00C525CD">
        <w:rPr>
          <w:vertAlign w:val="subscript"/>
        </w:rPr>
        <w:t>2</w:t>
      </w:r>
      <w:r w:rsidRPr="00C525CD">
        <w:t>. Za rizikovou skupinu je možné považovat především děti s astmatem nebo s dědičnými předpoklady ke vzniku astmatu [</w:t>
      </w:r>
      <w:r w:rsidR="00B168C6" w:rsidRPr="00C525CD">
        <w:t>22</w:t>
      </w:r>
      <w:r w:rsidRPr="00C525CD">
        <w:t>]. WHO však současně uvádí, že kvantifikace rizika je poměrně obtížná, neboť oxid dusičitý zde často vystupuje jako reprezentativní ukazatel působení celého spektra znečišťujících látek. Z tohoto důvodu také WHO zachovává směrnou hodnotu pro průměrné roční koncentrace na úrovni 40 µg.m</w:t>
      </w:r>
      <w:r w:rsidRPr="00C525CD">
        <w:rPr>
          <w:vertAlign w:val="superscript"/>
        </w:rPr>
        <w:t>-3</w:t>
      </w:r>
      <w:r w:rsidRPr="00C525CD">
        <w:t xml:space="preserve"> i přesto, že některé studie poukazují na vznik respiračních příznaků i při hodnotách nižších. Spíše se však doporučuje provádět </w:t>
      </w:r>
      <w:r w:rsidRPr="00C525CD">
        <w:lastRenderedPageBreak/>
        <w:t>hodnocení souhrnného účinku znečištění ovzduší na základě vztahů pro suspendované částice. Ve výši 40 µg.m</w:t>
      </w:r>
      <w:r w:rsidRPr="00C525CD">
        <w:rPr>
          <w:vertAlign w:val="superscript"/>
        </w:rPr>
        <w:t>-3</w:t>
      </w:r>
      <w:r w:rsidRPr="00C525CD">
        <w:t xml:space="preserve"> je stanoven i platný imisní limit.</w:t>
      </w:r>
    </w:p>
    <w:p w:rsidR="00977807" w:rsidRPr="00C525CD" w:rsidRDefault="00977807" w:rsidP="00977807">
      <w:pPr>
        <w:widowControl/>
      </w:pPr>
      <w:r w:rsidRPr="00C525CD">
        <w:t>Projekt HRAPIE [</w:t>
      </w:r>
      <w:r w:rsidR="00B168C6" w:rsidRPr="00C525CD">
        <w:t>23</w:t>
      </w:r>
      <w:r w:rsidRPr="00C525CD">
        <w:t>] dále uvádí následující hodnoty relativního rizika pro jednotlivé účinky dlouhodobé expozice NO</w:t>
      </w:r>
      <w:r w:rsidRPr="00C525CD">
        <w:rPr>
          <w:vertAlign w:val="subscript"/>
        </w:rPr>
        <w:t>2</w:t>
      </w:r>
      <w:r w:rsidRPr="00C525CD">
        <w:t>. Charakteristika hodnot a použitého zdroje dat je uvedena v předchozí kapitole.</w:t>
      </w:r>
    </w:p>
    <w:p w:rsidR="00977807" w:rsidRPr="00C525CD" w:rsidRDefault="00977807" w:rsidP="00977807">
      <w:pPr>
        <w:widowControl/>
        <w:spacing w:before="240" w:after="120"/>
        <w:ind w:firstLine="0"/>
        <w:jc w:val="left"/>
        <w:rPr>
          <w:sz w:val="20"/>
          <w:szCs w:val="22"/>
        </w:rPr>
      </w:pPr>
      <w:r w:rsidRPr="00C525CD">
        <w:rPr>
          <w:b/>
          <w:bCs/>
          <w:sz w:val="24"/>
        </w:rPr>
        <w:t>Tab. 6.2. Faktory koncentrace – účinek – oxid dusičitý [</w:t>
      </w:r>
      <w:r w:rsidR="00B168C6" w:rsidRPr="00C525CD">
        <w:rPr>
          <w:b/>
          <w:bCs/>
          <w:sz w:val="24"/>
        </w:rPr>
        <w:t>22</w:t>
      </w:r>
      <w:r w:rsidRPr="00C525CD">
        <w:rPr>
          <w:b/>
          <w:bCs/>
          <w:sz w:val="24"/>
        </w:rPr>
        <w:t>]</w:t>
      </w:r>
    </w:p>
    <w:tbl>
      <w:tblPr>
        <w:tblW w:w="9072" w:type="dxa"/>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2268"/>
        <w:gridCol w:w="992"/>
        <w:gridCol w:w="992"/>
        <w:gridCol w:w="2268"/>
      </w:tblGrid>
      <w:tr w:rsidR="00977807" w:rsidRPr="00C525CD" w:rsidTr="008218F9">
        <w:trPr>
          <w:jc w:val="center"/>
        </w:trPr>
        <w:tc>
          <w:tcPr>
            <w:tcW w:w="2552" w:type="dxa"/>
            <w:tcBorders>
              <w:bottom w:val="single" w:sz="12" w:space="0" w:color="auto"/>
            </w:tcBorders>
            <w:shd w:val="clear" w:color="auto" w:fill="auto"/>
            <w:noWrap/>
            <w:vAlign w:val="center"/>
          </w:tcPr>
          <w:p w:rsidR="00977807" w:rsidRPr="00C525CD" w:rsidRDefault="00977807" w:rsidP="008218F9">
            <w:pPr>
              <w:widowControl/>
              <w:suppressAutoHyphens/>
              <w:spacing w:before="60" w:after="60" w:line="240" w:lineRule="auto"/>
              <w:ind w:firstLine="0"/>
              <w:jc w:val="left"/>
              <w:rPr>
                <w:b/>
                <w:sz w:val="20"/>
              </w:rPr>
            </w:pPr>
            <w:r w:rsidRPr="00C525CD">
              <w:rPr>
                <w:b/>
                <w:sz w:val="20"/>
              </w:rPr>
              <w:t>Imisní veličina</w:t>
            </w:r>
          </w:p>
        </w:tc>
        <w:tc>
          <w:tcPr>
            <w:tcW w:w="2268" w:type="dxa"/>
            <w:tcBorders>
              <w:bottom w:val="single" w:sz="12" w:space="0" w:color="auto"/>
            </w:tcBorders>
            <w:shd w:val="clear" w:color="auto" w:fill="auto"/>
            <w:noWrap/>
            <w:vAlign w:val="center"/>
          </w:tcPr>
          <w:p w:rsidR="00977807" w:rsidRPr="00C525CD" w:rsidRDefault="00977807" w:rsidP="008218F9">
            <w:pPr>
              <w:widowControl/>
              <w:suppressAutoHyphens/>
              <w:spacing w:before="60" w:after="60" w:line="240" w:lineRule="auto"/>
              <w:ind w:firstLine="0"/>
              <w:jc w:val="left"/>
              <w:rPr>
                <w:b/>
                <w:sz w:val="20"/>
              </w:rPr>
            </w:pPr>
            <w:r w:rsidRPr="00C525CD">
              <w:rPr>
                <w:b/>
                <w:sz w:val="20"/>
              </w:rPr>
              <w:t>Zdravotní účinek</w:t>
            </w:r>
          </w:p>
        </w:tc>
        <w:tc>
          <w:tcPr>
            <w:tcW w:w="992" w:type="dxa"/>
            <w:tcBorders>
              <w:bottom w:val="single" w:sz="12" w:space="0" w:color="auto"/>
            </w:tcBorders>
            <w:shd w:val="clear" w:color="auto" w:fill="auto"/>
            <w:noWrap/>
            <w:vAlign w:val="center"/>
          </w:tcPr>
          <w:p w:rsidR="00977807" w:rsidRPr="00C525CD" w:rsidRDefault="00977807" w:rsidP="008218F9">
            <w:pPr>
              <w:widowControl/>
              <w:suppressAutoHyphens/>
              <w:spacing w:before="60" w:after="60" w:line="240" w:lineRule="auto"/>
              <w:ind w:firstLine="0"/>
              <w:jc w:val="left"/>
              <w:rPr>
                <w:b/>
                <w:sz w:val="20"/>
              </w:rPr>
            </w:pPr>
            <w:r w:rsidRPr="00C525CD">
              <w:rPr>
                <w:b/>
                <w:sz w:val="20"/>
              </w:rPr>
              <w:t>Segment populace</w:t>
            </w:r>
          </w:p>
        </w:tc>
        <w:tc>
          <w:tcPr>
            <w:tcW w:w="992" w:type="dxa"/>
            <w:tcBorders>
              <w:bottom w:val="single" w:sz="12" w:space="0" w:color="auto"/>
            </w:tcBorders>
            <w:shd w:val="clear" w:color="auto" w:fill="auto"/>
            <w:noWrap/>
            <w:vAlign w:val="center"/>
          </w:tcPr>
          <w:p w:rsidR="00977807" w:rsidRPr="00C525CD" w:rsidRDefault="00977807" w:rsidP="008218F9">
            <w:pPr>
              <w:widowControl/>
              <w:suppressAutoHyphens/>
              <w:spacing w:before="60" w:after="60" w:line="240" w:lineRule="auto"/>
              <w:ind w:firstLine="0"/>
              <w:jc w:val="left"/>
              <w:rPr>
                <w:b/>
                <w:sz w:val="20"/>
              </w:rPr>
            </w:pPr>
            <w:r w:rsidRPr="00C525CD">
              <w:rPr>
                <w:b/>
                <w:sz w:val="20"/>
              </w:rPr>
              <w:t>Skupina</w:t>
            </w:r>
          </w:p>
        </w:tc>
        <w:tc>
          <w:tcPr>
            <w:tcW w:w="2268" w:type="dxa"/>
            <w:tcBorders>
              <w:bottom w:val="single" w:sz="12" w:space="0" w:color="auto"/>
            </w:tcBorders>
            <w:shd w:val="clear" w:color="auto" w:fill="auto"/>
            <w:noWrap/>
            <w:vAlign w:val="center"/>
          </w:tcPr>
          <w:p w:rsidR="00977807" w:rsidRPr="00C525CD" w:rsidRDefault="00977807" w:rsidP="008218F9">
            <w:pPr>
              <w:widowControl/>
              <w:suppressAutoHyphens/>
              <w:spacing w:before="60" w:after="60" w:line="240" w:lineRule="auto"/>
              <w:ind w:firstLine="0"/>
              <w:jc w:val="left"/>
              <w:rPr>
                <w:b/>
                <w:sz w:val="20"/>
              </w:rPr>
            </w:pPr>
            <w:r w:rsidRPr="00C525CD">
              <w:rPr>
                <w:b/>
                <w:sz w:val="20"/>
              </w:rPr>
              <w:t xml:space="preserve">RR při zvýšení </w:t>
            </w:r>
            <w:r w:rsidRPr="00C525CD">
              <w:rPr>
                <w:b/>
                <w:sz w:val="20"/>
              </w:rPr>
              <w:br/>
              <w:t>koncentrace o 10 µg.m</w:t>
            </w:r>
            <w:r w:rsidRPr="00C525CD">
              <w:rPr>
                <w:b/>
                <w:sz w:val="20"/>
                <w:vertAlign w:val="superscript"/>
              </w:rPr>
              <w:t>-3</w:t>
            </w:r>
          </w:p>
        </w:tc>
      </w:tr>
      <w:tr w:rsidR="00977807" w:rsidRPr="00C525CD" w:rsidTr="008218F9">
        <w:trPr>
          <w:jc w:val="center"/>
        </w:trPr>
        <w:tc>
          <w:tcPr>
            <w:tcW w:w="2552" w:type="dxa"/>
            <w:tcBorders>
              <w:top w:val="single" w:sz="12" w:space="0" w:color="auto"/>
              <w:bottom w:val="single" w:sz="4" w:space="0" w:color="auto"/>
            </w:tcBorders>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NO</w:t>
            </w:r>
            <w:r w:rsidRPr="00C525CD">
              <w:rPr>
                <w:sz w:val="20"/>
                <w:vertAlign w:val="subscript"/>
              </w:rPr>
              <w:t>2</w:t>
            </w:r>
            <w:r w:rsidRPr="00C525CD">
              <w:rPr>
                <w:sz w:val="20"/>
              </w:rPr>
              <w:t xml:space="preserve"> roční průměr (nad 20 µg.m</w:t>
            </w:r>
            <w:r w:rsidRPr="00C525CD">
              <w:rPr>
                <w:sz w:val="20"/>
                <w:vertAlign w:val="superscript"/>
              </w:rPr>
              <w:t>-3</w:t>
            </w:r>
            <w:r w:rsidRPr="00C525CD">
              <w:rPr>
                <w:sz w:val="20"/>
              </w:rPr>
              <w:t>)</w:t>
            </w:r>
          </w:p>
        </w:tc>
        <w:tc>
          <w:tcPr>
            <w:tcW w:w="2268" w:type="dxa"/>
            <w:tcBorders>
              <w:top w:val="single" w:sz="12" w:space="0" w:color="auto"/>
              <w:bottom w:val="single" w:sz="4" w:space="0" w:color="auto"/>
            </w:tcBorders>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úmrtnost u dospělých </w:t>
            </w:r>
          </w:p>
        </w:tc>
        <w:tc>
          <w:tcPr>
            <w:tcW w:w="992" w:type="dxa"/>
            <w:tcBorders>
              <w:top w:val="single" w:sz="12" w:space="0" w:color="auto"/>
              <w:bottom w:val="single" w:sz="4" w:space="0" w:color="auto"/>
            </w:tcBorders>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&gt; 30 let</w:t>
            </w:r>
          </w:p>
        </w:tc>
        <w:tc>
          <w:tcPr>
            <w:tcW w:w="992" w:type="dxa"/>
            <w:tcBorders>
              <w:top w:val="single" w:sz="12" w:space="0" w:color="auto"/>
              <w:bottom w:val="single" w:sz="4" w:space="0" w:color="auto"/>
            </w:tcBorders>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tcBorders>
              <w:top w:val="single" w:sz="12" w:space="0" w:color="auto"/>
              <w:bottom w:val="single" w:sz="4" w:space="0" w:color="auto"/>
            </w:tcBorders>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1,055 </w:t>
            </w:r>
            <w:r w:rsidRPr="00C525CD">
              <w:rPr>
                <w:sz w:val="20"/>
              </w:rPr>
              <w:br/>
              <w:t>(1,031 – 1,080)</w:t>
            </w:r>
          </w:p>
        </w:tc>
      </w:tr>
      <w:tr w:rsidR="00977807" w:rsidRPr="00C525CD" w:rsidTr="008218F9">
        <w:trPr>
          <w:jc w:val="center"/>
        </w:trPr>
        <w:tc>
          <w:tcPr>
            <w:tcW w:w="2552"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NO</w:t>
            </w:r>
            <w:r w:rsidRPr="00C525CD">
              <w:rPr>
                <w:sz w:val="20"/>
                <w:vertAlign w:val="subscript"/>
              </w:rPr>
              <w:t>2</w:t>
            </w:r>
            <w:r w:rsidRPr="00C525CD">
              <w:rPr>
                <w:sz w:val="20"/>
              </w:rPr>
              <w:t xml:space="preserve"> roční průměr</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prevalence bronchitidy u astmatických dětí</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 5-14</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B</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1,21 </w:t>
            </w:r>
            <w:r w:rsidRPr="00C525CD">
              <w:rPr>
                <w:sz w:val="20"/>
              </w:rPr>
              <w:br/>
              <w:t>(0,99 – 1,06)</w:t>
            </w:r>
          </w:p>
        </w:tc>
      </w:tr>
      <w:tr w:rsidR="00977807" w:rsidRPr="00C525CD" w:rsidTr="008218F9">
        <w:trPr>
          <w:jc w:val="center"/>
        </w:trPr>
        <w:tc>
          <w:tcPr>
            <w:tcW w:w="2552"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NO</w:t>
            </w:r>
            <w:r w:rsidRPr="00C525CD">
              <w:rPr>
                <w:sz w:val="20"/>
                <w:vertAlign w:val="subscript"/>
              </w:rPr>
              <w:t>2</w:t>
            </w:r>
            <w:r w:rsidRPr="00C525CD">
              <w:rPr>
                <w:sz w:val="20"/>
              </w:rPr>
              <w:t xml:space="preserve"> 24hod průměr</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hospitalizace </w:t>
            </w:r>
            <w:r w:rsidRPr="00C525CD">
              <w:rPr>
                <w:sz w:val="20"/>
              </w:rPr>
              <w:br/>
              <w:t>s respiračními chorobami</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všichni</w:t>
            </w:r>
          </w:p>
        </w:tc>
        <w:tc>
          <w:tcPr>
            <w:tcW w:w="992" w:type="dxa"/>
            <w:shd w:val="clear" w:color="auto" w:fill="auto"/>
            <w:noWrap/>
            <w:vAlign w:val="center"/>
          </w:tcPr>
          <w:p w:rsidR="00977807" w:rsidRPr="00C525CD" w:rsidRDefault="00977807" w:rsidP="008218F9">
            <w:pPr>
              <w:widowControl/>
              <w:suppressAutoHyphens/>
              <w:spacing w:before="0" w:line="240" w:lineRule="auto"/>
              <w:ind w:firstLine="0"/>
              <w:jc w:val="center"/>
              <w:rPr>
                <w:sz w:val="20"/>
              </w:rPr>
            </w:pPr>
            <w:r w:rsidRPr="00C525CD">
              <w:rPr>
                <w:sz w:val="20"/>
              </w:rPr>
              <w:t>A</w:t>
            </w:r>
          </w:p>
        </w:tc>
        <w:tc>
          <w:tcPr>
            <w:tcW w:w="2268" w:type="dxa"/>
            <w:shd w:val="clear" w:color="auto" w:fill="auto"/>
            <w:noWrap/>
            <w:vAlign w:val="center"/>
          </w:tcPr>
          <w:p w:rsidR="00977807" w:rsidRPr="00C525CD" w:rsidRDefault="00977807" w:rsidP="008218F9">
            <w:pPr>
              <w:widowControl/>
              <w:suppressAutoHyphens/>
              <w:spacing w:before="0" w:line="240" w:lineRule="auto"/>
              <w:ind w:firstLine="0"/>
              <w:jc w:val="left"/>
              <w:rPr>
                <w:sz w:val="20"/>
              </w:rPr>
            </w:pPr>
            <w:r w:rsidRPr="00C525CD">
              <w:rPr>
                <w:sz w:val="20"/>
              </w:rPr>
              <w:t xml:space="preserve">1,018 </w:t>
            </w:r>
            <w:r w:rsidRPr="00C525CD">
              <w:rPr>
                <w:sz w:val="20"/>
              </w:rPr>
              <w:br/>
              <w:t>(1,0115 – 1,0245)</w:t>
            </w:r>
          </w:p>
        </w:tc>
      </w:tr>
    </w:tbl>
    <w:p w:rsidR="00977807" w:rsidRPr="00C525CD" w:rsidRDefault="00977807" w:rsidP="00977807">
      <w:pPr>
        <w:widowControl/>
      </w:pPr>
    </w:p>
    <w:p w:rsidR="00977807" w:rsidRPr="00C525CD" w:rsidRDefault="00977807" w:rsidP="00977807">
      <w:pPr>
        <w:widowControl/>
        <w:ind w:firstLine="0"/>
        <w:rPr>
          <w:b/>
        </w:rPr>
      </w:pPr>
      <w:bookmarkStart w:id="52" w:name="_Toc59530268"/>
      <w:r w:rsidRPr="00C525CD">
        <w:rPr>
          <w:b/>
        </w:rPr>
        <w:t>Benzen</w:t>
      </w:r>
      <w:bookmarkEnd w:id="52"/>
    </w:p>
    <w:p w:rsidR="00977807" w:rsidRPr="00C525CD" w:rsidRDefault="00977807" w:rsidP="00977807">
      <w:pPr>
        <w:widowControl/>
      </w:pPr>
      <w:r w:rsidRPr="00C525CD">
        <w:t xml:space="preserve">Benzen se do ovzduší dostává v emisích z automobilové dopravy jednak jako produkt spalování a jednak jako součást nespálených podílů paliva (v automobilovém benzínu se vyskytuje v množství cca 0,5 – 2 %, u motorové nafty je podíl nevýznamný). Ovzduší je hlavním zdrojem expozice člověka benzenem. Je však nutno počítat s výraznými individuálními rozdíly vlivem kouření, které může znamenat několikanásobné zvýšení expozice. </w:t>
      </w:r>
    </w:p>
    <w:p w:rsidR="00977807" w:rsidRPr="00C525CD" w:rsidRDefault="00977807" w:rsidP="00977807">
      <w:pPr>
        <w:widowControl/>
        <w:spacing w:after="120"/>
      </w:pPr>
      <w:r w:rsidRPr="00C525CD">
        <w:t>Ve vysokých koncentracích (které se však nevyskytují ve vnějším ovzduší) má benzen akutní účinky dráždivé a neurotoxické. V nízkých dávkách (které se mohou v ovzduší vyskytovat) pak při dlouhodobém působení utlumuje tvorbu krvinek a předpokládá se i jeho vliv na iniciaci leukémie. Z tohoto důvodu řadí US EPA i IARC benzen mezi prokázané lidské karcinogeny. Světová zdravotnická organizace uvádí pro benzen hodnotu jednotkového rakovinového rizika UCR = 6×10</w:t>
      </w:r>
      <w:r w:rsidRPr="00C525CD">
        <w:rPr>
          <w:vertAlign w:val="superscript"/>
        </w:rPr>
        <w:noBreakHyphen/>
        <w:t>6 </w:t>
      </w:r>
      <w:r w:rsidRPr="00C525CD">
        <w:t>(</w:t>
      </w:r>
      <w:r w:rsidRPr="00C525CD">
        <w:sym w:font="Symbol" w:char="F06D"/>
      </w:r>
      <w:r w:rsidRPr="00C525CD">
        <w:t>g.m</w:t>
      </w:r>
      <w:r w:rsidRPr="00C525CD">
        <w:rPr>
          <w:vertAlign w:val="superscript"/>
        </w:rPr>
        <w:t>-3</w:t>
      </w:r>
      <w:r w:rsidRPr="00C525CD">
        <w:t>)</w:t>
      </w:r>
      <w:r w:rsidRPr="00C525CD">
        <w:rPr>
          <w:vertAlign w:val="superscript"/>
        </w:rPr>
        <w:t>-1</w:t>
      </w:r>
      <w:r w:rsidRPr="00C525CD">
        <w:t>. Jednoduchou extrapolací pak lze stanovit míru karcinogenního rizika v závislosti na koncentraci této látky ve volném ovzduší:</w:t>
      </w:r>
    </w:p>
    <w:tbl>
      <w:tblPr>
        <w:tblW w:w="0" w:type="auto"/>
        <w:jc w:val="center"/>
        <w:tblLayout w:type="fixed"/>
        <w:tblCellMar>
          <w:left w:w="70" w:type="dxa"/>
          <w:right w:w="70" w:type="dxa"/>
        </w:tblCellMar>
        <w:tblLook w:val="0000" w:firstRow="0" w:lastRow="0" w:firstColumn="0" w:lastColumn="0" w:noHBand="0" w:noVBand="0"/>
      </w:tblPr>
      <w:tblGrid>
        <w:gridCol w:w="4253"/>
        <w:gridCol w:w="4253"/>
      </w:tblGrid>
      <w:tr w:rsidR="00977807" w:rsidRPr="00C525CD" w:rsidTr="008218F9">
        <w:trPr>
          <w:cantSplit/>
          <w:jc w:val="center"/>
        </w:trPr>
        <w:tc>
          <w:tcPr>
            <w:tcW w:w="4253" w:type="dxa"/>
            <w:vAlign w:val="center"/>
          </w:tcPr>
          <w:p w:rsidR="00977807" w:rsidRPr="00C525CD" w:rsidRDefault="00977807" w:rsidP="008218F9">
            <w:pPr>
              <w:keepNext/>
              <w:keepLines/>
              <w:widowControl/>
              <w:suppressAutoHyphens/>
              <w:spacing w:before="60"/>
              <w:ind w:firstLine="0"/>
              <w:jc w:val="center"/>
              <w:rPr>
                <w:bCs/>
                <w:sz w:val="24"/>
              </w:rPr>
            </w:pPr>
            <w:r w:rsidRPr="00C525CD">
              <w:rPr>
                <w:bCs/>
                <w:sz w:val="24"/>
              </w:rPr>
              <w:t>Pravděpodobnost výskytu leukémie</w:t>
            </w:r>
          </w:p>
        </w:tc>
        <w:tc>
          <w:tcPr>
            <w:tcW w:w="4253" w:type="dxa"/>
            <w:vAlign w:val="center"/>
          </w:tcPr>
          <w:p w:rsidR="00977807" w:rsidRPr="00C525CD" w:rsidRDefault="00977807" w:rsidP="008218F9">
            <w:pPr>
              <w:keepNext/>
              <w:keepLines/>
              <w:widowControl/>
              <w:suppressAutoHyphens/>
              <w:spacing w:before="60"/>
              <w:ind w:firstLine="0"/>
              <w:jc w:val="center"/>
              <w:rPr>
                <w:bCs/>
                <w:sz w:val="24"/>
              </w:rPr>
            </w:pPr>
            <w:r w:rsidRPr="00C525CD">
              <w:rPr>
                <w:bCs/>
                <w:sz w:val="24"/>
              </w:rPr>
              <w:t>Koncentrace</w:t>
            </w:r>
          </w:p>
        </w:tc>
      </w:tr>
      <w:tr w:rsidR="00977807" w:rsidRPr="00C525CD" w:rsidTr="008218F9">
        <w:trPr>
          <w:jc w:val="center"/>
        </w:trPr>
        <w:tc>
          <w:tcPr>
            <w:tcW w:w="4253" w:type="dxa"/>
            <w:vAlign w:val="center"/>
          </w:tcPr>
          <w:p w:rsidR="00977807" w:rsidRPr="00C525CD" w:rsidRDefault="00977807" w:rsidP="008218F9">
            <w:pPr>
              <w:keepNext/>
              <w:keepLines/>
              <w:widowControl/>
              <w:suppressAutoHyphens/>
              <w:spacing w:before="60"/>
              <w:ind w:firstLine="0"/>
              <w:jc w:val="center"/>
              <w:rPr>
                <w:sz w:val="24"/>
              </w:rPr>
            </w:pPr>
            <w:r w:rsidRPr="00C525CD">
              <w:rPr>
                <w:sz w:val="24"/>
              </w:rPr>
              <w:t>10</w:t>
            </w:r>
            <w:r w:rsidRPr="00C525CD">
              <w:rPr>
                <w:sz w:val="24"/>
                <w:vertAlign w:val="superscript"/>
              </w:rPr>
              <w:t>-5</w:t>
            </w:r>
            <w:r w:rsidRPr="00C525CD">
              <w:rPr>
                <w:sz w:val="24"/>
              </w:rPr>
              <w:t xml:space="preserve"> (1 v 100 000)</w:t>
            </w:r>
          </w:p>
        </w:tc>
        <w:tc>
          <w:tcPr>
            <w:tcW w:w="4253" w:type="dxa"/>
            <w:vAlign w:val="center"/>
          </w:tcPr>
          <w:p w:rsidR="00977807" w:rsidRPr="00C525CD" w:rsidRDefault="00977807" w:rsidP="008218F9">
            <w:pPr>
              <w:keepNext/>
              <w:keepLines/>
              <w:widowControl/>
              <w:suppressAutoHyphens/>
              <w:spacing w:before="60"/>
              <w:ind w:firstLine="0"/>
              <w:jc w:val="center"/>
              <w:rPr>
                <w:sz w:val="24"/>
              </w:rPr>
            </w:pPr>
            <w:r w:rsidRPr="00C525CD">
              <w:rPr>
                <w:sz w:val="24"/>
              </w:rPr>
              <w:t>1,6 µg.m</w:t>
            </w:r>
            <w:r w:rsidRPr="00C525CD">
              <w:rPr>
                <w:sz w:val="24"/>
                <w:vertAlign w:val="superscript"/>
              </w:rPr>
              <w:t>-3</w:t>
            </w:r>
          </w:p>
        </w:tc>
      </w:tr>
      <w:tr w:rsidR="00977807" w:rsidRPr="00C525CD" w:rsidTr="008218F9">
        <w:trPr>
          <w:jc w:val="center"/>
        </w:trPr>
        <w:tc>
          <w:tcPr>
            <w:tcW w:w="4253" w:type="dxa"/>
            <w:vAlign w:val="center"/>
          </w:tcPr>
          <w:p w:rsidR="00977807" w:rsidRPr="00C525CD" w:rsidRDefault="00977807" w:rsidP="008218F9">
            <w:pPr>
              <w:keepNext/>
              <w:keepLines/>
              <w:widowControl/>
              <w:suppressAutoHyphens/>
              <w:spacing w:before="60"/>
              <w:ind w:firstLine="0"/>
              <w:jc w:val="center"/>
              <w:rPr>
                <w:sz w:val="24"/>
              </w:rPr>
            </w:pPr>
            <w:r w:rsidRPr="00C525CD">
              <w:rPr>
                <w:sz w:val="24"/>
              </w:rPr>
              <w:t>10</w:t>
            </w:r>
            <w:r w:rsidRPr="00C525CD">
              <w:rPr>
                <w:sz w:val="24"/>
                <w:vertAlign w:val="superscript"/>
              </w:rPr>
              <w:t>-6</w:t>
            </w:r>
            <w:r w:rsidRPr="00C525CD">
              <w:rPr>
                <w:sz w:val="24"/>
              </w:rPr>
              <w:t xml:space="preserve"> (1 v 1 000 000)</w:t>
            </w:r>
          </w:p>
        </w:tc>
        <w:tc>
          <w:tcPr>
            <w:tcW w:w="4253" w:type="dxa"/>
            <w:vAlign w:val="center"/>
          </w:tcPr>
          <w:p w:rsidR="00977807" w:rsidRPr="00C525CD" w:rsidRDefault="00977807" w:rsidP="008218F9">
            <w:pPr>
              <w:keepNext/>
              <w:keepLines/>
              <w:widowControl/>
              <w:suppressAutoHyphens/>
              <w:spacing w:before="60"/>
              <w:ind w:firstLine="0"/>
              <w:jc w:val="center"/>
              <w:rPr>
                <w:sz w:val="24"/>
              </w:rPr>
            </w:pPr>
            <w:r w:rsidRPr="00C525CD">
              <w:rPr>
                <w:sz w:val="24"/>
              </w:rPr>
              <w:t>0,16 µg.m</w:t>
            </w:r>
            <w:r w:rsidRPr="00C525CD">
              <w:rPr>
                <w:sz w:val="24"/>
                <w:vertAlign w:val="superscript"/>
              </w:rPr>
              <w:t>-3</w:t>
            </w:r>
          </w:p>
        </w:tc>
      </w:tr>
    </w:tbl>
    <w:p w:rsidR="00977807" w:rsidRPr="00C525CD" w:rsidRDefault="00977807" w:rsidP="00977807">
      <w:pPr>
        <w:widowControl/>
      </w:pPr>
      <w:r w:rsidRPr="00C525CD">
        <w:t>Imisní limit je stanoven ve výši 5 µg.m</w:t>
      </w:r>
      <w:r w:rsidRPr="00C525CD">
        <w:rPr>
          <w:vertAlign w:val="superscript"/>
        </w:rPr>
        <w:t>-3</w:t>
      </w:r>
      <w:r w:rsidRPr="00C525CD">
        <w:t xml:space="preserve">, což odpovídá hodnotě karcinogenního rizika při celoživotní expozici na úrovni 3 </w:t>
      </w:r>
      <w:r w:rsidRPr="00C525CD">
        <w:rPr>
          <w:rFonts w:hint="eastAsia"/>
        </w:rPr>
        <w:t>×</w:t>
      </w:r>
      <w:r w:rsidRPr="00C525CD">
        <w:t xml:space="preserve"> </w:t>
      </w:r>
      <w:r w:rsidRPr="00C525CD">
        <w:rPr>
          <w:rFonts w:hint="eastAsia"/>
        </w:rPr>
        <w:t>10</w:t>
      </w:r>
      <w:r w:rsidRPr="00C525CD">
        <w:rPr>
          <w:rFonts w:hint="eastAsia"/>
          <w:vertAlign w:val="superscript"/>
        </w:rPr>
        <w:t>-</w:t>
      </w:r>
      <w:r w:rsidRPr="00C525CD">
        <w:rPr>
          <w:vertAlign w:val="superscript"/>
        </w:rPr>
        <w:t>5</w:t>
      </w:r>
      <w:r w:rsidRPr="00C525CD">
        <w:t>.</w:t>
      </w:r>
    </w:p>
    <w:p w:rsidR="00977807" w:rsidRPr="00C525CD" w:rsidRDefault="00977807" w:rsidP="00977807">
      <w:pPr>
        <w:widowControl/>
      </w:pPr>
    </w:p>
    <w:p w:rsidR="00977807" w:rsidRPr="00C525CD" w:rsidRDefault="00977807" w:rsidP="00977807">
      <w:pPr>
        <w:widowControl/>
        <w:ind w:firstLine="0"/>
        <w:rPr>
          <w:b/>
        </w:rPr>
      </w:pPr>
      <w:bookmarkStart w:id="53" w:name="_Toc59530269"/>
      <w:r w:rsidRPr="00C525CD">
        <w:rPr>
          <w:b/>
        </w:rPr>
        <w:t>Benzo[a]pyren</w:t>
      </w:r>
      <w:bookmarkEnd w:id="53"/>
    </w:p>
    <w:p w:rsidR="00977807" w:rsidRPr="00C525CD" w:rsidRDefault="00977807" w:rsidP="00977807">
      <w:pPr>
        <w:widowControl/>
      </w:pPr>
      <w:r w:rsidRPr="00C525CD">
        <w:lastRenderedPageBreak/>
        <w:t xml:space="preserve">Skupina polyaromatických uhlovodíků (PAH) zahrnuje několik set sloučenin, které vznikají zejména při nedokonalém spalování organického materiálu. Hlavními účinky na zdraví lidí jsou mutagenita a karcinogenita, naopak systémově toxické účinky jsou pravděpodobně malé (testováno na zvířatech). U řady PAH s vyšším bodem varu se považují za prokázané vlivy mutagenita a karcinogenita, přičemž benzo[a]pyren je jednou ze sloučenin, u kterých byla zjištěna nejsilnější karcinogenita. </w:t>
      </w:r>
    </w:p>
    <w:p w:rsidR="00977807" w:rsidRPr="00C525CD" w:rsidRDefault="00977807" w:rsidP="00977807">
      <w:pPr>
        <w:widowControl/>
      </w:pPr>
      <w:r w:rsidRPr="00C525CD">
        <w:rPr>
          <w:b/>
        </w:rPr>
        <w:t>Benzo[a]pyren</w:t>
      </w:r>
      <w:r w:rsidRPr="00C525CD">
        <w:t xml:space="preserve"> je podle IARC řazen do skupiny 1 jako prokázaný lidský karcinogen. Vzhledem k jeho karcinogenitě nelze stanovit žádnou bezpečnou hranici. WHO [</w:t>
      </w:r>
      <w:r w:rsidR="00B168C6" w:rsidRPr="00C525CD">
        <w:t>22</w:t>
      </w:r>
      <w:r w:rsidRPr="00C525CD">
        <w:t xml:space="preserve">] stanovuje směrnou hodnotu jednotkového karcinogenního rizika </w:t>
      </w:r>
      <w:r w:rsidRPr="00C525CD">
        <w:br/>
        <w:t>pro benzo[a]pyren ve výši 8,7 × 10</w:t>
      </w:r>
      <w:r w:rsidRPr="00C525CD">
        <w:rPr>
          <w:vertAlign w:val="superscript"/>
        </w:rPr>
        <w:t>-2</w:t>
      </w:r>
      <w:r w:rsidRPr="00C525CD">
        <w:t xml:space="preserve"> (</w:t>
      </w:r>
      <w:r w:rsidRPr="00C525CD">
        <w:rPr>
          <w:rFonts w:ascii="Symbol" w:hAnsi="Symbol"/>
        </w:rPr>
        <w:t></w:t>
      </w:r>
      <w:r w:rsidRPr="00C525CD">
        <w:t>g.m</w:t>
      </w:r>
      <w:r w:rsidRPr="00C525CD">
        <w:rPr>
          <w:vertAlign w:val="superscript"/>
        </w:rPr>
        <w:t>-3</w:t>
      </w:r>
      <w:r w:rsidRPr="00C525CD">
        <w:t>)</w:t>
      </w:r>
      <w:r w:rsidRPr="00C525CD">
        <w:rPr>
          <w:vertAlign w:val="superscript"/>
        </w:rPr>
        <w:t>-1</w:t>
      </w:r>
      <w:r w:rsidRPr="00C525CD">
        <w:t>.</w:t>
      </w:r>
    </w:p>
    <w:p w:rsidR="00224812" w:rsidRPr="00C525CD" w:rsidRDefault="00224812" w:rsidP="00224812">
      <w:pPr>
        <w:widowControl/>
      </w:pPr>
    </w:p>
    <w:p w:rsidR="00224812" w:rsidRPr="00C525CD" w:rsidRDefault="00224812" w:rsidP="00224812">
      <w:pPr>
        <w:pStyle w:val="Nadpis3"/>
        <w:widowControl/>
        <w:numPr>
          <w:ilvl w:val="2"/>
          <w:numId w:val="4"/>
        </w:numPr>
        <w:spacing w:line="288" w:lineRule="auto"/>
      </w:pPr>
      <w:bookmarkStart w:id="54" w:name="_Toc59530270"/>
      <w:r w:rsidRPr="00C525CD">
        <w:t>Vyhodnocení expozice a charakterizace rizika</w:t>
      </w:r>
      <w:bookmarkEnd w:id="54"/>
    </w:p>
    <w:p w:rsidR="00224812" w:rsidRPr="00C525CD" w:rsidRDefault="00224812" w:rsidP="00224812">
      <w:pPr>
        <w:widowControl/>
      </w:pPr>
      <w:bookmarkStart w:id="55" w:name="_Toc100660701"/>
      <w:bookmarkStart w:id="56" w:name="_Toc102376328"/>
      <w:r w:rsidRPr="00C525CD">
        <w:t>V následujícím textu je provedena kvantifikace očekávaných dopadů těchto změn na zdraví ovlivněné populace. V případě hodnocení vlivů expozice suspendovaným částicím a oxidu dusičitému na základě hodnot relativního rizika dle projektu HRAPIE [</w:t>
      </w:r>
      <w:r w:rsidR="00B168C6" w:rsidRPr="00C525CD">
        <w:t>23</w:t>
      </w:r>
      <w:r w:rsidRPr="00C525CD">
        <w:t>] je vyhodnocení v souladu s AN 17/15 [2</w:t>
      </w:r>
      <w:r w:rsidR="00B168C6" w:rsidRPr="00C525CD">
        <w:t>0</w:t>
      </w:r>
      <w:r w:rsidRPr="00C525CD">
        <w:t>] provedeno metodou výpočtu atributivní frakce, jejímž výstupem je počet osob dotčených příslušným účinkem u exponované populace. Popis výpočtu uvádí např. metodika COŽP UK pro vyhodnocení celospolečenských dopadů znečištěného ovzduší [</w:t>
      </w:r>
      <w:r w:rsidR="00B168C6" w:rsidRPr="00C525CD">
        <w:t>24</w:t>
      </w:r>
      <w:r w:rsidRPr="00C525CD">
        <w:t xml:space="preserve">]. Počet osob, dotčených daným účinkem, je pro látky s bezprahovým účinkem dán vztahem: </w:t>
      </w:r>
    </w:p>
    <w:p w:rsidR="00224812" w:rsidRPr="00C525CD" w:rsidRDefault="00224812" w:rsidP="00224812">
      <w:pPr>
        <w:jc w:val="center"/>
      </w:pPr>
      <w:r w:rsidRPr="00C525CD">
        <w:t>IMP = EXP × AGF × RGF × BGR × [1 + C × (RR – 1)/10)],</w:t>
      </w:r>
    </w:p>
    <w:p w:rsidR="00224812" w:rsidRPr="00C525CD" w:rsidRDefault="00224812" w:rsidP="00224812">
      <w:r w:rsidRPr="00C525CD">
        <w:t xml:space="preserve">kde </w:t>
      </w:r>
    </w:p>
    <w:p w:rsidR="00224812" w:rsidRPr="00C525CD" w:rsidRDefault="00224812" w:rsidP="00224812">
      <w:pPr>
        <w:pStyle w:val="Seznamsodrkami"/>
        <w:tabs>
          <w:tab w:val="clear" w:pos="284"/>
          <w:tab w:val="clear" w:pos="720"/>
          <w:tab w:val="num" w:pos="360"/>
        </w:tabs>
        <w:ind w:left="360"/>
      </w:pPr>
      <w:r w:rsidRPr="00C525CD">
        <w:t>IMP je četnost výskytu výsledného dopadu, vyjádřená v jednotkách dle podkladové tabulky RR (např. počet osob dotčených daným účinkem, počet případů bronchitidy, počet hospitalizací, počet dnů s omezenou aktivitou, dnů pracovní neschopnosti apod.)</w:t>
      </w:r>
    </w:p>
    <w:p w:rsidR="00224812" w:rsidRPr="00C525CD" w:rsidRDefault="00224812" w:rsidP="00224812">
      <w:pPr>
        <w:pStyle w:val="Seznamsodrkami"/>
        <w:tabs>
          <w:tab w:val="clear" w:pos="284"/>
          <w:tab w:val="clear" w:pos="720"/>
          <w:tab w:val="num" w:pos="360"/>
        </w:tabs>
        <w:ind w:left="360"/>
      </w:pPr>
      <w:r w:rsidRPr="00C525CD">
        <w:t>C je koncentrace znečišťující látky v µg.m</w:t>
      </w:r>
      <w:r w:rsidRPr="00C525CD">
        <w:rPr>
          <w:vertAlign w:val="superscript"/>
        </w:rPr>
        <w:t>-3</w:t>
      </w:r>
    </w:p>
    <w:p w:rsidR="00224812" w:rsidRPr="00C525CD" w:rsidRDefault="00224812" w:rsidP="00224812">
      <w:pPr>
        <w:pStyle w:val="Seznamsodrkami"/>
        <w:tabs>
          <w:tab w:val="clear" w:pos="284"/>
          <w:tab w:val="clear" w:pos="720"/>
          <w:tab w:val="num" w:pos="360"/>
        </w:tabs>
        <w:ind w:left="360"/>
      </w:pPr>
      <w:r w:rsidRPr="00C525CD">
        <w:t>EXP je exponovaná populace (počet osob)</w:t>
      </w:r>
    </w:p>
    <w:p w:rsidR="00224812" w:rsidRPr="00C525CD" w:rsidRDefault="00224812" w:rsidP="00224812">
      <w:pPr>
        <w:pStyle w:val="Seznamsodrkami"/>
        <w:tabs>
          <w:tab w:val="clear" w:pos="284"/>
          <w:tab w:val="clear" w:pos="720"/>
          <w:tab w:val="num" w:pos="360"/>
        </w:tabs>
        <w:ind w:left="360"/>
      </w:pPr>
      <w:r w:rsidRPr="00C525CD">
        <w:t>AGF je podíl věkové skupiny, které se účinek týká, v rámci celé populace</w:t>
      </w:r>
    </w:p>
    <w:p w:rsidR="00224812" w:rsidRPr="00C525CD" w:rsidRDefault="00224812" w:rsidP="00224812">
      <w:pPr>
        <w:pStyle w:val="Seznamsodrkami"/>
        <w:tabs>
          <w:tab w:val="clear" w:pos="284"/>
          <w:tab w:val="clear" w:pos="720"/>
          <w:tab w:val="num" w:pos="360"/>
        </w:tabs>
        <w:ind w:left="360"/>
      </w:pPr>
      <w:r w:rsidRPr="00C525CD">
        <w:t>RGF je podíl případné rizikové skupiny, které se účinek týká (je-li uvažována), jako jsou např. astmatici, v rámci příslušné věkové skupiny obyvatel</w:t>
      </w:r>
    </w:p>
    <w:p w:rsidR="00224812" w:rsidRPr="00C525CD" w:rsidRDefault="00224812" w:rsidP="00224812">
      <w:pPr>
        <w:pStyle w:val="Seznamsodrkami"/>
        <w:tabs>
          <w:tab w:val="clear" w:pos="284"/>
          <w:tab w:val="clear" w:pos="720"/>
          <w:tab w:val="num" w:pos="360"/>
        </w:tabs>
        <w:ind w:left="360"/>
      </w:pPr>
      <w:r w:rsidRPr="00C525CD">
        <w:t>BGR je četnost výskytu výsledného dopadu v pozaďové (neexponované) populaci</w:t>
      </w:r>
    </w:p>
    <w:p w:rsidR="00224812" w:rsidRPr="00C525CD" w:rsidRDefault="00224812" w:rsidP="00224812">
      <w:pPr>
        <w:pStyle w:val="Seznamsodrkami"/>
        <w:tabs>
          <w:tab w:val="clear" w:pos="284"/>
          <w:tab w:val="clear" w:pos="720"/>
          <w:tab w:val="num" w:pos="360"/>
        </w:tabs>
        <w:ind w:left="360"/>
      </w:pPr>
      <w:r w:rsidRPr="00C525CD">
        <w:t>RR je relativní riziko při zvýšení koncentrace o 10 µg.m</w:t>
      </w:r>
      <w:r w:rsidRPr="00C525CD">
        <w:rPr>
          <w:vertAlign w:val="superscript"/>
        </w:rPr>
        <w:t>-3</w:t>
      </w:r>
    </w:p>
    <w:p w:rsidR="00224812" w:rsidRPr="00C525CD" w:rsidRDefault="00224812" w:rsidP="00224812">
      <w:pPr>
        <w:widowControl/>
      </w:pPr>
      <w:r w:rsidRPr="00C525CD">
        <w:t>U prahového účinku (NO</w:t>
      </w:r>
      <w:r w:rsidRPr="00C525CD">
        <w:rPr>
          <w:vertAlign w:val="subscript"/>
        </w:rPr>
        <w:t>2</w:t>
      </w:r>
      <w:r w:rsidRPr="00C525CD">
        <w:t xml:space="preserve"> – úmrtnost u dospělých) je výpočet obdobný s tím, že efekt je uvažován až od hodnoty 20 µg.m</w:t>
      </w:r>
      <w:r w:rsidRPr="00C525CD">
        <w:rPr>
          <w:vertAlign w:val="superscript"/>
        </w:rPr>
        <w:t>-3</w:t>
      </w:r>
      <w:r w:rsidRPr="00C525CD">
        <w:t xml:space="preserve">. Dále, jak je z tabulek </w:t>
      </w:r>
      <w:smartTag w:uri="urn:schemas-microsoft-com:office:smarttags" w:element="metricconverter">
        <w:smartTagPr>
          <w:attr w:name="ProductID" w:val="1 a"/>
        </w:smartTagPr>
        <w:r w:rsidRPr="00C525CD">
          <w:t>1 a</w:t>
        </w:r>
      </w:smartTag>
      <w:r w:rsidRPr="00C525CD">
        <w:t xml:space="preserve"> 2 patrné, v některých případech je vstupní hodnotou pro výpočet denní (tj. nikoli roční) průměr koncentrací. V těchto případech je v předložené studii počítáno s průměrnou roční koncentrací, která je z principu průměrem denních hodnot s tím, že tam kde je to </w:t>
      </w:r>
      <w:r w:rsidRPr="00C525CD">
        <w:lastRenderedPageBreak/>
        <w:t xml:space="preserve">relevantní, je příslušná hodnota BGR sumarizována za celý rok. Stejně tak tam, kde je dle projektu HRAPIE uvažována 2týdenní hodnota přepočtená na roční průměr, je zde počítáno přímo s ročním průměrem. Hodnoty AGF (podíly jednotlivých věkových skupin populace) byly převzaty dle údajů ČSÚ pro hl. m. Prahu. Hodnoty RGF a BGR byly uvažovány dle projektu HRAPIE. </w:t>
      </w:r>
    </w:p>
    <w:p w:rsidR="00224812" w:rsidRPr="00C525CD" w:rsidRDefault="00224812" w:rsidP="00224812">
      <w:pPr>
        <w:widowControl/>
      </w:pPr>
      <w:r w:rsidRPr="00C525CD">
        <w:t xml:space="preserve">V případě benzenu a benzo[a]pyrenu je vyhodnocení provedeno obdobně s tím rozdílem, že hodnoty AGF, RGF a BGR jsou rovny jedné (efekt se týká vždy celé dotčené populace) a výsledný dopad je kvantifikován ve formě počtu obyvatel na 1 nový případ vzniku daného účinku. </w:t>
      </w:r>
    </w:p>
    <w:p w:rsidR="00224812" w:rsidRPr="00C525CD" w:rsidRDefault="00224812" w:rsidP="00224812">
      <w:pPr>
        <w:widowControl/>
      </w:pPr>
    </w:p>
    <w:bookmarkEnd w:id="55"/>
    <w:bookmarkEnd w:id="56"/>
    <w:p w:rsidR="00F172A0" w:rsidRPr="00C525CD" w:rsidRDefault="00F172A0" w:rsidP="00F172A0">
      <w:pPr>
        <w:widowControl/>
        <w:ind w:firstLine="0"/>
        <w:rPr>
          <w:b/>
        </w:rPr>
      </w:pPr>
      <w:r w:rsidRPr="00C525CD">
        <w:rPr>
          <w:b/>
        </w:rPr>
        <w:t>Suspendované částice</w:t>
      </w:r>
    </w:p>
    <w:p w:rsidR="00F172A0" w:rsidRPr="00C525CD" w:rsidRDefault="00F172A0" w:rsidP="00F172A0">
      <w:pPr>
        <w:keepNext/>
        <w:widowControl/>
      </w:pPr>
      <w:r w:rsidRPr="00C525CD">
        <w:t>Výskyt zvýšených koncentrací suspendovaných částic v ovzduší je obecně spojován s výskytem respiračních chorob (kašel, bronchitida), snížením funkce plic, kardiovaskulárními nemocemi a dle některých podkladů i s astmatem.</w:t>
      </w:r>
    </w:p>
    <w:p w:rsidR="00F172A0" w:rsidRPr="00C525CD" w:rsidRDefault="00F172A0" w:rsidP="00F172A0">
      <w:pPr>
        <w:widowControl/>
      </w:pPr>
      <w:r w:rsidRPr="00C525CD">
        <w:t xml:space="preserve">Pro </w:t>
      </w:r>
      <w:r w:rsidRPr="00C525CD">
        <w:rPr>
          <w:b/>
        </w:rPr>
        <w:t>chronickou expozici</w:t>
      </w:r>
      <w:r w:rsidRPr="00C525CD">
        <w:t xml:space="preserve"> uvádí WHO směrnou hodnotu průměrné roční koncentrace PM</w:t>
      </w:r>
      <w:r w:rsidRPr="00C525CD">
        <w:rPr>
          <w:vertAlign w:val="subscript"/>
        </w:rPr>
        <w:t>10</w:t>
      </w:r>
      <w:r w:rsidRPr="00C525CD">
        <w:t xml:space="preserve"> ve výši 20 µg.m</w:t>
      </w:r>
      <w:r w:rsidRPr="00C525CD">
        <w:rPr>
          <w:vertAlign w:val="superscript"/>
        </w:rPr>
        <w:t>-</w:t>
      </w:r>
      <w:smartTag w:uri="urn:schemas-microsoft-com:office:smarttags" w:element="metricconverter">
        <w:smartTagPr>
          <w:attr w:name="ProductID" w:val="3 a"/>
        </w:smartTagPr>
        <w:r w:rsidRPr="00C525CD">
          <w:rPr>
            <w:vertAlign w:val="superscript"/>
          </w:rPr>
          <w:t>3</w:t>
        </w:r>
        <w:r w:rsidRPr="00C525CD">
          <w:t xml:space="preserve"> a</w:t>
        </w:r>
      </w:smartTag>
      <w:r w:rsidRPr="00C525CD">
        <w:t xml:space="preserve"> částic PM</w:t>
      </w:r>
      <w:r w:rsidRPr="00C525CD">
        <w:rPr>
          <w:vertAlign w:val="subscript"/>
        </w:rPr>
        <w:t>2,5</w:t>
      </w:r>
      <w:r w:rsidRPr="00C525CD">
        <w:t xml:space="preserve"> ve výši 10 µg.m</w:t>
      </w:r>
      <w:r w:rsidRPr="00C525CD">
        <w:rPr>
          <w:vertAlign w:val="superscript"/>
        </w:rPr>
        <w:t>-3</w:t>
      </w:r>
      <w:r w:rsidRPr="00C525CD">
        <w:t>.</w:t>
      </w:r>
    </w:p>
    <w:p w:rsidR="00F172A0" w:rsidRPr="00C525CD" w:rsidRDefault="00F172A0" w:rsidP="00F172A0">
      <w:pPr>
        <w:widowControl/>
      </w:pPr>
      <w:r w:rsidRPr="00C525CD">
        <w:t>Koncentrace částic PM</w:t>
      </w:r>
      <w:r w:rsidRPr="00C525CD">
        <w:rPr>
          <w:vertAlign w:val="subscript"/>
        </w:rPr>
        <w:t>10</w:t>
      </w:r>
      <w:r w:rsidRPr="00C525CD">
        <w:t xml:space="preserve"> se v zájmovém území bude ve výchozím stavu pohybovat v rozmezí 1</w:t>
      </w:r>
      <w:r w:rsidR="005E0B46" w:rsidRPr="00C525CD">
        <w:t>9</w:t>
      </w:r>
      <w:r w:rsidRPr="00C525CD">
        <w:t xml:space="preserve"> – 3</w:t>
      </w:r>
      <w:r w:rsidR="005E0B46" w:rsidRPr="00C525CD">
        <w:t>2</w:t>
      </w:r>
      <w:r w:rsidRPr="00C525CD">
        <w:t xml:space="preserve"> µg.m</w:t>
      </w:r>
      <w:r w:rsidRPr="00C525CD">
        <w:rPr>
          <w:vertAlign w:val="superscript"/>
        </w:rPr>
        <w:t>-3</w:t>
      </w:r>
      <w:r w:rsidRPr="00C525CD">
        <w:t>, v případě frakce PM</w:t>
      </w:r>
      <w:r w:rsidRPr="00C525CD">
        <w:rPr>
          <w:vertAlign w:val="subscript"/>
        </w:rPr>
        <w:t>2,5</w:t>
      </w:r>
      <w:r w:rsidRPr="00C525CD">
        <w:t xml:space="preserve"> pak </w:t>
      </w:r>
      <w:r w:rsidR="005E0B46" w:rsidRPr="00C525CD">
        <w:t>16 – 20,2</w:t>
      </w:r>
      <w:r w:rsidRPr="00C525CD">
        <w:t xml:space="preserve"> µg.m</w:t>
      </w:r>
      <w:r w:rsidRPr="00C525CD">
        <w:rPr>
          <w:vertAlign w:val="superscript"/>
        </w:rPr>
        <w:t>-3</w:t>
      </w:r>
      <w:r w:rsidRPr="00C525CD">
        <w:t>. Jak je tedy zřejmé z provedeného vyhodnocení, v celém výpočtovém území je možné již ve výchozím stavu očekávat koncentrace nad hranicí směrné hodnoty WHO pro frakci PM</w:t>
      </w:r>
      <w:r w:rsidRPr="00C525CD">
        <w:rPr>
          <w:vertAlign w:val="subscript"/>
        </w:rPr>
        <w:t>2,5</w:t>
      </w:r>
      <w:r w:rsidRPr="00C525CD">
        <w:t xml:space="preserve"> a v</w:t>
      </w:r>
      <w:r w:rsidR="005E0B46" w:rsidRPr="00C525CD">
        <w:t xml:space="preserve">e velmi významné </w:t>
      </w:r>
      <w:r w:rsidRPr="00C525CD">
        <w:t>části zájmového území i pro frakci PM</w:t>
      </w:r>
      <w:r w:rsidRPr="00C525CD">
        <w:rPr>
          <w:vertAlign w:val="subscript"/>
        </w:rPr>
        <w:t>10</w:t>
      </w:r>
      <w:r w:rsidRPr="00C525CD">
        <w:t>. Je to situace typická pro celé území hl. m. Prahy a dalších velkých měst.</w:t>
      </w:r>
    </w:p>
    <w:p w:rsidR="00F172A0" w:rsidRPr="00C525CD" w:rsidRDefault="00F172A0" w:rsidP="00B04485">
      <w:pPr>
        <w:keepNext/>
        <w:keepLines/>
        <w:widowControl/>
      </w:pPr>
      <w:r w:rsidRPr="00C525CD">
        <w:t>Nejvyšší nárůst koncentrací vlivem hodnocené změny v prostoru zástavby byl vypočten na úrovni</w:t>
      </w:r>
      <w:r w:rsidR="005E0B46" w:rsidRPr="00C525CD">
        <w:t xml:space="preserve"> (Z 3111/10 – U 1250/2)</w:t>
      </w:r>
      <w:r w:rsidRPr="00C525CD">
        <w:t>:</w:t>
      </w:r>
    </w:p>
    <w:p w:rsidR="00F172A0" w:rsidRPr="00C525CD" w:rsidRDefault="00F172A0" w:rsidP="00F172A0">
      <w:pPr>
        <w:pStyle w:val="Seznamsodrkami"/>
        <w:keepNext/>
        <w:tabs>
          <w:tab w:val="clear" w:pos="284"/>
          <w:tab w:val="clear" w:pos="720"/>
          <w:tab w:val="num" w:pos="360"/>
        </w:tabs>
        <w:ind w:left="357" w:hanging="357"/>
      </w:pPr>
      <w:r w:rsidRPr="00C525CD">
        <w:t>suspendované částice PM</w:t>
      </w:r>
      <w:r w:rsidRPr="00C525CD">
        <w:rPr>
          <w:vertAlign w:val="subscript"/>
        </w:rPr>
        <w:t>10</w:t>
      </w:r>
      <w:r w:rsidR="005E0B46" w:rsidRPr="00C525CD">
        <w:t xml:space="preserve"> – 0,27</w:t>
      </w:r>
      <w:r w:rsidRPr="00C525CD">
        <w:t xml:space="preserve"> µg.m</w:t>
      </w:r>
      <w:r w:rsidRPr="00C525CD">
        <w:rPr>
          <w:vertAlign w:val="superscript"/>
        </w:rPr>
        <w:t>-3</w:t>
      </w:r>
      <w:r w:rsidR="005E0B46" w:rsidRPr="00C525CD">
        <w:t xml:space="preserve"> – 0,20 µg.m</w:t>
      </w:r>
      <w:r w:rsidR="005E0B46" w:rsidRPr="00C525CD">
        <w:rPr>
          <w:vertAlign w:val="superscript"/>
        </w:rPr>
        <w:t>-3</w:t>
      </w:r>
    </w:p>
    <w:p w:rsidR="00F172A0" w:rsidRPr="00C525CD" w:rsidRDefault="00F172A0" w:rsidP="00F172A0">
      <w:pPr>
        <w:pStyle w:val="Seznamsodrkami"/>
        <w:tabs>
          <w:tab w:val="clear" w:pos="284"/>
          <w:tab w:val="clear" w:pos="720"/>
          <w:tab w:val="num" w:pos="360"/>
        </w:tabs>
        <w:ind w:left="360"/>
      </w:pPr>
      <w:r w:rsidRPr="00C525CD">
        <w:t>suspendované částice PM</w:t>
      </w:r>
      <w:r w:rsidRPr="00C525CD">
        <w:rPr>
          <w:vertAlign w:val="subscript"/>
        </w:rPr>
        <w:t>2,5</w:t>
      </w:r>
      <w:r w:rsidRPr="00C525CD">
        <w:t xml:space="preserve"> – 0,0</w:t>
      </w:r>
      <w:r w:rsidR="00FC27EE" w:rsidRPr="00C525CD">
        <w:t>9</w:t>
      </w:r>
      <w:r w:rsidRPr="00C525CD">
        <w:t>0 µg.m</w:t>
      </w:r>
      <w:r w:rsidRPr="00C525CD">
        <w:rPr>
          <w:vertAlign w:val="superscript"/>
        </w:rPr>
        <w:t>-3</w:t>
      </w:r>
      <w:r w:rsidR="00FC27EE" w:rsidRPr="00C525CD">
        <w:t xml:space="preserve"> – 0,075 µg.m</w:t>
      </w:r>
      <w:r w:rsidR="00FC27EE" w:rsidRPr="00C525CD">
        <w:rPr>
          <w:vertAlign w:val="superscript"/>
        </w:rPr>
        <w:t>-3</w:t>
      </w:r>
    </w:p>
    <w:p w:rsidR="00F172A0" w:rsidRPr="00C525CD" w:rsidRDefault="00F172A0" w:rsidP="00F172A0">
      <w:pPr>
        <w:widowControl/>
      </w:pPr>
      <w:r w:rsidRPr="00C525CD">
        <w:t xml:space="preserve">V </w:t>
      </w:r>
      <w:r w:rsidR="00527D5F" w:rsidRPr="00C525CD">
        <w:t xml:space="preserve">následující </w:t>
      </w:r>
      <w:r w:rsidRPr="00C525CD">
        <w:t>tabulce je provedeno porovnání četnosti výskytu zdravotních účinků, definovaných projektem HRAPIE [</w:t>
      </w:r>
      <w:r w:rsidR="00B168C6" w:rsidRPr="00C525CD">
        <w:t>23</w:t>
      </w:r>
      <w:r w:rsidRPr="00C525CD">
        <w:t>]</w:t>
      </w:r>
      <w:r w:rsidR="00527D5F" w:rsidRPr="00C525CD">
        <w:t>, pro hodnoty nejvyšších nárůstů imisních příspěvků</w:t>
      </w:r>
      <w:r w:rsidRPr="00C525CD">
        <w:t xml:space="preserve">. </w:t>
      </w:r>
      <w:r w:rsidR="00527D5F" w:rsidRPr="00C525CD">
        <w:t>Počet obyvatel v lokalitách s uvedeným nárůstem lze odhadnout nejvýše v řádu desítek, kvantifikace účinků je provedena pro 100 obyvatel.</w:t>
      </w:r>
    </w:p>
    <w:p w:rsidR="00F172A0" w:rsidRPr="00C525CD" w:rsidRDefault="00F172A0" w:rsidP="00FC27EE">
      <w:pPr>
        <w:keepNext/>
        <w:widowControl/>
        <w:spacing w:before="240" w:after="120"/>
        <w:ind w:firstLine="0"/>
        <w:jc w:val="left"/>
        <w:rPr>
          <w:sz w:val="20"/>
          <w:szCs w:val="22"/>
        </w:rPr>
      </w:pPr>
      <w:r w:rsidRPr="00C525CD">
        <w:rPr>
          <w:b/>
          <w:bCs/>
          <w:sz w:val="24"/>
        </w:rPr>
        <w:lastRenderedPageBreak/>
        <w:t>Tab. 6.3. Vyhodnocení změn v míře zdravotního rizika – vliv expozice PM</w:t>
      </w:r>
      <w:r w:rsidRPr="00C525CD">
        <w:rPr>
          <w:b/>
          <w:bCs/>
          <w:sz w:val="24"/>
          <w:vertAlign w:val="subscript"/>
        </w:rPr>
        <w:t>10</w:t>
      </w:r>
      <w:r w:rsidRPr="00C525CD">
        <w:rPr>
          <w:b/>
          <w:bCs/>
          <w:sz w:val="24"/>
        </w:rPr>
        <w:t xml:space="preserve"> a PM</w:t>
      </w:r>
      <w:r w:rsidRPr="00C525CD">
        <w:rPr>
          <w:b/>
          <w:bCs/>
          <w:sz w:val="24"/>
          <w:vertAlign w:val="subscript"/>
        </w:rPr>
        <w:t>2,5</w:t>
      </w:r>
    </w:p>
    <w:tbl>
      <w:tblPr>
        <w:tblW w:w="9072" w:type="dxa"/>
        <w:tblInd w:w="55"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93"/>
        <w:gridCol w:w="2189"/>
        <w:gridCol w:w="2190"/>
      </w:tblGrid>
      <w:tr w:rsidR="003803D9" w:rsidRPr="00C525CD" w:rsidTr="00892CBC">
        <w:trPr>
          <w:trHeight w:val="270"/>
        </w:trPr>
        <w:tc>
          <w:tcPr>
            <w:tcW w:w="4693" w:type="dxa"/>
            <w:shd w:val="clear" w:color="auto" w:fill="auto"/>
            <w:noWrap/>
            <w:vAlign w:val="bottom"/>
          </w:tcPr>
          <w:p w:rsidR="003803D9" w:rsidRPr="00C525CD" w:rsidRDefault="003803D9" w:rsidP="00F172A0">
            <w:pPr>
              <w:keepNext/>
              <w:spacing w:before="40" w:after="40"/>
              <w:ind w:firstLine="0"/>
              <w:jc w:val="left"/>
              <w:rPr>
                <w:sz w:val="18"/>
                <w:szCs w:val="18"/>
              </w:rPr>
            </w:pPr>
          </w:p>
        </w:tc>
        <w:tc>
          <w:tcPr>
            <w:tcW w:w="2189" w:type="dxa"/>
            <w:shd w:val="clear" w:color="auto" w:fill="auto"/>
            <w:vAlign w:val="bottom"/>
          </w:tcPr>
          <w:p w:rsidR="003803D9" w:rsidRPr="00C525CD" w:rsidRDefault="00892CBC" w:rsidP="00892CBC">
            <w:pPr>
              <w:keepNext/>
              <w:spacing w:before="40" w:after="40"/>
              <w:ind w:firstLine="0"/>
              <w:jc w:val="center"/>
              <w:rPr>
                <w:b/>
                <w:sz w:val="18"/>
                <w:szCs w:val="18"/>
              </w:rPr>
            </w:pPr>
            <w:r w:rsidRPr="00C525CD">
              <w:rPr>
                <w:b/>
                <w:sz w:val="18"/>
                <w:szCs w:val="18"/>
              </w:rPr>
              <w:t>Změna Z 3111/10</w:t>
            </w:r>
          </w:p>
        </w:tc>
        <w:tc>
          <w:tcPr>
            <w:tcW w:w="2190" w:type="dxa"/>
            <w:shd w:val="clear" w:color="auto" w:fill="auto"/>
            <w:vAlign w:val="bottom"/>
          </w:tcPr>
          <w:p w:rsidR="003803D9" w:rsidRPr="00C525CD" w:rsidRDefault="00892CBC" w:rsidP="00892CBC">
            <w:pPr>
              <w:keepNext/>
              <w:spacing w:before="40" w:after="40"/>
              <w:ind w:firstLine="0"/>
              <w:jc w:val="center"/>
              <w:rPr>
                <w:b/>
                <w:sz w:val="18"/>
                <w:szCs w:val="18"/>
              </w:rPr>
            </w:pPr>
            <w:r w:rsidRPr="00C525CD">
              <w:rPr>
                <w:b/>
                <w:sz w:val="18"/>
                <w:szCs w:val="18"/>
              </w:rPr>
              <w:t>Úprava U 1250/2</w:t>
            </w:r>
          </w:p>
        </w:tc>
      </w:tr>
      <w:tr w:rsidR="00892CBC" w:rsidRPr="00C525CD" w:rsidTr="00892CBC">
        <w:trPr>
          <w:trHeight w:val="270"/>
        </w:trPr>
        <w:tc>
          <w:tcPr>
            <w:tcW w:w="4693" w:type="dxa"/>
            <w:shd w:val="clear" w:color="auto" w:fill="auto"/>
            <w:noWrap/>
            <w:vAlign w:val="bottom"/>
          </w:tcPr>
          <w:p w:rsidR="00892CBC" w:rsidRPr="00C525CD" w:rsidRDefault="00D940AE" w:rsidP="00F172A0">
            <w:pPr>
              <w:keepNext/>
              <w:spacing w:before="40" w:after="40"/>
              <w:ind w:firstLine="0"/>
              <w:jc w:val="left"/>
              <w:rPr>
                <w:sz w:val="18"/>
                <w:szCs w:val="18"/>
              </w:rPr>
            </w:pPr>
            <w:r w:rsidRPr="00C525CD">
              <w:rPr>
                <w:noProof/>
                <w:sz w:val="18"/>
                <w:szCs w:val="18"/>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1524000" cy="171450"/>
                      <wp:effectExtent l="0" t="0" r="0" b="0"/>
                      <wp:wrapNone/>
                      <wp:docPr id="11" name="Control 8"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1524000" cy="171450"/>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E4717E" id="Control 8" o:spid="_x0000_s1026" style="position:absolute;margin-left:0;margin-top:0;width:120pt;height:13.5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kwzbgIAANMEAAAOAAAAZHJzL2Uyb0RvYy54bWysVNuO0zAQfUfiHyy/t0mq9JKo6Wq3pQhp&#10;gRW7fIDrOI1F4jG227Qg/p2x05YWXhDixfFcPDNnzkzmd4e2IXthrARV0GQYUyIUh1KqbUE/v6wH&#10;M0qsY6pkDShR0KOw9G7x+tW807kYQQ1NKQzBIMrmnS5o7ZzOo8jyWrTMDkELhcYKTMscimYblYZ1&#10;GL1tolEcT6IOTKkNcGEtale9kS5C/KoS3H2sKiscaQqKtblwmnBu/Bkt5izfGqZryU9lsH+oomVS&#10;YdJLqBVzjOyM/CNUK7kBC5UbcmgjqCrJRcCAaJL4NzTPNdMiYMHmWH1pk/1/YfmH/ZMhskTuEkoU&#10;a5GjJShnoCFIXS3LUnhifaM6bXP0f9ZPxkO1+hH4F0sUfALsq38Oy5qprbg3BrpasBILvVIHOC9H&#10;jSlCvOgmoBcshiab7j2U6MN2DkJPD5VpfULsFjkE6o4X6sTBEY7KZDxK4xgZ5mhLpkk6DtxGLD+/&#10;1sa6twJa4i8FNTgaITrbP1qH6ND17OKTKVjLpgnj0agbBTr2GsyNT73NVxHY/p4lWMfDKBusJ7Pp&#10;IF2n40E2jWeDOMkeskmcZulq/cPnTdK8b+6jVOI8eUn6d8yedqCfmTB7pCtoNh6NA6Sr2lvpcL8a&#10;2RZ0hv3BDgVInpw3qgx3x2TT36PbqkJPENr5G8AG0jxP/TxsoDwiZ8ZPAHYf/wR4qcF8o6TDrSqo&#10;/bpjRlDSvFM4DVmSpn4Ng5COpyMUzLVlc21himOogjpK+uvS9au700Zua8yUnPDe46xUMtDo56iv&#10;Cuv2Am5OQHDacr+a13Lw+vUvWvwEAAD//wMAUEsDBBQABgAIAAAAIQBM9DqG2gAAAAQBAAAPAAAA&#10;ZHJzL2Rvd25yZXYueG1sTI9BT8MwDIXvSPyHyEjcWEI1wVSaTmgSOww0aQXuWeO11RqnNFkX/j2G&#10;C7tYfnrW8/eKZXK9mHAMnScN9zMFAqn2tqNGw8f7y90CRIiGrOk9oYZvDLAsr68Kk1t/ph1OVWwE&#10;h1DIjYY2xiGXMtQtOhNmfkBi7+BHZyLLsZF2NGcOd73MlHqQznTEH1oz4KrF+lidnIbPbbfZfC3e&#10;1quY1q/ZNvmp2s21vr1Jz08gIqb4fwy/+IwOJTPt/YlsEL0GLhL/JnvZXLHc8/KoQJaFvIQvfwAA&#10;AP//AwBQSwECLQAUAAYACAAAACEAtoM4kv4AAADhAQAAEwAAAAAAAAAAAAAAAAAAAAAAW0NvbnRl&#10;bnRfVHlwZXNdLnhtbFBLAQItABQABgAIAAAAIQA4/SH/1gAAAJQBAAALAAAAAAAAAAAAAAAAAC8B&#10;AABfcmVscy8ucmVsc1BLAQItABQABgAIAAAAIQC5ikwzbgIAANMEAAAOAAAAAAAAAAAAAAAAAC4C&#10;AABkcnMvZTJvRG9jLnhtbFBLAQItABQABgAIAAAAIQBM9DqG2gAAAAQBAAAPAAAAAAAAAAAAAAAA&#10;AMgEAABkcnMvZG93bnJldi54bWxQSwUGAAAAAAQABADzAAAAzwUAAAAA&#10;" filled="f" stroked="f">
                      <o:lock v:ext="edit" rotation="t" shapetype="t"/>
                    </v:rect>
                  </w:pict>
                </mc:Fallback>
              </mc:AlternateContent>
            </w:r>
            <w:r w:rsidR="00892CBC" w:rsidRPr="00C525CD">
              <w:rPr>
                <w:sz w:val="18"/>
                <w:szCs w:val="18"/>
              </w:rPr>
              <w:t>Kojenecká úmrtnost (do 1 roku)</w:t>
            </w:r>
          </w:p>
        </w:tc>
        <w:tc>
          <w:tcPr>
            <w:tcW w:w="2189" w:type="dxa"/>
            <w:shd w:val="clear" w:color="auto" w:fill="auto"/>
            <w:vAlign w:val="bottom"/>
          </w:tcPr>
          <w:p w:rsidR="00892CBC" w:rsidRPr="00C525CD" w:rsidRDefault="00D940AE" w:rsidP="00892CBC">
            <w:pPr>
              <w:keepNext/>
              <w:widowControl/>
              <w:spacing w:before="40" w:after="40" w:line="240" w:lineRule="auto"/>
              <w:ind w:right="560" w:firstLine="0"/>
              <w:jc w:val="right"/>
              <w:rPr>
                <w:sz w:val="18"/>
                <w:szCs w:val="18"/>
              </w:rPr>
            </w:pPr>
            <w:r w:rsidRPr="00C525CD">
              <w:rPr>
                <w:noProof/>
                <w:sz w:val="18"/>
                <w:szCs w:val="18"/>
              </w:rPr>
              <mc:AlternateContent>
                <mc:Choice Requires="wps">
                  <w:drawing>
                    <wp:anchor distT="0" distB="0" distL="114300" distR="114300" simplePos="0" relativeHeight="251658240" behindDoc="0" locked="0" layoutInCell="1" allowOverlap="1">
                      <wp:simplePos x="0" y="0"/>
                      <wp:positionH relativeFrom="column">
                        <wp:posOffset>-2647950</wp:posOffset>
                      </wp:positionH>
                      <wp:positionV relativeFrom="paragraph">
                        <wp:posOffset>0</wp:posOffset>
                      </wp:positionV>
                      <wp:extent cx="3562350" cy="161925"/>
                      <wp:effectExtent l="0" t="0" r="0" b="0"/>
                      <wp:wrapNone/>
                      <wp:docPr id="10" name="Control 9"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Rot="1" noChangeArrowheads="1" noChangeShapeType="1"/>
                            </wps:cNvSpPr>
                            <wps:spPr bwMode="auto">
                              <a:xfrm>
                                <a:off x="0" y="0"/>
                                <a:ext cx="3562350" cy="161925"/>
                              </a:xfrm>
                              <a:prstGeom prst="rect">
                                <a:avLst/>
                              </a:prstGeom>
                              <a:noFill/>
                              <a:ln>
                                <a:noFill/>
                              </a:ln>
                              <a:extLst>
                                <a:ext uri="{91240B29-F687-4F45-9708-019B960494DF}">
                                  <a14:hiddenLine xmlns:a14="http://schemas.microsoft.com/office/drawing/2010/main" w="9525">
                                    <a:no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B62B6" id="Control 9" o:spid="_x0000_s1026" style="position:absolute;margin-left:-208.5pt;margin-top:0;width:280.5pt;height:12.75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FWYcAIAANMEAAAOAAAAZHJzL2Uyb0RvYy54bWysVNuO0zAQfUfiHyy/d3PZ9JJo09VuSxFS&#10;gRW7fIDrOI1F4jG2u2lB/Dtjp11aeEGIPrgej31mzpyZ3Nzuu5Y8C2MlqJImVzElQnGopNqW9PPT&#10;ajSjxDqmKtaCEiU9CEtv569f3fS6ECk00FbCEARRtuh1SRvndBFFljeiY/YKtFDorMF0zKFptlFl&#10;WI/oXRulcTyJejCVNsCFtXi6HJx0HvDrWnD3sa6tcKQtKebmwmrCuvFrNL9hxdYw3Uh+TIP9QxYd&#10;kwqDvkAtmWNkZ+QfUJ3kBizU7opDF0FdSy4CB2STxL+xeWyYFoELFsfqlzLZ/wfLPzw/GCIr1A7L&#10;o1iHGi1AOQMtySlpZFUJL6wvVK9tgfcf9YPxVK1eA/9iiYJPgHVN8DksGqa24s4Y6BvBKkz07DjQ&#10;eTpoDBHwogtAb1iEJpv+PVR4h+0chJrua9P5gFgtsg/SHV6kE3tHOB5ejyfp9RgpcPQlkyRPxz7l&#10;iBWn19pY91ZAR/ympAZbI6Cz57V1w9XTFR9MwUq2bWiPVl0cIOZwgrHxqff5LILa3/MkzeL7NB+t&#10;JrPpKFtl41E+jWejOMnv80mc5dly9cPHTbJiKO5aKnHqvCT7O2WPMzD0TOg90pc0HyPpi1RZ0UmH&#10;89XKrqSz2P+GjvfivFFVoOeYbId9dJlVKB9SO/0HskE0r9PQDxuoDqiZ8R2A1ccvAW4aMN8o6XGq&#10;Smq/7pgRlLTvFHZDnmSZH8NgZONpioY592zOPUxxhCqpo2TYLtwwujtt5LbBSMmR7x32Si2DjL6P&#10;hqwwb2/g5AQGxyn3o3luh1u/vkXznwAAAP//AwBQSwMEFAAGAAgAAAAhAG886knfAAAACAEAAA8A&#10;AABkcnMvZG93bnJldi54bWxMj0FPwzAMhe9I/IfISNy2dFUHU6k7oUnsMNCkFbhnjWkrmqQ0WRf+&#10;Pd6JXSxb7+n5e8U6ml5MNPrOWYTFPAFBtna6sw3Cx/vLbAXCB2W16p0lhF/ysC5vbwqVa3e2B5qq&#10;0AgOsT5XCG0IQy6lr1syys/dQJa1LzcaFfgcG6lHdeZw08s0SR6kUZ3lD60aaNNS/V2dDMLnvtvt&#10;flZv202I29d0H91UHTLE+7v4/AQiUAz/ZrjgMzqUzHR0J6u96BFm2eKRywQEnhc9y3g5IqTLJciy&#10;kNcFyj8AAAD//wMAUEsBAi0AFAAGAAgAAAAhALaDOJL+AAAA4QEAABMAAAAAAAAAAAAAAAAAAAAA&#10;AFtDb250ZW50X1R5cGVzXS54bWxQSwECLQAUAAYACAAAACEAOP0h/9YAAACUAQAACwAAAAAAAAAA&#10;AAAAAAAvAQAAX3JlbHMvLnJlbHNQSwECLQAUAAYACAAAACEAOrRVmHACAADTBAAADgAAAAAAAAAA&#10;AAAAAAAuAgAAZHJzL2Uyb0RvYy54bWxQSwECLQAUAAYACAAAACEAbzzqSd8AAAAIAQAADwAAAAAA&#10;AAAAAAAAAADKBAAAZHJzL2Rvd25yZXYueG1sUEsFBgAAAAAEAAQA8wAAANYFAAAAAA==&#10;" filled="f" stroked="f">
                      <o:lock v:ext="edit" rotation="t" shapetype="t"/>
                    </v:rect>
                  </w:pict>
                </mc:Fallback>
              </mc:AlternateContent>
            </w:r>
            <w:r w:rsidR="00892CBC" w:rsidRPr="00C525CD">
              <w:rPr>
                <w:sz w:val="18"/>
                <w:szCs w:val="18"/>
              </w:rPr>
              <w:t>0,000002</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0,000002</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Prevalence bronchitidy u dětí 6-12 let</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0,002957</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0,002190</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Incidence chronické bronchitidy u dospělých (&gt; 18 let)</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0,000987</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0,000731</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Úmrtnost u dospělých &gt; 30 let (počet osob)</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0,000506</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0,000422</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Hospitalizace s kardiovaskulárními chorobami</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0,000249</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0,000207</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Hospitalizace s respiračními chorobami</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0,000222</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0,000185</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Dny s omezenou aktivitou</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0,466243</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0,388536</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Dny pracovní neschopnosti</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0,334252</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0,278543</w:t>
            </w:r>
          </w:p>
        </w:tc>
      </w:tr>
      <w:tr w:rsidR="00892CBC" w:rsidRPr="00C525CD" w:rsidTr="00892CBC">
        <w:trPr>
          <w:trHeight w:val="270"/>
        </w:trPr>
        <w:tc>
          <w:tcPr>
            <w:tcW w:w="4693" w:type="dxa"/>
            <w:shd w:val="clear" w:color="auto" w:fill="auto"/>
            <w:noWrap/>
            <w:vAlign w:val="bottom"/>
          </w:tcPr>
          <w:p w:rsidR="00892CBC" w:rsidRPr="00C525CD" w:rsidRDefault="00892CBC" w:rsidP="00F172A0">
            <w:pPr>
              <w:keepNext/>
              <w:spacing w:before="40" w:after="40"/>
              <w:ind w:firstLine="0"/>
              <w:jc w:val="left"/>
              <w:rPr>
                <w:sz w:val="18"/>
                <w:szCs w:val="18"/>
              </w:rPr>
            </w:pPr>
            <w:r w:rsidRPr="00C525CD">
              <w:rPr>
                <w:sz w:val="18"/>
                <w:szCs w:val="18"/>
              </w:rPr>
              <w:t>Příznaky astmatu u astmatických dětí</w:t>
            </w:r>
          </w:p>
        </w:tc>
        <w:tc>
          <w:tcPr>
            <w:tcW w:w="2189"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0,008187</w:t>
            </w:r>
          </w:p>
        </w:tc>
        <w:tc>
          <w:tcPr>
            <w:tcW w:w="2190" w:type="dxa"/>
            <w:shd w:val="clear" w:color="auto" w:fill="auto"/>
            <w:vAlign w:val="bottom"/>
          </w:tcPr>
          <w:p w:rsidR="00892CBC" w:rsidRPr="00C525CD" w:rsidRDefault="00892CBC" w:rsidP="00892CBC">
            <w:pPr>
              <w:keepNext/>
              <w:widowControl/>
              <w:spacing w:before="40" w:after="40" w:line="240" w:lineRule="auto"/>
              <w:ind w:right="560" w:firstLine="0"/>
              <w:jc w:val="right"/>
              <w:rPr>
                <w:sz w:val="18"/>
                <w:szCs w:val="18"/>
              </w:rPr>
            </w:pPr>
            <w:r w:rsidRPr="00C525CD">
              <w:rPr>
                <w:sz w:val="18"/>
                <w:szCs w:val="18"/>
              </w:rPr>
              <w:t>0,006823</w:t>
            </w:r>
          </w:p>
        </w:tc>
      </w:tr>
    </w:tbl>
    <w:p w:rsidR="00F172A0" w:rsidRPr="00C525CD" w:rsidRDefault="00F172A0" w:rsidP="00F172A0">
      <w:pPr>
        <w:widowControl/>
      </w:pPr>
    </w:p>
    <w:p w:rsidR="00F172A0" w:rsidRPr="00C525CD" w:rsidRDefault="00527D5F" w:rsidP="00F172A0">
      <w:pPr>
        <w:widowControl/>
      </w:pPr>
      <w:r w:rsidRPr="00C525CD">
        <w:t>Kvantifikace je provedena na základě nejvyšší hodnot nárůstu koncentrací PM</w:t>
      </w:r>
      <w:r w:rsidRPr="00C525CD">
        <w:rPr>
          <w:vertAlign w:val="subscript"/>
        </w:rPr>
        <w:t>10</w:t>
      </w:r>
      <w:r w:rsidRPr="00C525CD">
        <w:t xml:space="preserve"> a PM</w:t>
      </w:r>
      <w:r w:rsidRPr="00C525CD">
        <w:rPr>
          <w:vertAlign w:val="subscript"/>
        </w:rPr>
        <w:t>2,5</w:t>
      </w:r>
      <w:r w:rsidRPr="00C525CD">
        <w:t xml:space="preserve"> a představuje tak horní hranici potenciálních změn zdravotních účinků. </w:t>
      </w:r>
      <w:r w:rsidR="00F172A0" w:rsidRPr="00C525CD">
        <w:t>Jak vyplývá z uvedené tabulky, pohybují se změny v míře zdravotního rizika vyjádřené jako kojenecká úmrtnost (imisní zátěž PM</w:t>
      </w:r>
      <w:r w:rsidR="00F172A0" w:rsidRPr="00C525CD">
        <w:rPr>
          <w:vertAlign w:val="subscript"/>
        </w:rPr>
        <w:t>10</w:t>
      </w:r>
      <w:r w:rsidR="00F172A0" w:rsidRPr="00C525CD">
        <w:t xml:space="preserve">) </w:t>
      </w:r>
      <w:r w:rsidR="00260CFA" w:rsidRPr="00C525CD">
        <w:t>v řádu</w:t>
      </w:r>
      <w:r w:rsidR="00F172A0" w:rsidRPr="00C525CD">
        <w:t xml:space="preserve"> miliontin nového případu v celé dotčené populaci. V případě úmrtnosti u dospělých nad 30 let se změna pohybuje nejvýše na úrovni </w:t>
      </w:r>
      <w:r w:rsidR="00260CFA" w:rsidRPr="00C525CD">
        <w:t>deseti</w:t>
      </w:r>
      <w:r w:rsidR="00F172A0" w:rsidRPr="00C525CD">
        <w:t>tisícin nového případu. Ačkoliv se ukazuje, že hodnocený záměr způsobí nárůst zdravotního rizika, jedná se o hodnoty pouze statistické, a to výrazně pod hranicí nového případu.</w:t>
      </w:r>
    </w:p>
    <w:p w:rsidR="00F172A0" w:rsidRPr="00C525CD" w:rsidRDefault="00F172A0" w:rsidP="00F172A0">
      <w:pPr>
        <w:widowControl/>
      </w:pPr>
      <w:r w:rsidRPr="00C525CD">
        <w:t xml:space="preserve">I další hodnocené ukazatele jsou pod statistickou hranicí jednoho nového případu, i v případě dnů s omezenou aktivitou a dnů s pracovní neschopností se nárůst pohybuje nejvýše v řádu </w:t>
      </w:r>
      <w:r w:rsidR="00260CFA" w:rsidRPr="00C525CD">
        <w:t>de</w:t>
      </w:r>
      <w:r w:rsidRPr="00C525CD">
        <w:t>setin nového případu. V obou případech se jedná o stanovení účinků na základě vztahů zařazených projektem HRAPIE do skupiny B, tzn. o vztahy s</w:t>
      </w:r>
      <w:r w:rsidR="00484F49" w:rsidRPr="00C525CD">
        <w:t> </w:t>
      </w:r>
      <w:r w:rsidRPr="00C525CD">
        <w:t>vyšší nejistotou výpočtu.</w:t>
      </w:r>
    </w:p>
    <w:p w:rsidR="00F172A0" w:rsidRPr="00C525CD" w:rsidRDefault="00F172A0" w:rsidP="00F172A0">
      <w:r w:rsidRPr="00C525CD">
        <w:t xml:space="preserve">Jak lze očekávat, změny v úrovni zdravotního rizika vlivem posuzované změny </w:t>
      </w:r>
      <w:r w:rsidR="00260CFA" w:rsidRPr="00C525CD">
        <w:t xml:space="preserve">(a podílu úpravy) </w:t>
      </w:r>
      <w:r w:rsidRPr="00C525CD">
        <w:t>budou i v nejvíce dotčené obytné zástavbě nevýznamné ve smyslu ohrožení zdraví a budou převáženy jinými faktory, jako jsou životní styl nebo expozice dalším zdrojům znečišťování.</w:t>
      </w:r>
    </w:p>
    <w:p w:rsidR="00F172A0" w:rsidRPr="00C525CD" w:rsidRDefault="00F172A0" w:rsidP="00F172A0">
      <w:pPr>
        <w:widowControl/>
      </w:pPr>
    </w:p>
    <w:p w:rsidR="00F172A0" w:rsidRPr="00C525CD" w:rsidRDefault="00F172A0" w:rsidP="00F172A0">
      <w:pPr>
        <w:keepNext/>
        <w:widowControl/>
        <w:ind w:firstLine="0"/>
        <w:rPr>
          <w:b/>
        </w:rPr>
      </w:pPr>
      <w:r w:rsidRPr="00C525CD">
        <w:rPr>
          <w:b/>
        </w:rPr>
        <w:t>Oxid dusičitý</w:t>
      </w:r>
    </w:p>
    <w:p w:rsidR="00F172A0" w:rsidRPr="00C525CD" w:rsidRDefault="00F172A0" w:rsidP="00F172A0">
      <w:pPr>
        <w:keepNext/>
        <w:keepLines/>
        <w:widowControl/>
      </w:pPr>
      <w:r w:rsidRPr="00C525CD">
        <w:t xml:space="preserve">Z </w:t>
      </w:r>
      <w:r w:rsidRPr="00C525CD">
        <w:rPr>
          <w:b/>
          <w:bCs/>
        </w:rPr>
        <w:t xml:space="preserve">chronických účinků </w:t>
      </w:r>
      <w:r w:rsidRPr="00C525CD">
        <w:t>NO</w:t>
      </w:r>
      <w:r w:rsidRPr="00C525CD">
        <w:rPr>
          <w:vertAlign w:val="subscript"/>
        </w:rPr>
        <w:t>2</w:t>
      </w:r>
      <w:r w:rsidRPr="00C525CD">
        <w:t xml:space="preserve"> jsou nejčastěji popisovány strukturální plicní změny a zvýšení vnímavosti vůči bakteriím a virovým infekcím.</w:t>
      </w:r>
    </w:p>
    <w:p w:rsidR="00F172A0" w:rsidRPr="00C525CD" w:rsidRDefault="00F172A0" w:rsidP="00F172A0">
      <w:pPr>
        <w:widowControl/>
      </w:pPr>
      <w:r w:rsidRPr="00C525CD">
        <w:t xml:space="preserve">Jak je zřejmé z vyhodnocení vlivů na kvalitu ovzduší, nebude ve výchozím stavu v žádné části výpočtové oblasti překročena směrná hodnota dle WHO. V prostoru záměru byly zaznamenány hodnoty nejvýše do </w:t>
      </w:r>
      <w:r w:rsidR="006016AA" w:rsidRPr="00C525CD">
        <w:t>22</w:t>
      </w:r>
      <w:r w:rsidRPr="00C525CD">
        <w:t xml:space="preserve"> µg.m</w:t>
      </w:r>
      <w:r w:rsidRPr="00C525CD">
        <w:rPr>
          <w:vertAlign w:val="superscript"/>
        </w:rPr>
        <w:t>-3</w:t>
      </w:r>
      <w:r w:rsidRPr="00C525CD">
        <w:t>, tj. pod hranicí 5</w:t>
      </w:r>
      <w:r w:rsidR="006016AA" w:rsidRPr="00C525CD">
        <w:t>5</w:t>
      </w:r>
      <w:r w:rsidRPr="00C525CD">
        <w:t xml:space="preserve"> % směrné </w:t>
      </w:r>
      <w:r w:rsidRPr="00C525CD">
        <w:lastRenderedPageBreak/>
        <w:t xml:space="preserve">hodnoty. Nárůst koncentrací vlivem hodnocené změny </w:t>
      </w:r>
      <w:r w:rsidR="006016AA" w:rsidRPr="00C525CD">
        <w:t xml:space="preserve">Z 3111/10 </w:t>
      </w:r>
      <w:r w:rsidRPr="00C525CD">
        <w:t>v</w:t>
      </w:r>
      <w:r w:rsidR="006016AA" w:rsidRPr="00C525CD">
        <w:t> </w:t>
      </w:r>
      <w:r w:rsidRPr="00C525CD">
        <w:t xml:space="preserve">prostoru zástavby </w:t>
      </w:r>
      <w:r w:rsidR="006016AA" w:rsidRPr="00C525CD">
        <w:t xml:space="preserve">bude činit nejvýše </w:t>
      </w:r>
      <w:r w:rsidRPr="00C525CD">
        <w:t>0,</w:t>
      </w:r>
      <w:r w:rsidR="006016AA" w:rsidRPr="00C525CD">
        <w:t>50</w:t>
      </w:r>
      <w:r w:rsidRPr="00C525CD">
        <w:t> µg.m</w:t>
      </w:r>
      <w:r w:rsidRPr="00C525CD">
        <w:rPr>
          <w:vertAlign w:val="superscript"/>
        </w:rPr>
        <w:t>-3</w:t>
      </w:r>
      <w:r w:rsidR="006016AA" w:rsidRPr="00C525CD">
        <w:t>, v případě úpravy U 1250/2 pak do 0,45 µg.m</w:t>
      </w:r>
      <w:r w:rsidR="006016AA" w:rsidRPr="00C525CD">
        <w:rPr>
          <w:vertAlign w:val="superscript"/>
        </w:rPr>
        <w:t>-3</w:t>
      </w:r>
      <w:r w:rsidR="006016AA" w:rsidRPr="00C525CD">
        <w:t>.</w:t>
      </w:r>
    </w:p>
    <w:p w:rsidR="00527D5F" w:rsidRPr="00C525CD" w:rsidRDefault="00527D5F" w:rsidP="00527D5F">
      <w:pPr>
        <w:widowControl/>
      </w:pPr>
      <w:r w:rsidRPr="00C525CD">
        <w:t>V následující tabulce je provedeno porovnání četnosti výskytu zdravotních účinků, definovaných projektem HRAPIE [</w:t>
      </w:r>
      <w:r w:rsidR="00B168C6" w:rsidRPr="00C525CD">
        <w:t>23</w:t>
      </w:r>
      <w:r w:rsidRPr="00C525CD">
        <w:t>], pro hodnotu nejvyššího nárůstu imisních příspěvků. Počet obyvatel v lokalitách s uvedeným nárůstem lze odhadnout nejvýše v řádu desítek, kvantifikace účinků je provedena pro 100 obyvatel.</w:t>
      </w:r>
    </w:p>
    <w:p w:rsidR="00527D5F" w:rsidRPr="00C525CD" w:rsidRDefault="00527D5F" w:rsidP="00527D5F">
      <w:pPr>
        <w:widowControl/>
        <w:spacing w:before="240" w:after="120"/>
        <w:ind w:firstLine="0"/>
        <w:jc w:val="left"/>
        <w:rPr>
          <w:sz w:val="20"/>
          <w:szCs w:val="22"/>
        </w:rPr>
      </w:pPr>
      <w:r w:rsidRPr="00C525CD">
        <w:rPr>
          <w:b/>
          <w:bCs/>
          <w:sz w:val="24"/>
        </w:rPr>
        <w:t>Tab. 6.4. Vyhodnocení změn v míře zdravotního rizika – vliv expozice NO</w:t>
      </w:r>
      <w:r w:rsidRPr="00C525CD">
        <w:rPr>
          <w:b/>
          <w:bCs/>
          <w:sz w:val="24"/>
          <w:vertAlign w:val="subscript"/>
        </w:rPr>
        <w:t>2</w:t>
      </w:r>
    </w:p>
    <w:tbl>
      <w:tblPr>
        <w:tblW w:w="9072" w:type="dxa"/>
        <w:tblInd w:w="55"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8"/>
        <w:gridCol w:w="2402"/>
        <w:gridCol w:w="2402"/>
      </w:tblGrid>
      <w:tr w:rsidR="00260CFA" w:rsidRPr="00C525CD" w:rsidTr="00260CFA">
        <w:trPr>
          <w:trHeight w:val="270"/>
        </w:trPr>
        <w:tc>
          <w:tcPr>
            <w:tcW w:w="4268" w:type="dxa"/>
            <w:vAlign w:val="center"/>
          </w:tcPr>
          <w:p w:rsidR="00260CFA" w:rsidRPr="00C525CD" w:rsidRDefault="00260CFA" w:rsidP="008218F9">
            <w:pPr>
              <w:keepNext/>
              <w:spacing w:before="40" w:after="40"/>
              <w:ind w:firstLine="0"/>
              <w:jc w:val="left"/>
              <w:rPr>
                <w:sz w:val="18"/>
                <w:szCs w:val="18"/>
              </w:rPr>
            </w:pPr>
          </w:p>
        </w:tc>
        <w:tc>
          <w:tcPr>
            <w:tcW w:w="2402" w:type="dxa"/>
            <w:shd w:val="clear" w:color="auto" w:fill="auto"/>
            <w:vAlign w:val="bottom"/>
          </w:tcPr>
          <w:p w:rsidR="00260CFA" w:rsidRPr="00C525CD" w:rsidRDefault="00260CFA" w:rsidP="00E37182">
            <w:pPr>
              <w:keepNext/>
              <w:spacing w:before="40" w:after="40"/>
              <w:ind w:firstLine="0"/>
              <w:jc w:val="center"/>
              <w:rPr>
                <w:b/>
                <w:sz w:val="18"/>
                <w:szCs w:val="18"/>
              </w:rPr>
            </w:pPr>
            <w:r w:rsidRPr="00C525CD">
              <w:rPr>
                <w:b/>
                <w:sz w:val="18"/>
                <w:szCs w:val="18"/>
              </w:rPr>
              <w:t>Změna Z 3111/10</w:t>
            </w:r>
          </w:p>
        </w:tc>
        <w:tc>
          <w:tcPr>
            <w:tcW w:w="2402" w:type="dxa"/>
            <w:shd w:val="clear" w:color="auto" w:fill="auto"/>
            <w:vAlign w:val="bottom"/>
          </w:tcPr>
          <w:p w:rsidR="00260CFA" w:rsidRPr="00C525CD" w:rsidRDefault="00260CFA" w:rsidP="00E37182">
            <w:pPr>
              <w:keepNext/>
              <w:spacing w:before="40" w:after="40"/>
              <w:ind w:firstLine="0"/>
              <w:jc w:val="center"/>
              <w:rPr>
                <w:b/>
                <w:sz w:val="18"/>
                <w:szCs w:val="18"/>
              </w:rPr>
            </w:pPr>
            <w:r w:rsidRPr="00C525CD">
              <w:rPr>
                <w:b/>
                <w:sz w:val="18"/>
                <w:szCs w:val="18"/>
              </w:rPr>
              <w:t>Úprava U 1250/2</w:t>
            </w:r>
          </w:p>
        </w:tc>
      </w:tr>
      <w:tr w:rsidR="00260CFA" w:rsidRPr="00C525CD" w:rsidTr="00260CFA">
        <w:trPr>
          <w:trHeight w:val="270"/>
        </w:trPr>
        <w:tc>
          <w:tcPr>
            <w:tcW w:w="4268" w:type="dxa"/>
            <w:vAlign w:val="center"/>
          </w:tcPr>
          <w:p w:rsidR="00260CFA" w:rsidRPr="00C525CD" w:rsidRDefault="00260CFA" w:rsidP="00E37182">
            <w:pPr>
              <w:keepNext/>
              <w:spacing w:before="40" w:after="40"/>
              <w:ind w:firstLine="0"/>
              <w:jc w:val="left"/>
              <w:rPr>
                <w:sz w:val="18"/>
                <w:szCs w:val="18"/>
              </w:rPr>
            </w:pPr>
            <w:r w:rsidRPr="00C525CD">
              <w:rPr>
                <w:sz w:val="18"/>
                <w:szCs w:val="18"/>
              </w:rPr>
              <w:t>Hospitalizace s respiračními chorobami</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0,001171</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0,001054</w:t>
            </w:r>
          </w:p>
        </w:tc>
      </w:tr>
      <w:tr w:rsidR="00260CFA" w:rsidRPr="00C525CD" w:rsidTr="00260CFA">
        <w:trPr>
          <w:trHeight w:val="270"/>
        </w:trPr>
        <w:tc>
          <w:tcPr>
            <w:tcW w:w="4268" w:type="dxa"/>
            <w:vAlign w:val="center"/>
          </w:tcPr>
          <w:p w:rsidR="00260CFA" w:rsidRPr="00C525CD" w:rsidRDefault="00260CFA" w:rsidP="008218F9">
            <w:pPr>
              <w:keepNext/>
              <w:spacing w:before="40" w:after="40"/>
              <w:ind w:firstLine="0"/>
              <w:jc w:val="left"/>
              <w:rPr>
                <w:sz w:val="18"/>
                <w:szCs w:val="18"/>
              </w:rPr>
            </w:pPr>
            <w:r w:rsidRPr="00C525CD">
              <w:rPr>
                <w:sz w:val="18"/>
                <w:szCs w:val="18"/>
              </w:rPr>
              <w:t>Úmrtnost u dospělých &gt; 30 let</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0,002493</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0,002244</w:t>
            </w:r>
          </w:p>
        </w:tc>
      </w:tr>
      <w:tr w:rsidR="00260CFA" w:rsidRPr="00C525CD" w:rsidTr="00260CFA">
        <w:trPr>
          <w:trHeight w:val="270"/>
        </w:trPr>
        <w:tc>
          <w:tcPr>
            <w:tcW w:w="4268" w:type="dxa"/>
            <w:vAlign w:val="center"/>
          </w:tcPr>
          <w:p w:rsidR="00260CFA" w:rsidRPr="00C525CD" w:rsidRDefault="00260CFA" w:rsidP="008218F9">
            <w:pPr>
              <w:keepNext/>
              <w:spacing w:before="40" w:after="40"/>
              <w:ind w:firstLine="0"/>
              <w:jc w:val="left"/>
              <w:rPr>
                <w:sz w:val="18"/>
                <w:szCs w:val="18"/>
              </w:rPr>
            </w:pPr>
            <w:r w:rsidRPr="00C525CD">
              <w:rPr>
                <w:sz w:val="18"/>
                <w:szCs w:val="18"/>
              </w:rPr>
              <w:t>Prevalence bronchitidy u dětí 5-14</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0,001688</w:t>
            </w:r>
          </w:p>
        </w:tc>
        <w:tc>
          <w:tcPr>
            <w:tcW w:w="2402" w:type="dxa"/>
            <w:shd w:val="clear" w:color="auto" w:fill="auto"/>
            <w:vAlign w:val="bottom"/>
          </w:tcPr>
          <w:p w:rsidR="00260CFA" w:rsidRPr="00C525CD" w:rsidRDefault="00260CFA" w:rsidP="00260CFA">
            <w:pPr>
              <w:keepNext/>
              <w:widowControl/>
              <w:spacing w:before="40" w:after="40" w:line="240" w:lineRule="auto"/>
              <w:ind w:right="560" w:firstLine="0"/>
              <w:jc w:val="right"/>
              <w:rPr>
                <w:sz w:val="18"/>
                <w:szCs w:val="18"/>
              </w:rPr>
            </w:pPr>
            <w:r w:rsidRPr="00C525CD">
              <w:rPr>
                <w:sz w:val="18"/>
                <w:szCs w:val="18"/>
              </w:rPr>
              <w:t>0,001519</w:t>
            </w:r>
          </w:p>
        </w:tc>
      </w:tr>
    </w:tbl>
    <w:p w:rsidR="00527D5F" w:rsidRPr="00C525CD" w:rsidRDefault="00527D5F" w:rsidP="00F172A0">
      <w:pPr>
        <w:widowControl/>
      </w:pPr>
    </w:p>
    <w:p w:rsidR="00F172A0" w:rsidRPr="00C525CD" w:rsidRDefault="00527D5F" w:rsidP="00F172A0">
      <w:pPr>
        <w:widowControl/>
      </w:pPr>
      <w:r w:rsidRPr="00C525CD">
        <w:t>Kvantifikace je provedena na základě nejvyšší hodnot nárůstu koncentrací NO</w:t>
      </w:r>
      <w:r w:rsidRPr="00C525CD">
        <w:rPr>
          <w:vertAlign w:val="subscript"/>
        </w:rPr>
        <w:t>2</w:t>
      </w:r>
      <w:r w:rsidRPr="00C525CD">
        <w:t xml:space="preserve"> a představuje tak horní hranici potenciálních změn zdravotních účinků. </w:t>
      </w:r>
      <w:r w:rsidR="00F172A0" w:rsidRPr="00C525CD">
        <w:t>Jak je zřejmé z</w:t>
      </w:r>
      <w:r w:rsidR="00484F49" w:rsidRPr="00C525CD">
        <w:t> </w:t>
      </w:r>
      <w:r w:rsidR="00F172A0" w:rsidRPr="00C525CD">
        <w:t>uvedené tabulky, u míry zdravotního rizika vyjádřené jako úmrtnost u dospělých byla vypočtena změna vlivem hodnocené změny</w:t>
      </w:r>
      <w:r w:rsidR="00031659" w:rsidRPr="00C525CD">
        <w:t xml:space="preserve"> v řádu tisícin nového případu</w:t>
      </w:r>
      <w:r w:rsidR="00F172A0" w:rsidRPr="00C525CD">
        <w:t>. V případě hospitalizace s</w:t>
      </w:r>
      <w:r w:rsidR="00484F49" w:rsidRPr="00C525CD">
        <w:t> </w:t>
      </w:r>
      <w:r w:rsidR="00F172A0" w:rsidRPr="00C525CD">
        <w:t>respiračními chorobami a prevalence bronchitidy u dětí byl vypočten nárůst míry rizika statisticky také výrazně pod hranicí jednoho nového případu v</w:t>
      </w:r>
      <w:r w:rsidR="00BE1784">
        <w:t> </w:t>
      </w:r>
      <w:r w:rsidR="00F172A0" w:rsidRPr="00C525CD">
        <w:t xml:space="preserve">dotčené populaci, a to </w:t>
      </w:r>
      <w:r w:rsidR="00031659" w:rsidRPr="00C525CD">
        <w:t xml:space="preserve">opět v řádu </w:t>
      </w:r>
      <w:r w:rsidR="00F172A0" w:rsidRPr="00C525CD">
        <w:t>tisícin nového případu. Hodnocená změna se tedy nijak pozorovatelně neprojeví v míře zdravotního rizika v zájmovém území.</w:t>
      </w:r>
    </w:p>
    <w:p w:rsidR="00F172A0" w:rsidRPr="00C525CD" w:rsidRDefault="00F172A0" w:rsidP="00F172A0">
      <w:pPr>
        <w:widowControl/>
      </w:pPr>
    </w:p>
    <w:p w:rsidR="00F172A0" w:rsidRPr="00C525CD" w:rsidRDefault="00F172A0" w:rsidP="00F172A0">
      <w:pPr>
        <w:pStyle w:val="Nadpis3"/>
        <w:widowControl/>
        <w:numPr>
          <w:ilvl w:val="2"/>
          <w:numId w:val="4"/>
        </w:numPr>
        <w:tabs>
          <w:tab w:val="clear" w:pos="851"/>
        </w:tabs>
        <w:spacing w:line="288" w:lineRule="auto"/>
        <w:ind w:hanging="850"/>
      </w:pPr>
      <w:r w:rsidRPr="00C525CD">
        <w:t>Benzen</w:t>
      </w:r>
    </w:p>
    <w:p w:rsidR="00F172A0" w:rsidRPr="00C525CD" w:rsidRDefault="00F172A0" w:rsidP="00F172A0">
      <w:pPr>
        <w:ind w:firstLine="708"/>
      </w:pPr>
      <w:r w:rsidRPr="00C525CD">
        <w:t>Benzen je prokázaný humánní karcinogen. V rámci tohoto vyhodnocení byla použita hodnota jednotkového rizika stanovená WHO ve výši 6 × 10</w:t>
      </w:r>
      <w:r w:rsidRPr="00C525CD">
        <w:rPr>
          <w:vertAlign w:val="superscript"/>
        </w:rPr>
        <w:t>-6</w:t>
      </w:r>
      <w:r w:rsidRPr="00C525CD">
        <w:t xml:space="preserve"> (</w:t>
      </w:r>
      <w:r w:rsidRPr="00C525CD">
        <w:sym w:font="Symbol" w:char="F06D"/>
      </w:r>
      <w:r w:rsidRPr="00C525CD">
        <w:t>g.m</w:t>
      </w:r>
      <w:r w:rsidRPr="00C525CD">
        <w:rPr>
          <w:vertAlign w:val="superscript"/>
        </w:rPr>
        <w:t>-3</w:t>
      </w:r>
      <w:r w:rsidRPr="00C525CD">
        <w:t>)</w:t>
      </w:r>
      <w:r w:rsidRPr="00C525CD">
        <w:rPr>
          <w:vertAlign w:val="superscript"/>
        </w:rPr>
        <w:t>-1</w:t>
      </w:r>
      <w:r w:rsidRPr="00C525CD">
        <w:t xml:space="preserve">. Tato hodnota znamená, že koncentrace benzenu 1 </w:t>
      </w:r>
      <w:r w:rsidRPr="00C525CD">
        <w:rPr>
          <w:rFonts w:ascii="Symbol" w:hAnsi="Symbol"/>
        </w:rPr>
        <w:t></w:t>
      </w:r>
      <w:r w:rsidRPr="00C525CD">
        <w:t>g.m</w:t>
      </w:r>
      <w:r w:rsidRPr="00C525CD">
        <w:rPr>
          <w:vertAlign w:val="superscript"/>
        </w:rPr>
        <w:t>-3</w:t>
      </w:r>
      <w:r w:rsidRPr="00C525CD">
        <w:t xml:space="preserve"> zvyšuje (při celoživotní expozici – po dobu 70 let) riziko incidence leukémie o 6 případů na 1 milion osob. Neexistuje tedy bezpečná mez. Evropská a česká legislativa tyto skutečnosti respektuje s tím, že pro účely ochrany zdraví obyvatel musela být přijata určitá dlouhodobá (roční) limitní hodnota, která by v podstatě vyjádřila ještě přijatelnou (referenční) mez karcinogenního rizika. Dle dostupných podkladů a v souladu s informacemi Státního zdravotního ústavu je doporučeno uvažovat nejvyšší přijatelné hodnoty v řádu 10</w:t>
      </w:r>
      <w:r w:rsidRPr="00C525CD">
        <w:rPr>
          <w:vertAlign w:val="superscript"/>
        </w:rPr>
        <w:t>-6</w:t>
      </w:r>
      <w:r w:rsidRPr="00C525CD">
        <w:t>.</w:t>
      </w:r>
    </w:p>
    <w:p w:rsidR="00F172A0" w:rsidRPr="00C525CD" w:rsidRDefault="00F172A0" w:rsidP="00F172A0">
      <w:r w:rsidRPr="00C525CD">
        <w:t>Jak ukazují výsledky modelových výpočtů, lze v zástavbě v hodnoceném území očekávat ve výchozím stavu hodnoty na úrovni 0,</w:t>
      </w:r>
      <w:r w:rsidR="00CC5889" w:rsidRPr="00C525CD">
        <w:t>9</w:t>
      </w:r>
      <w:r w:rsidRPr="00C525CD">
        <w:t xml:space="preserve"> – </w:t>
      </w:r>
      <w:r w:rsidR="00CC5889" w:rsidRPr="00C525CD">
        <w:t>1</w:t>
      </w:r>
      <w:r w:rsidRPr="00C525CD">
        <w:t>,</w:t>
      </w:r>
      <w:r w:rsidR="00CC5889" w:rsidRPr="00C525CD">
        <w:t>1</w:t>
      </w:r>
      <w:r w:rsidRPr="00C525CD">
        <w:t xml:space="preserve"> µg.m</w:t>
      </w:r>
      <w:r w:rsidRPr="00C525CD">
        <w:rPr>
          <w:vertAlign w:val="superscript"/>
        </w:rPr>
        <w:t>-3</w:t>
      </w:r>
      <w:r w:rsidRPr="00C525CD">
        <w:t xml:space="preserve">. Tomuto rozpětí odpovídá míra karcinogenního rizika </w:t>
      </w:r>
      <w:r w:rsidR="00CC5889" w:rsidRPr="00C525CD">
        <w:t>5,4</w:t>
      </w:r>
      <w:r w:rsidRPr="00C525CD">
        <w:t xml:space="preserve"> – </w:t>
      </w:r>
      <w:r w:rsidR="00CC5889" w:rsidRPr="00C525CD">
        <w:t>6,6</w:t>
      </w:r>
      <w:r w:rsidRPr="00C525CD">
        <w:t xml:space="preserve"> × 10</w:t>
      </w:r>
      <w:r w:rsidRPr="00C525CD">
        <w:rPr>
          <w:vertAlign w:val="superscript"/>
        </w:rPr>
        <w:t>-6</w:t>
      </w:r>
      <w:r w:rsidRPr="00C525CD">
        <w:t>. Jedná se tedy o hodnoty na hranici přijatelné míry rizika.</w:t>
      </w:r>
    </w:p>
    <w:p w:rsidR="00F172A0" w:rsidRPr="00C525CD" w:rsidRDefault="00F172A0" w:rsidP="00F172A0">
      <w:r w:rsidRPr="00C525CD">
        <w:t xml:space="preserve">Vlivem hodnocené změny </w:t>
      </w:r>
      <w:r w:rsidR="00CC5889" w:rsidRPr="00C525CD">
        <w:t xml:space="preserve">Z 3111/10 </w:t>
      </w:r>
      <w:r w:rsidRPr="00C525CD">
        <w:t xml:space="preserve">byl vypočten nejvyšší nárůst imisní zátěže </w:t>
      </w:r>
      <w:r w:rsidRPr="00C525CD">
        <w:lastRenderedPageBreak/>
        <w:t>v prostoru obytné zástavby do 0,0</w:t>
      </w:r>
      <w:r w:rsidR="00CC5889" w:rsidRPr="00C525CD">
        <w:t>6</w:t>
      </w:r>
      <w:r w:rsidRPr="00C525CD">
        <w:t xml:space="preserve"> µg.m</w:t>
      </w:r>
      <w:r w:rsidRPr="00C525CD">
        <w:rPr>
          <w:vertAlign w:val="superscript"/>
        </w:rPr>
        <w:t>-3</w:t>
      </w:r>
      <w:r w:rsidR="00CC5889" w:rsidRPr="00C525CD">
        <w:t>, v případě úpravy U 1250/2 pak do 0,05</w:t>
      </w:r>
      <w:r w:rsidR="00BE1784">
        <w:t> </w:t>
      </w:r>
      <w:r w:rsidR="00CC5889" w:rsidRPr="00C525CD">
        <w:t>µg.m</w:t>
      </w:r>
      <w:r w:rsidR="00CC5889" w:rsidRPr="00C525CD">
        <w:rPr>
          <w:vertAlign w:val="superscript"/>
        </w:rPr>
        <w:t>-3</w:t>
      </w:r>
      <w:r w:rsidR="00CC5889" w:rsidRPr="00C525CD">
        <w:t xml:space="preserve">. </w:t>
      </w:r>
      <w:r w:rsidRPr="00C525CD">
        <w:t>T</w:t>
      </w:r>
      <w:r w:rsidR="00CC5889" w:rsidRPr="00C525CD">
        <w:t>ěm</w:t>
      </w:r>
      <w:r w:rsidRPr="00C525CD">
        <w:t>to hodnot</w:t>
      </w:r>
      <w:r w:rsidR="00CC5889" w:rsidRPr="00C525CD">
        <w:t>ám</w:t>
      </w:r>
      <w:r w:rsidRPr="00C525CD">
        <w:t xml:space="preserve"> odpovídá nárůst rizika výskytu zdravotních účinků z chronické expozice benzenu nejvýše</w:t>
      </w:r>
      <w:r w:rsidR="00CC5889" w:rsidRPr="00C525CD">
        <w:t xml:space="preserve"> 3,6</w:t>
      </w:r>
      <w:r w:rsidRPr="00C525CD">
        <w:t xml:space="preserve"> × </w:t>
      </w:r>
      <w:r w:rsidRPr="00C525CD">
        <w:rPr>
          <w:rFonts w:hint="eastAsia"/>
        </w:rPr>
        <w:t>10</w:t>
      </w:r>
      <w:r w:rsidRPr="00C525CD">
        <w:rPr>
          <w:rFonts w:hint="eastAsia"/>
          <w:vertAlign w:val="superscript"/>
        </w:rPr>
        <w:t>-</w:t>
      </w:r>
      <w:r w:rsidR="00CC5889" w:rsidRPr="00C525CD">
        <w:rPr>
          <w:vertAlign w:val="superscript"/>
        </w:rPr>
        <w:t>7</w:t>
      </w:r>
      <w:r w:rsidRPr="00C525CD">
        <w:t xml:space="preserve"> (1 případ na </w:t>
      </w:r>
      <w:r w:rsidR="00CC5889" w:rsidRPr="00C525CD">
        <w:t>téměř</w:t>
      </w:r>
      <w:r w:rsidRPr="00C525CD">
        <w:t xml:space="preserve"> </w:t>
      </w:r>
      <w:r w:rsidR="00CC5889" w:rsidRPr="00C525CD">
        <w:t>2,8</w:t>
      </w:r>
      <w:r w:rsidRPr="00C525CD">
        <w:t xml:space="preserve"> milion</w:t>
      </w:r>
      <w:r w:rsidR="00CC5889" w:rsidRPr="00C525CD">
        <w:t>u</w:t>
      </w:r>
      <w:r w:rsidRPr="00C525CD">
        <w:t xml:space="preserve"> obyvatel)</w:t>
      </w:r>
      <w:r w:rsidR="00CC5889" w:rsidRPr="00C525CD">
        <w:t>, respektive 3,0 × 10</w:t>
      </w:r>
      <w:r w:rsidR="00CC5889" w:rsidRPr="00C525CD">
        <w:rPr>
          <w:vertAlign w:val="superscript"/>
        </w:rPr>
        <w:t>-7</w:t>
      </w:r>
      <w:r w:rsidR="00CC5889" w:rsidRPr="00C525CD">
        <w:t xml:space="preserve"> (1 případ na více než 3,3 milionu obyvatel)</w:t>
      </w:r>
      <w:r w:rsidRPr="00C525CD">
        <w:t>. Vzhledem k počtu zasažených obyvatel (v řádu desítek</w:t>
      </w:r>
      <w:r w:rsidR="00CC5889" w:rsidRPr="00C525CD">
        <w:t>., do jedné stovky</w:t>
      </w:r>
      <w:r w:rsidRPr="00C525CD">
        <w:t>) lze konstatovat, že vypočtené změny zdravotních rizik ve smyslu ohrožení zdraví jsou zcela nevýznamné.</w:t>
      </w:r>
    </w:p>
    <w:p w:rsidR="00F172A0" w:rsidRPr="00C525CD" w:rsidRDefault="00F172A0" w:rsidP="00F172A0"/>
    <w:p w:rsidR="00F172A0" w:rsidRPr="00C525CD" w:rsidRDefault="00F172A0" w:rsidP="00F172A0">
      <w:pPr>
        <w:pStyle w:val="Nadpis3"/>
        <w:widowControl/>
        <w:numPr>
          <w:ilvl w:val="2"/>
          <w:numId w:val="4"/>
        </w:numPr>
        <w:tabs>
          <w:tab w:val="clear" w:pos="851"/>
        </w:tabs>
        <w:spacing w:line="288" w:lineRule="auto"/>
        <w:ind w:hanging="850"/>
      </w:pPr>
      <w:r w:rsidRPr="00C525CD">
        <w:t xml:space="preserve">Benzo[a]pyren </w:t>
      </w:r>
    </w:p>
    <w:p w:rsidR="00F172A0" w:rsidRPr="00C525CD" w:rsidRDefault="00F172A0" w:rsidP="00F172A0">
      <w:r w:rsidRPr="00C525CD">
        <w:t>Pro vyhodnocení rizika z expozice B[a]P byla použita hodnota jednotkového rizika stanovená WHO pro celoživotní expozici ve výši 87 × 10</w:t>
      </w:r>
      <w:r w:rsidRPr="00C525CD">
        <w:rPr>
          <w:vertAlign w:val="superscript"/>
        </w:rPr>
        <w:t>-6</w:t>
      </w:r>
      <w:r w:rsidRPr="00C525CD">
        <w:t xml:space="preserve"> (ng.m</w:t>
      </w:r>
      <w:r w:rsidRPr="00C525CD">
        <w:rPr>
          <w:vertAlign w:val="superscript"/>
        </w:rPr>
        <w:t>-3</w:t>
      </w:r>
      <w:r w:rsidRPr="00C525CD">
        <w:t>)</w:t>
      </w:r>
      <w:r w:rsidRPr="00C525CD">
        <w:rPr>
          <w:vertAlign w:val="superscript"/>
        </w:rPr>
        <w:t>-1</w:t>
      </w:r>
      <w:r w:rsidRPr="00C525CD">
        <w:t>. Tato hodnota znamená, že koncentrace benzo[a]pyrenu v 1 ng.m</w:t>
      </w:r>
      <w:r w:rsidRPr="00C525CD">
        <w:rPr>
          <w:vertAlign w:val="superscript"/>
        </w:rPr>
        <w:t>-3</w:t>
      </w:r>
      <w:r w:rsidRPr="00C525CD">
        <w:t xml:space="preserve"> zvyšuje (při celoživotní expozici – po dobu 70 let) riziko výskytu rakoviny o 87 případů na milion osob. Nejvyšší přijatelné riziko je opět uvažováno v řádu 10</w:t>
      </w:r>
      <w:r w:rsidRPr="00C525CD">
        <w:rPr>
          <w:vertAlign w:val="superscript"/>
        </w:rPr>
        <w:t>-6</w:t>
      </w:r>
      <w:r w:rsidRPr="00C525CD">
        <w:t>.</w:t>
      </w:r>
    </w:p>
    <w:p w:rsidR="00F172A0" w:rsidRPr="00C525CD" w:rsidRDefault="00F172A0" w:rsidP="00F172A0">
      <w:r w:rsidRPr="00C525CD">
        <w:t xml:space="preserve">Jak vyplývá z výsledků rozptylové studie, ve výchozím stavu byly </w:t>
      </w:r>
      <w:r w:rsidR="00CD24A2" w:rsidRPr="00C525CD">
        <w:t xml:space="preserve">v zástavbě v zájmovém území </w:t>
      </w:r>
      <w:r w:rsidRPr="00C525CD">
        <w:t>vypočteny hodnoty 0,</w:t>
      </w:r>
      <w:r w:rsidR="00CD24A2" w:rsidRPr="00C525CD">
        <w:t>85</w:t>
      </w:r>
      <w:r w:rsidRPr="00C525CD">
        <w:t xml:space="preserve"> – </w:t>
      </w:r>
      <w:r w:rsidR="00CD24A2" w:rsidRPr="00C525CD">
        <w:t>1</w:t>
      </w:r>
      <w:r w:rsidRPr="00C525CD">
        <w:t>,</w:t>
      </w:r>
      <w:r w:rsidR="00CD24A2" w:rsidRPr="00C525CD">
        <w:t>0</w:t>
      </w:r>
      <w:r w:rsidRPr="00C525CD">
        <w:t>0 ng.m</w:t>
      </w:r>
      <w:r w:rsidRPr="00C525CD">
        <w:rPr>
          <w:vertAlign w:val="superscript"/>
        </w:rPr>
        <w:t>-3</w:t>
      </w:r>
      <w:r w:rsidRPr="00C525CD">
        <w:t>. To již odpovídá hodnotám nad hranicí přijatelného rizika. Úroveň přijatelného rizika v řádu 10</w:t>
      </w:r>
      <w:r w:rsidRPr="00C525CD">
        <w:rPr>
          <w:vertAlign w:val="superscript"/>
        </w:rPr>
        <w:t>-6</w:t>
      </w:r>
      <w:r w:rsidRPr="00C525CD">
        <w:t xml:space="preserve"> by byla dosažena již při koncentraci na úrovni 0,1 ng.m</w:t>
      </w:r>
      <w:r w:rsidRPr="00C525CD">
        <w:rPr>
          <w:vertAlign w:val="superscript"/>
        </w:rPr>
        <w:t>-3</w:t>
      </w:r>
      <w:r w:rsidRPr="00C525CD">
        <w:t xml:space="preserve"> nebo nižší, což je hodnota překročená na všech měřicích stanicích v ČR.</w:t>
      </w:r>
    </w:p>
    <w:p w:rsidR="00F172A0" w:rsidRPr="00C525CD" w:rsidRDefault="00CD24A2" w:rsidP="00F172A0">
      <w:r w:rsidRPr="00C525CD">
        <w:t>Vlivem hodnocené změny Z 3111/10 i úpravy U 1250/2 byl vypočten nejvyšší nárůst imisní zátěže v prostoru obytné zástavby do 0,020 ng.m</w:t>
      </w:r>
      <w:r w:rsidRPr="00C525CD">
        <w:rPr>
          <w:vertAlign w:val="superscript"/>
        </w:rPr>
        <w:t>-3</w:t>
      </w:r>
      <w:r w:rsidRPr="00C525CD">
        <w:t>.</w:t>
      </w:r>
      <w:r w:rsidR="00F172A0" w:rsidRPr="00C525CD">
        <w:t xml:space="preserve"> Tomuto nárůstu odpovídá zvýšení karcinogenního rizika </w:t>
      </w:r>
      <w:r w:rsidRPr="00C525CD">
        <w:t>1</w:t>
      </w:r>
      <w:r w:rsidR="00F172A0" w:rsidRPr="00C525CD">
        <w:t>,</w:t>
      </w:r>
      <w:r w:rsidRPr="00C525CD">
        <w:t>7</w:t>
      </w:r>
      <w:r w:rsidR="00F172A0" w:rsidRPr="00C525CD">
        <w:t>4 × 10</w:t>
      </w:r>
      <w:r w:rsidR="00F172A0" w:rsidRPr="00C525CD">
        <w:rPr>
          <w:vertAlign w:val="superscript"/>
        </w:rPr>
        <w:t>-</w:t>
      </w:r>
      <w:r w:rsidRPr="00C525CD">
        <w:rPr>
          <w:vertAlign w:val="superscript"/>
        </w:rPr>
        <w:t>6</w:t>
      </w:r>
      <w:r w:rsidR="00F172A0" w:rsidRPr="00C525CD">
        <w:t xml:space="preserve">, což činí jeden případ na </w:t>
      </w:r>
      <w:r w:rsidRPr="00C525CD">
        <w:t>více než 570 tisíc</w:t>
      </w:r>
      <w:r w:rsidR="00F172A0" w:rsidRPr="00C525CD">
        <w:t xml:space="preserve"> obyvatel. Vzhledem k velikosti dotčené populace (v řádu desítek</w:t>
      </w:r>
      <w:r w:rsidRPr="00C525CD">
        <w:t>, nejvýše do stovky</w:t>
      </w:r>
      <w:r w:rsidR="00F172A0" w:rsidRPr="00C525CD">
        <w:t>) se z hlediska vlivů na lidské zdraví jedná o hodnoty zcela nevýznamné.</w:t>
      </w:r>
    </w:p>
    <w:p w:rsidR="00F172A0" w:rsidRPr="00C525CD" w:rsidRDefault="00F172A0" w:rsidP="00F172A0"/>
    <w:p w:rsidR="00527D5F" w:rsidRPr="00C525CD" w:rsidRDefault="00527D5F" w:rsidP="00527D5F">
      <w:pPr>
        <w:pStyle w:val="Nadpis2"/>
        <w:pageBreakBefore/>
        <w:numPr>
          <w:ilvl w:val="1"/>
          <w:numId w:val="4"/>
        </w:numPr>
      </w:pPr>
      <w:bookmarkStart w:id="57" w:name="_Toc73358442"/>
      <w:r w:rsidRPr="00C525CD">
        <w:lastRenderedPageBreak/>
        <w:t>Vlivy hluku na zdraví obyvatel</w:t>
      </w:r>
      <w:bookmarkEnd w:id="57"/>
      <w:r w:rsidRPr="00C525CD">
        <w:t xml:space="preserve"> </w:t>
      </w:r>
    </w:p>
    <w:p w:rsidR="00527D5F" w:rsidRPr="00C525CD" w:rsidRDefault="00527D5F" w:rsidP="00527D5F">
      <w:pPr>
        <w:pStyle w:val="Nadpis3"/>
        <w:widowControl/>
        <w:numPr>
          <w:ilvl w:val="2"/>
          <w:numId w:val="4"/>
        </w:numPr>
        <w:spacing w:line="288" w:lineRule="auto"/>
      </w:pPr>
      <w:r w:rsidRPr="00C525CD">
        <w:t>Identifikace nebezpečnosti a vztahů dávka – účinek</w:t>
      </w:r>
    </w:p>
    <w:p w:rsidR="00527D5F" w:rsidRPr="00C525CD" w:rsidRDefault="00527D5F" w:rsidP="00527D5F">
      <w:pPr>
        <w:widowControl/>
        <w:shd w:val="clear" w:color="auto" w:fill="FFFFFF"/>
        <w:rPr>
          <w:spacing w:val="-1"/>
        </w:rPr>
      </w:pPr>
      <w:r w:rsidRPr="00C525CD">
        <w:rPr>
          <w:spacing w:val="4"/>
        </w:rPr>
        <w:t xml:space="preserve">Nepříznivé účinky hluku na lidské zdraví jsou obecně definovány jako morfologické nebo </w:t>
      </w:r>
      <w:r w:rsidRPr="00C525CD">
        <w:rPr>
          <w:spacing w:val="6"/>
        </w:rPr>
        <w:t xml:space="preserve">funkční změny organismu, které vedou ke zhoršení jeho funkcí, ke snížení kompenzační </w:t>
      </w:r>
      <w:r w:rsidRPr="00C525CD">
        <w:t xml:space="preserve">kapacity vůči stresu nebo zvýšení vnímavosti k jiným nepříznivým vlivům prostředí. </w:t>
      </w:r>
      <w:r w:rsidRPr="00C525CD">
        <w:rPr>
          <w:spacing w:val="5"/>
        </w:rPr>
        <w:t xml:space="preserve">Účinky hluku na lidské zdraví je možné s určitým zjednodušením </w:t>
      </w:r>
      <w:r w:rsidRPr="00C525CD">
        <w:rPr>
          <w:spacing w:val="2"/>
        </w:rPr>
        <w:t xml:space="preserve">rozdělit na účinky specifické, projevující se </w:t>
      </w:r>
      <w:r w:rsidRPr="00C525CD">
        <w:rPr>
          <w:spacing w:val="3"/>
        </w:rPr>
        <w:t xml:space="preserve">poruchami činnosti sluchového aparátu a na účinky nespecifické (mimosluchové), kdy </w:t>
      </w:r>
      <w:r w:rsidRPr="00C525CD">
        <w:rPr>
          <w:spacing w:val="-1"/>
        </w:rPr>
        <w:t>dochází k ovlivnění funkcí různých systémů organismu.</w:t>
      </w:r>
    </w:p>
    <w:p w:rsidR="00527D5F" w:rsidRPr="00C525CD" w:rsidRDefault="00527D5F" w:rsidP="00527D5F">
      <w:pPr>
        <w:widowControl/>
        <w:shd w:val="clear" w:color="auto" w:fill="FFFFFF"/>
        <w:rPr>
          <w:spacing w:val="-1"/>
        </w:rPr>
      </w:pPr>
      <w:r w:rsidRPr="00C525CD">
        <w:rPr>
          <w:spacing w:val="-1"/>
        </w:rPr>
        <w:t>Při běžné expozici hluku z dopravy se projevují zejména systémové (nespecifické) účinky, u nichž dochází k ovlivnění funkcí různých systémů organismu, často se na nich podílí stresová reakce a ovlivnění spánku a vyšších nervových funkcí. Chronický stres způsobený hlukem může přispět ke spuštění nebo urychlení průběhu u chorob s multifaktoriálními příčinami. Za dostatečně prokázané závažné účinky hluku jsou podle aktuální směrnice WHO [</w:t>
      </w:r>
      <w:r w:rsidR="00B168C6" w:rsidRPr="00C525CD">
        <w:rPr>
          <w:spacing w:val="-1"/>
        </w:rPr>
        <w:t>25</w:t>
      </w:r>
      <w:r w:rsidRPr="00C525CD">
        <w:rPr>
          <w:spacing w:val="-1"/>
        </w:rPr>
        <w:t>] považovány obtěžování, rušení spánku, kardiovaskulární onemocnění, zhoršení kognitivních funkcí a poškození sluchového aparátu. V následujícím přehledu je uvedena stručná charakteristika těchto účinků dle SZÚ [</w:t>
      </w:r>
      <w:r w:rsidR="00B168C6" w:rsidRPr="00C525CD">
        <w:rPr>
          <w:spacing w:val="-1"/>
        </w:rPr>
        <w:t>26</w:t>
      </w:r>
      <w:r w:rsidRPr="00C525CD">
        <w:rPr>
          <w:spacing w:val="-1"/>
        </w:rPr>
        <w:t>]:</w:t>
      </w:r>
    </w:p>
    <w:p w:rsidR="00527D5F" w:rsidRPr="00C525CD" w:rsidRDefault="00527D5F" w:rsidP="00527D5F">
      <w:pPr>
        <w:pStyle w:val="Seznamsodrkami"/>
        <w:tabs>
          <w:tab w:val="clear" w:pos="284"/>
          <w:tab w:val="clear" w:pos="720"/>
          <w:tab w:val="num" w:pos="360"/>
        </w:tabs>
        <w:ind w:left="360"/>
      </w:pPr>
      <w:r w:rsidRPr="00C525CD">
        <w:rPr>
          <w:b/>
        </w:rPr>
        <w:t>Obtěžování hlukem</w:t>
      </w:r>
      <w:r w:rsidRPr="00C525CD">
        <w:t xml:space="preserve"> je nejobecnější reakcí lidí na hlukovou zátěž. Jako obtěžování je označován psychický stav vznikající při mimovolném vnímání vlivů, ke kterým má jedinec zamítavý postoj a na které reaguje pocity odporu, podrážděností a v některých případech až psychosomatickými poruchami; pro zjednodušení se jako obtěžování označují i ostatní negativní emoce v souvislosti z hlukem (zlost, nespokojenost, úzkost, rozrušenost). </w:t>
      </w:r>
      <w:r w:rsidRPr="00C525CD">
        <w:rPr>
          <w:sz w:val="26"/>
        </w:rPr>
        <w:t>Obtěžování je významně ovlivněno individuálními vlastnostmi příjemce; z hlediska jednotlivce je tak považováno za faktor s bezprahovým působením, což znamená, že citlivou osobu mohou obtěžovat i nejtišší zvuky.</w:t>
      </w:r>
    </w:p>
    <w:p w:rsidR="00527D5F" w:rsidRPr="00C525CD" w:rsidRDefault="00527D5F" w:rsidP="00527D5F">
      <w:pPr>
        <w:pStyle w:val="Seznamsodrkami"/>
        <w:tabs>
          <w:tab w:val="clear" w:pos="284"/>
          <w:tab w:val="clear" w:pos="720"/>
          <w:tab w:val="num" w:pos="360"/>
        </w:tabs>
        <w:ind w:left="360"/>
        <w:rPr>
          <w:szCs w:val="24"/>
        </w:rPr>
      </w:pPr>
      <w:r w:rsidRPr="00C525CD">
        <w:rPr>
          <w:b/>
          <w:szCs w:val="24"/>
        </w:rPr>
        <w:t>Nepříznivé ovlivnění spánku</w:t>
      </w:r>
      <w:r w:rsidRPr="00C525CD">
        <w:rPr>
          <w:szCs w:val="24"/>
        </w:rPr>
        <w:t xml:space="preserve"> vlivem hluku se prokazatelně projevuje změnami fyziologických reakcí (změny tepové frekvence, známky probuzení na EEG, změny v trvání stádií spánku, zvýšená pohyblivost ve spánku, obtížné usínání, probouzení, zkrácení spánkového času), dostatečné důkazy existují rovněž pro subjektivně vnímanou poruchu spánku, environmentální nespavost a zvýšené užívání léků na spaní. Zdravotní následky rušení spánku nočním hlukem zahrnují změny v hladinách stresových hormonů, kardiovaskulární onemocnění, psychické poruchy, obezitu, zkrácení očekávané délky života, zvýšený výskyt pracovních úrazů a psychologicko-sociální důsledky (ospalost a únava, rozmrzelost, snížená výkonnost, zhoršení poznávacích schopností, narušení sociálních kontaktů).</w:t>
      </w:r>
    </w:p>
    <w:p w:rsidR="00527D5F" w:rsidRPr="00C525CD" w:rsidRDefault="00527D5F" w:rsidP="00527D5F">
      <w:pPr>
        <w:pStyle w:val="Seznamsodrkami"/>
        <w:tabs>
          <w:tab w:val="clear" w:pos="284"/>
          <w:tab w:val="clear" w:pos="720"/>
          <w:tab w:val="num" w:pos="360"/>
        </w:tabs>
        <w:ind w:left="360"/>
      </w:pPr>
      <w:r w:rsidRPr="00C525CD">
        <w:rPr>
          <w:b/>
        </w:rPr>
        <w:t>Ovlivnění kardiovaskulárního systému</w:t>
      </w:r>
      <w:r w:rsidRPr="00C525CD">
        <w:t xml:space="preserve"> působením hluku bylo prokázáno v řadě epidemiologických studií. Uznávaným mechanizmem je zde stresová reakce organismu, kdy zvukový signál je podvědomě hodnocen jako alarmující a dochází ke stresové reakci spojené s aktivací autonomního nervového systému a s uvolněním stresových hormonů, což vede k přechodnému zvýšení krevního tlaku, tepu a vasokonstrikci. Po dlouhodobé expozici </w:t>
      </w:r>
      <w:r w:rsidRPr="00C525CD">
        <w:lastRenderedPageBreak/>
        <w:t xml:space="preserve">se pak u citlivých jedinců mohou vyvinout trvalé účinky, jako je hypertenze a ischemická choroba srdeční. Dalšími možnými mechanismy působení hluku na kardiovaskulární systém jsou úbytek hořčíku (který je následkem opakovaných nervových vzruchů vyplavován z organismu) nebo dlouhodobý nedostatku spánku a jeho důsledky. Podle aktuálních dat WHO se za prokázané považuje zvýšení rizika ischemické choroby srdeční bylo prokázáno u hluku ze silniční dopravy, naopak v případě dříve popisovaného rizika hypertenze jsou nyní kvalita důkazů považována za nízkou, v případě mrtvice jsou výsledky rozporuplné. </w:t>
      </w:r>
    </w:p>
    <w:p w:rsidR="00527D5F" w:rsidRPr="00C525CD" w:rsidRDefault="00527D5F" w:rsidP="00527D5F">
      <w:pPr>
        <w:pStyle w:val="Seznamsodrkami"/>
        <w:tabs>
          <w:tab w:val="clear" w:pos="284"/>
          <w:tab w:val="clear" w:pos="720"/>
          <w:tab w:val="num" w:pos="360"/>
        </w:tabs>
        <w:ind w:left="360"/>
        <w:rPr>
          <w:spacing w:val="-1"/>
        </w:rPr>
      </w:pPr>
      <w:r w:rsidRPr="00C525CD">
        <w:rPr>
          <w:b/>
        </w:rPr>
        <w:t>Zhoršení kognitivních schopností</w:t>
      </w:r>
      <w:r w:rsidRPr="00C525CD">
        <w:t xml:space="preserve"> vlivem hluku zahrnuje poruchy porozumění řeči, porucha pozornosti a snížení kapacity pracovní paměti. Důsledkem je zhoršení výkonnosti, zhoršení výsledků při plnění úkolů, chyby při práci, popřípadě vznik nehod a úrazů. Hluk také může závažným způsobem narušit komunikaci řečí, popřípadě překrývat jiné informačně důležité signály. Zhoršení komunikace řečí má řadu prokázaných nepříznivých důsledků v oblasti chování a vztahů, vede k podrážděnosti, nejistotě, poklesu pracovní výkonnosti a pocitům nespokojenosti. P</w:t>
      </w:r>
      <w:r w:rsidRPr="00C525CD">
        <w:rPr>
          <w:spacing w:val="-1"/>
        </w:rPr>
        <w:t xml:space="preserve">ři terénních výzkumech byl potvrzen vztah mezi hlukem z letecké dopravy a zhoršením schopnosti čtení, porozumění řeči a výkonnosti v testech u školních dětí, v případě hluku ze silniční a železniční dopravy jsou výsledky nekonzistentní a kvalita důkazů je nedostatečná. </w:t>
      </w:r>
    </w:p>
    <w:p w:rsidR="00527D5F" w:rsidRPr="00C525CD" w:rsidRDefault="00527D5F" w:rsidP="00527D5F">
      <w:pPr>
        <w:pStyle w:val="Seznamsodrkami"/>
        <w:tabs>
          <w:tab w:val="clear" w:pos="284"/>
          <w:tab w:val="clear" w:pos="720"/>
          <w:tab w:val="num" w:pos="360"/>
        </w:tabs>
        <w:ind w:left="360"/>
        <w:rPr>
          <w:spacing w:val="-1"/>
        </w:rPr>
      </w:pPr>
      <w:r w:rsidRPr="00C525CD">
        <w:rPr>
          <w:b/>
          <w:spacing w:val="-1"/>
        </w:rPr>
        <w:t>Poškození sluchového aparátu</w:t>
      </w:r>
      <w:r w:rsidRPr="00C525CD">
        <w:rPr>
          <w:spacing w:val="-1"/>
        </w:rPr>
        <w:t xml:space="preserve"> v zásadě zahrnuje dva mechanismy. Extrémně vysoké hladiny akustického tlaku mohou vyvolat akustické trauma, jehož podstatou je poranění bubínku, sluchových kůstek nebo blanitého labyrintu a následkem je pak trvalé poškození sluchu. Při dlouhodobém až celoživotním působení hluku na sluchový aparát dochází k poškození sluchu, jehož podstatou jsou zprvu přechodné a posléze trvalé funkční a morfologické změny smyslových a nervových buněk Cortiho orgánu vnitřního ucha. Tyto poruchy se zpočátku projevují dočasným zvýšením sluchového prahu, při dalším působení hluku dochází po určité latenci k trvalému poškození sluchu. Poškození sluchu je dostatečně prokázáno u pracovní expozice hluku v závislosti na výši ekvivalentní hladiny akustického tlaku a trvání let expozice, existuje však i u hluku v mimopracovním prostředí, např. v souvislosti s hlukem z volnočasových aktivit. Ztráta sluchu je pak obvykle výsledek kombinované expozice hluku z různých zdrojů, tj. z pracovního a životního prostředí a z volnočasových aktivit.</w:t>
      </w:r>
    </w:p>
    <w:p w:rsidR="00527D5F" w:rsidRPr="00C525CD" w:rsidRDefault="00527D5F" w:rsidP="00527D5F">
      <w:pPr>
        <w:widowControl/>
        <w:shd w:val="clear" w:color="auto" w:fill="FFFFFF"/>
        <w:rPr>
          <w:spacing w:val="-1"/>
        </w:rPr>
      </w:pPr>
      <w:r w:rsidRPr="00C525CD">
        <w:rPr>
          <w:spacing w:val="-1"/>
        </w:rPr>
        <w:t>Za účinky s nižší kvalitou důkazů (či s nejistou existencí vztahu k hlukové expozici) jsou považovány zvýšení rizika vzniku diabetu, obezity, vlivy na těhotenství a vývoj plodu a na mentální zdraví  [</w:t>
      </w:r>
      <w:r w:rsidR="00B168C6" w:rsidRPr="00C525CD">
        <w:rPr>
          <w:spacing w:val="-1"/>
        </w:rPr>
        <w:t>25</w:t>
      </w:r>
      <w:r w:rsidRPr="00C525CD">
        <w:rPr>
          <w:spacing w:val="-1"/>
        </w:rPr>
        <w:t xml:space="preserve">]. </w:t>
      </w:r>
    </w:p>
    <w:p w:rsidR="00527D5F" w:rsidRPr="00C525CD" w:rsidRDefault="00527D5F" w:rsidP="00527D5F">
      <w:pPr>
        <w:widowControl/>
        <w:rPr>
          <w:spacing w:val="-1"/>
        </w:rPr>
      </w:pPr>
      <w:r w:rsidRPr="00C525CD">
        <w:rPr>
          <w:spacing w:val="-1"/>
        </w:rPr>
        <w:t>Působení hluku je považováno za bezprahové (tj. nelze stanovit bezpečnou mez, pod níž se již účinek nevyskytuje), v praxi se však pracuje s určitými mezními hodnotami, nad nimiž je závislost účinku na hlukové expozici považována za významnou. WHO [</w:t>
      </w:r>
      <w:r w:rsidR="00B168C6" w:rsidRPr="00C525CD">
        <w:rPr>
          <w:spacing w:val="-1"/>
        </w:rPr>
        <w:t>25</w:t>
      </w:r>
      <w:r w:rsidRPr="00C525CD">
        <w:rPr>
          <w:spacing w:val="-1"/>
        </w:rPr>
        <w:t xml:space="preserve">] uvádí následující </w:t>
      </w:r>
      <w:bookmarkStart w:id="58" w:name="OLE_LINK3"/>
      <w:r w:rsidRPr="00C525CD">
        <w:rPr>
          <w:spacing w:val="-1"/>
        </w:rPr>
        <w:t>doporučené expoziční hodnoty pro hluk ze silniční dopravy</w:t>
      </w:r>
      <w:bookmarkEnd w:id="58"/>
      <w:r w:rsidRPr="00C525CD">
        <w:rPr>
          <w:spacing w:val="-1"/>
        </w:rPr>
        <w:t>:</w:t>
      </w:r>
    </w:p>
    <w:p w:rsidR="00527D5F" w:rsidRPr="00C525CD" w:rsidRDefault="00527D5F" w:rsidP="00527D5F">
      <w:pPr>
        <w:pStyle w:val="Seznamsodrkami"/>
        <w:tabs>
          <w:tab w:val="clear" w:pos="284"/>
          <w:tab w:val="clear" w:pos="720"/>
          <w:tab w:val="num" w:pos="360"/>
        </w:tabs>
        <w:ind w:left="360"/>
        <w:rPr>
          <w:spacing w:val="-1"/>
        </w:rPr>
      </w:pPr>
      <w:r w:rsidRPr="00C525CD">
        <w:rPr>
          <w:spacing w:val="-1"/>
        </w:rPr>
        <w:t>průměrná hodnota, vyjádřená hlukovým ukazatelem den-večer-noc (L</w:t>
      </w:r>
      <w:r w:rsidRPr="00C525CD">
        <w:rPr>
          <w:spacing w:val="-1"/>
          <w:vertAlign w:val="subscript"/>
        </w:rPr>
        <w:t>dvn</w:t>
      </w:r>
      <w:r w:rsidRPr="00C525CD">
        <w:rPr>
          <w:spacing w:val="-1"/>
        </w:rPr>
        <w:t>) – 53 dB</w:t>
      </w:r>
    </w:p>
    <w:p w:rsidR="00527D5F" w:rsidRPr="00C525CD" w:rsidRDefault="00527D5F" w:rsidP="00527D5F">
      <w:pPr>
        <w:pStyle w:val="Seznamsodrkami"/>
        <w:tabs>
          <w:tab w:val="clear" w:pos="284"/>
          <w:tab w:val="clear" w:pos="720"/>
          <w:tab w:val="num" w:pos="360"/>
        </w:tabs>
        <w:ind w:left="360"/>
        <w:rPr>
          <w:spacing w:val="-1"/>
        </w:rPr>
      </w:pPr>
      <w:r w:rsidRPr="00C525CD">
        <w:rPr>
          <w:spacing w:val="-1"/>
        </w:rPr>
        <w:t>noční hluk (L</w:t>
      </w:r>
      <w:r w:rsidRPr="00C525CD">
        <w:rPr>
          <w:spacing w:val="-1"/>
          <w:vertAlign w:val="subscript"/>
        </w:rPr>
        <w:t>n</w:t>
      </w:r>
      <w:r w:rsidRPr="00C525CD">
        <w:rPr>
          <w:spacing w:val="-1"/>
        </w:rPr>
        <w:t>) - 45 dB</w:t>
      </w:r>
    </w:p>
    <w:p w:rsidR="00527D5F" w:rsidRPr="00C525CD" w:rsidRDefault="00527D5F" w:rsidP="00527D5F">
      <w:pPr>
        <w:rPr>
          <w:szCs w:val="26"/>
        </w:rPr>
      </w:pPr>
      <w:r w:rsidRPr="00C525CD">
        <w:lastRenderedPageBreak/>
        <w:t>Pro kvantitativní vyhodnocení vlivů hluku ze silniční dopravy v řešeném území byly použity postupy, stanovené autorizačním návodem SZÚ [</w:t>
      </w:r>
      <w:r w:rsidR="00B168C6" w:rsidRPr="00C525CD">
        <w:t>20</w:t>
      </w:r>
      <w:r w:rsidRPr="00C525CD">
        <w:t xml:space="preserve">] a </w:t>
      </w:r>
      <w:r w:rsidRPr="00C525CD">
        <w:rPr>
          <w:szCs w:val="26"/>
        </w:rPr>
        <w:t>vycházející z Annex III Směrnice komise (EU) 2020/367. Hodnocení je provedeno pro následující účinky hluku:</w:t>
      </w:r>
    </w:p>
    <w:p w:rsidR="00527D5F" w:rsidRPr="00C525CD" w:rsidRDefault="00527D5F" w:rsidP="00527D5F">
      <w:pPr>
        <w:pStyle w:val="Seznamsodrkami"/>
        <w:tabs>
          <w:tab w:val="clear" w:pos="284"/>
          <w:tab w:val="clear" w:pos="720"/>
          <w:tab w:val="num" w:pos="360"/>
        </w:tabs>
        <w:ind w:left="360"/>
      </w:pPr>
      <w:r w:rsidRPr="00C525CD">
        <w:t xml:space="preserve">vysoké obtěžování </w:t>
      </w:r>
    </w:p>
    <w:p w:rsidR="00527D5F" w:rsidRPr="00C525CD" w:rsidRDefault="00527D5F" w:rsidP="00527D5F">
      <w:pPr>
        <w:pStyle w:val="Seznamsodrkami"/>
        <w:tabs>
          <w:tab w:val="clear" w:pos="284"/>
          <w:tab w:val="clear" w:pos="720"/>
          <w:tab w:val="num" w:pos="360"/>
        </w:tabs>
        <w:ind w:left="360"/>
      </w:pPr>
      <w:r w:rsidRPr="00C525CD">
        <w:t xml:space="preserve">vysoké rušení spánku </w:t>
      </w:r>
    </w:p>
    <w:p w:rsidR="00527D5F" w:rsidRPr="00C525CD" w:rsidRDefault="00527D5F" w:rsidP="00527D5F">
      <w:pPr>
        <w:pStyle w:val="Seznamsodrkami"/>
        <w:tabs>
          <w:tab w:val="clear" w:pos="284"/>
          <w:tab w:val="clear" w:pos="720"/>
          <w:tab w:val="num" w:pos="360"/>
        </w:tabs>
        <w:ind w:left="360"/>
      </w:pPr>
      <w:r w:rsidRPr="00C525CD">
        <w:t xml:space="preserve">ischemickou chorobu srdeční (ICHS) </w:t>
      </w:r>
    </w:p>
    <w:p w:rsidR="00527D5F" w:rsidRPr="00C525CD" w:rsidRDefault="00527D5F" w:rsidP="00527D5F">
      <w:pPr>
        <w:widowControl/>
      </w:pPr>
      <w:r w:rsidRPr="00C525CD">
        <w:t>Pro vysoké obtěžování a vysoké rušení spánku je stanoveno tzv. absolutní riziko, které je vyjádřeno jako podíl osob s daným účinkem v rámci celkového počtu exponovaných obyvatel v daném výpočtovém bodě či pásmu hlukové zátěže. Výpočtové rovnice jsou následující:</w:t>
      </w:r>
    </w:p>
    <w:p w:rsidR="00527D5F" w:rsidRPr="00C525CD" w:rsidRDefault="00527D5F" w:rsidP="00527D5F">
      <w:pPr>
        <w:widowControl/>
        <w:rPr>
          <w:sz w:val="24"/>
          <w:szCs w:val="24"/>
        </w:rPr>
      </w:pPr>
      <w:r w:rsidRPr="00C525CD">
        <w:rPr>
          <w:sz w:val="24"/>
          <w:szCs w:val="24"/>
        </w:rPr>
        <w:t>AR</w:t>
      </w:r>
      <w:r w:rsidRPr="00C525CD">
        <w:rPr>
          <w:sz w:val="24"/>
          <w:szCs w:val="24"/>
          <w:vertAlign w:val="subscript"/>
        </w:rPr>
        <w:t>HA,silnice</w:t>
      </w:r>
      <w:r w:rsidRPr="00C525CD">
        <w:rPr>
          <w:sz w:val="24"/>
          <w:szCs w:val="24"/>
        </w:rPr>
        <w:t xml:space="preserve"> = (78,927 – 3,1162 × L</w:t>
      </w:r>
      <w:r w:rsidRPr="00C525CD">
        <w:rPr>
          <w:sz w:val="24"/>
          <w:szCs w:val="24"/>
          <w:vertAlign w:val="subscript"/>
        </w:rPr>
        <w:t>dvn</w:t>
      </w:r>
      <w:r w:rsidRPr="00C525CD">
        <w:rPr>
          <w:sz w:val="24"/>
          <w:szCs w:val="24"/>
        </w:rPr>
        <w:t xml:space="preserve"> + 0,0342 × L</w:t>
      </w:r>
      <w:r w:rsidRPr="00C525CD">
        <w:rPr>
          <w:sz w:val="24"/>
          <w:szCs w:val="24"/>
          <w:vertAlign w:val="subscript"/>
        </w:rPr>
        <w:t>dvn</w:t>
      </w:r>
      <w:r w:rsidRPr="00C525CD">
        <w:rPr>
          <w:sz w:val="24"/>
          <w:szCs w:val="24"/>
          <w:vertAlign w:val="superscript"/>
        </w:rPr>
        <w:t>2</w:t>
      </w:r>
      <w:r w:rsidRPr="00C525CD">
        <w:rPr>
          <w:sz w:val="24"/>
          <w:szCs w:val="24"/>
        </w:rPr>
        <w:t>) / 100</w:t>
      </w:r>
    </w:p>
    <w:p w:rsidR="00527D5F" w:rsidRPr="00C525CD" w:rsidRDefault="00527D5F" w:rsidP="00527D5F">
      <w:pPr>
        <w:widowControl/>
        <w:spacing w:before="60"/>
        <w:rPr>
          <w:sz w:val="24"/>
          <w:szCs w:val="24"/>
        </w:rPr>
      </w:pPr>
      <w:r w:rsidRPr="00C525CD">
        <w:rPr>
          <w:sz w:val="24"/>
          <w:szCs w:val="24"/>
        </w:rPr>
        <w:t>AR</w:t>
      </w:r>
      <w:r w:rsidRPr="00C525CD">
        <w:rPr>
          <w:sz w:val="24"/>
          <w:szCs w:val="24"/>
          <w:vertAlign w:val="subscript"/>
        </w:rPr>
        <w:t>HSD, silnice</w:t>
      </w:r>
      <w:r w:rsidRPr="00C525CD">
        <w:rPr>
          <w:sz w:val="24"/>
          <w:szCs w:val="24"/>
        </w:rPr>
        <w:t xml:space="preserve"> = (19,4321 – 0,9336 × L</w:t>
      </w:r>
      <w:r w:rsidRPr="00C525CD">
        <w:rPr>
          <w:sz w:val="24"/>
          <w:szCs w:val="24"/>
          <w:vertAlign w:val="subscript"/>
        </w:rPr>
        <w:t>dvn</w:t>
      </w:r>
      <w:r w:rsidRPr="00C525CD">
        <w:rPr>
          <w:sz w:val="24"/>
          <w:szCs w:val="24"/>
        </w:rPr>
        <w:t xml:space="preserve"> + 0,0126 × L</w:t>
      </w:r>
      <w:r w:rsidRPr="00C525CD">
        <w:rPr>
          <w:sz w:val="24"/>
          <w:szCs w:val="24"/>
          <w:vertAlign w:val="subscript"/>
        </w:rPr>
        <w:t>dvn</w:t>
      </w:r>
      <w:r w:rsidRPr="00C525CD">
        <w:rPr>
          <w:sz w:val="24"/>
          <w:szCs w:val="24"/>
          <w:vertAlign w:val="superscript"/>
        </w:rPr>
        <w:t>2</w:t>
      </w:r>
      <w:r w:rsidRPr="00C525CD">
        <w:rPr>
          <w:sz w:val="24"/>
          <w:szCs w:val="24"/>
        </w:rPr>
        <w:t>) / 100</w:t>
      </w:r>
    </w:p>
    <w:p w:rsidR="00527D5F" w:rsidRPr="00C525CD" w:rsidRDefault="00527D5F" w:rsidP="00527D5F">
      <w:pPr>
        <w:widowControl/>
        <w:spacing w:before="60"/>
        <w:rPr>
          <w:sz w:val="24"/>
          <w:szCs w:val="24"/>
        </w:rPr>
      </w:pPr>
      <w:r w:rsidRPr="00C525CD">
        <w:rPr>
          <w:sz w:val="24"/>
          <w:szCs w:val="24"/>
        </w:rPr>
        <w:t>kde:</w:t>
      </w:r>
    </w:p>
    <w:p w:rsidR="00527D5F" w:rsidRPr="00C525CD" w:rsidRDefault="00527D5F" w:rsidP="00527D5F">
      <w:pPr>
        <w:widowControl/>
        <w:spacing w:before="60"/>
        <w:rPr>
          <w:sz w:val="24"/>
          <w:szCs w:val="24"/>
        </w:rPr>
      </w:pPr>
      <w:r w:rsidRPr="00C525CD">
        <w:rPr>
          <w:sz w:val="24"/>
          <w:szCs w:val="24"/>
        </w:rPr>
        <w:t>AR</w:t>
      </w:r>
      <w:r w:rsidRPr="00C525CD">
        <w:rPr>
          <w:sz w:val="24"/>
          <w:szCs w:val="24"/>
          <w:vertAlign w:val="subscript"/>
        </w:rPr>
        <w:t>HA, silnice</w:t>
      </w:r>
      <w:r w:rsidRPr="00C525CD">
        <w:rPr>
          <w:sz w:val="24"/>
          <w:szCs w:val="24"/>
        </w:rPr>
        <w:t xml:space="preserve"> = absolutní riziko pro vysoké obtěžování hlukem ze silniční dopravy</w:t>
      </w:r>
    </w:p>
    <w:p w:rsidR="00527D5F" w:rsidRPr="00C525CD" w:rsidRDefault="00527D5F" w:rsidP="00527D5F">
      <w:pPr>
        <w:widowControl/>
        <w:spacing w:before="60"/>
        <w:rPr>
          <w:sz w:val="24"/>
          <w:szCs w:val="24"/>
        </w:rPr>
      </w:pPr>
      <w:r w:rsidRPr="00C525CD">
        <w:rPr>
          <w:sz w:val="24"/>
          <w:szCs w:val="24"/>
        </w:rPr>
        <w:t>AR</w:t>
      </w:r>
      <w:r w:rsidRPr="00C525CD">
        <w:rPr>
          <w:sz w:val="24"/>
          <w:szCs w:val="24"/>
          <w:vertAlign w:val="subscript"/>
        </w:rPr>
        <w:t>HSD, silnice</w:t>
      </w:r>
      <w:r w:rsidRPr="00C525CD">
        <w:rPr>
          <w:sz w:val="24"/>
          <w:szCs w:val="24"/>
        </w:rPr>
        <w:t xml:space="preserve"> = absolutní riziko pro vysoké rušení spánku  hlukem ze silniční dopravy</w:t>
      </w:r>
    </w:p>
    <w:p w:rsidR="00527D5F" w:rsidRPr="00C525CD" w:rsidRDefault="00527D5F" w:rsidP="00527D5F">
      <w:pPr>
        <w:widowControl/>
        <w:spacing w:before="60"/>
        <w:rPr>
          <w:sz w:val="24"/>
          <w:szCs w:val="24"/>
        </w:rPr>
      </w:pPr>
      <w:r w:rsidRPr="00C525CD">
        <w:rPr>
          <w:sz w:val="24"/>
          <w:szCs w:val="24"/>
        </w:rPr>
        <w:t>L</w:t>
      </w:r>
      <w:r w:rsidRPr="00C525CD">
        <w:rPr>
          <w:sz w:val="24"/>
          <w:szCs w:val="24"/>
          <w:vertAlign w:val="subscript"/>
        </w:rPr>
        <w:t>dvn</w:t>
      </w:r>
      <w:r w:rsidRPr="00C525CD">
        <w:rPr>
          <w:sz w:val="24"/>
          <w:szCs w:val="24"/>
        </w:rPr>
        <w:t xml:space="preserve"> = hlukový ukazatel den-večer-noc</w:t>
      </w:r>
    </w:p>
    <w:p w:rsidR="00527D5F" w:rsidRPr="00C525CD" w:rsidRDefault="00527D5F" w:rsidP="00527D5F">
      <w:pPr>
        <w:widowControl/>
        <w:spacing w:before="60"/>
        <w:rPr>
          <w:sz w:val="24"/>
          <w:szCs w:val="24"/>
        </w:rPr>
      </w:pPr>
      <w:r w:rsidRPr="00C525CD">
        <w:rPr>
          <w:sz w:val="24"/>
          <w:szCs w:val="24"/>
        </w:rPr>
        <w:t>L</w:t>
      </w:r>
      <w:r w:rsidRPr="00C525CD">
        <w:rPr>
          <w:sz w:val="24"/>
          <w:szCs w:val="24"/>
          <w:vertAlign w:val="subscript"/>
        </w:rPr>
        <w:t>n</w:t>
      </w:r>
      <w:r w:rsidRPr="00C525CD">
        <w:rPr>
          <w:sz w:val="24"/>
          <w:szCs w:val="24"/>
        </w:rPr>
        <w:t xml:space="preserve"> = hluk v noční době</w:t>
      </w:r>
    </w:p>
    <w:p w:rsidR="00527D5F" w:rsidRPr="00C525CD" w:rsidRDefault="00527D5F" w:rsidP="00527D5F">
      <w:pPr>
        <w:widowControl/>
      </w:pPr>
      <w:r w:rsidRPr="00C525CD">
        <w:t>Pro stanovení hlukového ukazatele L</w:t>
      </w:r>
      <w:r w:rsidRPr="00C525CD">
        <w:rPr>
          <w:vertAlign w:val="subscript"/>
        </w:rPr>
        <w:t>dvn</w:t>
      </w:r>
      <w:r w:rsidRPr="00C525CD">
        <w:t xml:space="preserve"> byl použit postup dle SZÚ [</w:t>
      </w:r>
      <w:r w:rsidR="00B168C6" w:rsidRPr="00C525CD">
        <w:t>27</w:t>
      </w:r>
      <w:r w:rsidRPr="00C525CD">
        <w:t>]. Kvantifikace je provedena v souladu s metodickými postupy pro L</w:t>
      </w:r>
      <w:r w:rsidRPr="00C525CD">
        <w:rPr>
          <w:vertAlign w:val="subscript"/>
        </w:rPr>
        <w:t>dvn</w:t>
      </w:r>
      <w:r w:rsidRPr="00C525CD">
        <w:t xml:space="preserve"> &gt; 45 dB a L</w:t>
      </w:r>
      <w:r w:rsidRPr="00C525CD">
        <w:rPr>
          <w:vertAlign w:val="subscript"/>
        </w:rPr>
        <w:t>n</w:t>
      </w:r>
      <w:r w:rsidRPr="00C525CD">
        <w:t xml:space="preserve"> &gt; 40 dB. Ve vlastním kvantitativním vyhodnocení je pak pro přehlednost uveden přepočet na celou dotčenou populaci.</w:t>
      </w:r>
    </w:p>
    <w:p w:rsidR="00527D5F" w:rsidRPr="00C525CD" w:rsidRDefault="00527D5F" w:rsidP="00527D5F">
      <w:pPr>
        <w:widowControl/>
      </w:pPr>
      <w:r w:rsidRPr="00C525CD">
        <w:t>Riziko vzniku ischemické choroby srdeční (ICHS) ve vztahu k hluku se kvantitativně vyjadřuje jako relativní riziko vztahující riziko v populaci exponované hluku k riziku v populaci hluku neexponované. Pro kvantifikaci je pak použit postup, založený na určení tzv. populační atributivní frakce, která se může skládat z exponovaných i neexponovaných osob, popřípadě mohou být exponované osoby vystaveny rizikovému faktoru v různé míře. Jednotlivým segmentům populace (vyjádřeným jako podíl z celkového počtu obyvatel řešeného území) je přiřazena expozice hluku ze silniční dopravy (L</w:t>
      </w:r>
      <w:r w:rsidRPr="00C525CD">
        <w:rPr>
          <w:vertAlign w:val="subscript"/>
        </w:rPr>
        <w:t>dvn</w:t>
      </w:r>
      <w:r w:rsidRPr="00C525CD">
        <w:t>). Následně je pro každý segment určeno relativní riziko vzniku ICHS podle rovnic:</w:t>
      </w:r>
    </w:p>
    <w:p w:rsidR="00527D5F" w:rsidRPr="00C525CD" w:rsidRDefault="00527D5F" w:rsidP="00527D5F">
      <w:pPr>
        <w:keepNext/>
        <w:widowControl/>
        <w:rPr>
          <w:sz w:val="24"/>
          <w:szCs w:val="24"/>
        </w:rPr>
      </w:pPr>
      <w:r w:rsidRPr="00C525CD">
        <w:rPr>
          <w:sz w:val="24"/>
          <w:szCs w:val="24"/>
        </w:rPr>
        <w:t>RR</w:t>
      </w:r>
      <w:r w:rsidRPr="00C525CD">
        <w:rPr>
          <w:sz w:val="24"/>
          <w:szCs w:val="24"/>
          <w:vertAlign w:val="subscript"/>
        </w:rPr>
        <w:t xml:space="preserve">ICHS, silnice </w:t>
      </w:r>
      <w:r w:rsidRPr="00C525CD">
        <w:rPr>
          <w:sz w:val="24"/>
          <w:szCs w:val="24"/>
        </w:rPr>
        <w:t>= 1,007733Ldvn-53 ... pro L</w:t>
      </w:r>
      <w:r w:rsidRPr="00C525CD">
        <w:rPr>
          <w:sz w:val="24"/>
          <w:szCs w:val="24"/>
          <w:vertAlign w:val="subscript"/>
        </w:rPr>
        <w:t>dvn</w:t>
      </w:r>
      <w:r w:rsidRPr="00C525CD">
        <w:rPr>
          <w:sz w:val="24"/>
          <w:szCs w:val="24"/>
        </w:rPr>
        <w:t xml:space="preserve"> &gt; 53 dB</w:t>
      </w:r>
    </w:p>
    <w:p w:rsidR="00527D5F" w:rsidRPr="00C525CD" w:rsidRDefault="00527D5F" w:rsidP="00527D5F">
      <w:pPr>
        <w:widowControl/>
        <w:tabs>
          <w:tab w:val="left" w:pos="3906"/>
        </w:tabs>
        <w:spacing w:before="60"/>
        <w:rPr>
          <w:sz w:val="24"/>
          <w:szCs w:val="24"/>
        </w:rPr>
      </w:pPr>
      <w:r w:rsidRPr="00C525CD">
        <w:rPr>
          <w:sz w:val="24"/>
          <w:szCs w:val="24"/>
        </w:rPr>
        <w:t>RR</w:t>
      </w:r>
      <w:r w:rsidRPr="00C525CD">
        <w:rPr>
          <w:sz w:val="24"/>
          <w:szCs w:val="24"/>
          <w:vertAlign w:val="subscript"/>
        </w:rPr>
        <w:t>ICHS, silnice</w:t>
      </w:r>
      <w:r w:rsidRPr="00C525CD">
        <w:rPr>
          <w:sz w:val="24"/>
          <w:szCs w:val="24"/>
        </w:rPr>
        <w:t xml:space="preserve"> = 1</w:t>
      </w:r>
      <w:r w:rsidRPr="00C525CD">
        <w:rPr>
          <w:sz w:val="24"/>
          <w:szCs w:val="24"/>
        </w:rPr>
        <w:tab/>
        <w:t>... pro L</w:t>
      </w:r>
      <w:r w:rsidRPr="00C525CD">
        <w:rPr>
          <w:sz w:val="24"/>
          <w:szCs w:val="24"/>
          <w:vertAlign w:val="subscript"/>
        </w:rPr>
        <w:t>dvn</w:t>
      </w:r>
      <w:r w:rsidRPr="00C525CD">
        <w:rPr>
          <w:sz w:val="24"/>
          <w:szCs w:val="24"/>
        </w:rPr>
        <w:t xml:space="preserve"> ≤  53 dB</w:t>
      </w:r>
    </w:p>
    <w:p w:rsidR="00527D5F" w:rsidRPr="00C525CD" w:rsidRDefault="00527D5F" w:rsidP="00527D5F">
      <w:pPr>
        <w:widowControl/>
        <w:spacing w:before="60"/>
        <w:rPr>
          <w:sz w:val="24"/>
          <w:szCs w:val="24"/>
        </w:rPr>
      </w:pPr>
      <w:r w:rsidRPr="00C525CD">
        <w:rPr>
          <w:sz w:val="24"/>
          <w:szCs w:val="24"/>
        </w:rPr>
        <w:t>kde:</w:t>
      </w:r>
    </w:p>
    <w:p w:rsidR="00527D5F" w:rsidRPr="00C525CD" w:rsidRDefault="00527D5F" w:rsidP="00527D5F">
      <w:pPr>
        <w:widowControl/>
        <w:spacing w:before="60"/>
        <w:rPr>
          <w:sz w:val="24"/>
          <w:szCs w:val="24"/>
        </w:rPr>
      </w:pPr>
      <w:r w:rsidRPr="00C525CD">
        <w:rPr>
          <w:sz w:val="24"/>
          <w:szCs w:val="24"/>
        </w:rPr>
        <w:t>RR</w:t>
      </w:r>
      <w:r w:rsidRPr="00C525CD">
        <w:rPr>
          <w:sz w:val="24"/>
          <w:szCs w:val="24"/>
          <w:vertAlign w:val="subscript"/>
        </w:rPr>
        <w:t>ICHS, silnice</w:t>
      </w:r>
      <w:r w:rsidRPr="00C525CD">
        <w:rPr>
          <w:sz w:val="24"/>
          <w:szCs w:val="24"/>
        </w:rPr>
        <w:t xml:space="preserve"> = relativní riziko vzniku ICHS v populaci exponované hluku o dané L</w:t>
      </w:r>
      <w:r w:rsidRPr="00C525CD">
        <w:rPr>
          <w:sz w:val="24"/>
          <w:szCs w:val="24"/>
          <w:vertAlign w:val="subscript"/>
        </w:rPr>
        <w:t>dvn</w:t>
      </w:r>
    </w:p>
    <w:p w:rsidR="00527D5F" w:rsidRPr="00C525CD" w:rsidRDefault="00527D5F" w:rsidP="00527D5F">
      <w:pPr>
        <w:widowControl/>
      </w:pPr>
      <w:r w:rsidRPr="00C525CD">
        <w:lastRenderedPageBreak/>
        <w:t>Současně je pro každý segment populace určen podíl obyvatel v rámci řešeného území. Absolutní roční počet případů ICHS, odhadovaný jako následek hluku ze silniční dopravy v řešeném území je pak určen podle vzorce:</w:t>
      </w:r>
    </w:p>
    <w:p w:rsidR="00527D5F" w:rsidRPr="00C525CD" w:rsidRDefault="00527D5F" w:rsidP="00527D5F">
      <w:pPr>
        <w:widowControl/>
        <w:rPr>
          <w:sz w:val="24"/>
          <w:szCs w:val="24"/>
        </w:rPr>
      </w:pPr>
      <w:r w:rsidRPr="00C525CD">
        <w:rPr>
          <w:sz w:val="24"/>
          <w:szCs w:val="24"/>
        </w:rPr>
        <w:t>N = Σ</w:t>
      </w:r>
      <w:r w:rsidRPr="00C525CD">
        <w:rPr>
          <w:sz w:val="24"/>
          <w:szCs w:val="24"/>
          <w:vertAlign w:val="subscript"/>
        </w:rPr>
        <w:t>j</w:t>
      </w:r>
      <w:r w:rsidRPr="00C525CD">
        <w:rPr>
          <w:sz w:val="24"/>
          <w:szCs w:val="24"/>
        </w:rPr>
        <w:t>(p</w:t>
      </w:r>
      <w:r w:rsidRPr="00C525CD">
        <w:rPr>
          <w:sz w:val="24"/>
          <w:szCs w:val="24"/>
          <w:vertAlign w:val="subscript"/>
        </w:rPr>
        <w:t>j</w:t>
      </w:r>
      <w:r w:rsidRPr="00C525CD">
        <w:rPr>
          <w:sz w:val="24"/>
          <w:szCs w:val="24"/>
        </w:rPr>
        <w:t xml:space="preserve"> × (RR</w:t>
      </w:r>
      <w:r w:rsidRPr="00C525CD">
        <w:rPr>
          <w:sz w:val="24"/>
          <w:szCs w:val="24"/>
          <w:vertAlign w:val="subscript"/>
        </w:rPr>
        <w:t>j</w:t>
      </w:r>
      <w:r w:rsidRPr="00C525CD">
        <w:rPr>
          <w:sz w:val="24"/>
          <w:szCs w:val="24"/>
        </w:rPr>
        <w:t xml:space="preserve"> – 1)) / (Σ</w:t>
      </w:r>
      <w:r w:rsidRPr="00C525CD">
        <w:rPr>
          <w:sz w:val="24"/>
          <w:szCs w:val="24"/>
          <w:vertAlign w:val="subscript"/>
        </w:rPr>
        <w:t>j</w:t>
      </w:r>
      <w:r w:rsidRPr="00C525CD">
        <w:rPr>
          <w:sz w:val="24"/>
          <w:szCs w:val="24"/>
        </w:rPr>
        <w:t xml:space="preserve"> (p</w:t>
      </w:r>
      <w:r w:rsidRPr="00C525CD">
        <w:rPr>
          <w:sz w:val="24"/>
          <w:szCs w:val="24"/>
          <w:vertAlign w:val="subscript"/>
        </w:rPr>
        <w:t>j</w:t>
      </w:r>
      <w:r w:rsidRPr="00C525CD">
        <w:rPr>
          <w:sz w:val="24"/>
          <w:szCs w:val="24"/>
        </w:rPr>
        <w:t xml:space="preserve"> × (RR</w:t>
      </w:r>
      <w:r w:rsidRPr="00C525CD">
        <w:rPr>
          <w:sz w:val="24"/>
          <w:szCs w:val="24"/>
          <w:vertAlign w:val="subscript"/>
        </w:rPr>
        <w:t>j</w:t>
      </w:r>
      <w:r w:rsidRPr="00C525CD">
        <w:rPr>
          <w:sz w:val="24"/>
          <w:szCs w:val="24"/>
        </w:rPr>
        <w:t xml:space="preserve"> – 1)) + 1) × I × P</w:t>
      </w:r>
    </w:p>
    <w:p w:rsidR="00527D5F" w:rsidRPr="00C525CD" w:rsidRDefault="00527D5F" w:rsidP="00527D5F">
      <w:pPr>
        <w:widowControl/>
        <w:spacing w:before="60"/>
        <w:rPr>
          <w:sz w:val="24"/>
          <w:szCs w:val="24"/>
        </w:rPr>
      </w:pPr>
      <w:r w:rsidRPr="00C525CD">
        <w:rPr>
          <w:sz w:val="24"/>
          <w:szCs w:val="24"/>
        </w:rPr>
        <w:t>kde:</w:t>
      </w:r>
    </w:p>
    <w:p w:rsidR="00527D5F" w:rsidRPr="00C525CD" w:rsidRDefault="00527D5F" w:rsidP="00527D5F">
      <w:pPr>
        <w:widowControl/>
        <w:spacing w:before="60"/>
        <w:rPr>
          <w:sz w:val="24"/>
          <w:szCs w:val="24"/>
        </w:rPr>
      </w:pPr>
      <w:r w:rsidRPr="00C525CD">
        <w:rPr>
          <w:sz w:val="24"/>
          <w:szCs w:val="24"/>
        </w:rPr>
        <w:t>p</w:t>
      </w:r>
      <w:r w:rsidRPr="00C525CD">
        <w:rPr>
          <w:sz w:val="24"/>
          <w:szCs w:val="24"/>
          <w:vertAlign w:val="subscript"/>
        </w:rPr>
        <w:t>j</w:t>
      </w:r>
      <w:r w:rsidRPr="00C525CD">
        <w:rPr>
          <w:sz w:val="24"/>
          <w:szCs w:val="24"/>
        </w:rPr>
        <w:t xml:space="preserve"> = podíl populace v daném segmentu</w:t>
      </w:r>
    </w:p>
    <w:p w:rsidR="00527D5F" w:rsidRPr="00C525CD" w:rsidRDefault="00527D5F" w:rsidP="00527D5F">
      <w:pPr>
        <w:widowControl/>
        <w:spacing w:before="60"/>
        <w:rPr>
          <w:sz w:val="24"/>
          <w:szCs w:val="24"/>
        </w:rPr>
      </w:pPr>
      <w:r w:rsidRPr="00C525CD">
        <w:rPr>
          <w:sz w:val="24"/>
          <w:szCs w:val="24"/>
        </w:rPr>
        <w:t>RR</w:t>
      </w:r>
      <w:r w:rsidRPr="00C525CD">
        <w:rPr>
          <w:sz w:val="24"/>
          <w:szCs w:val="24"/>
          <w:vertAlign w:val="subscript"/>
        </w:rPr>
        <w:t>j</w:t>
      </w:r>
      <w:r w:rsidRPr="00C525CD">
        <w:rPr>
          <w:sz w:val="24"/>
          <w:szCs w:val="24"/>
        </w:rPr>
        <w:t xml:space="preserve"> = relativní riziko vzniku ICHS v rámci daného segmentu populace</w:t>
      </w:r>
    </w:p>
    <w:p w:rsidR="00527D5F" w:rsidRPr="00C525CD" w:rsidRDefault="00527D5F" w:rsidP="00527D5F">
      <w:pPr>
        <w:widowControl/>
        <w:spacing w:before="60"/>
        <w:rPr>
          <w:sz w:val="24"/>
          <w:szCs w:val="24"/>
        </w:rPr>
      </w:pPr>
      <w:r w:rsidRPr="00C525CD">
        <w:rPr>
          <w:sz w:val="24"/>
          <w:szCs w:val="24"/>
        </w:rPr>
        <w:t>I = incidence ICHS v neovlivněné populaci, uvažována je hodnota 9,275 na 1000 osob a rok dle autorizačního návodu [</w:t>
      </w:r>
      <w:r w:rsidR="00B168C6" w:rsidRPr="00C525CD">
        <w:rPr>
          <w:sz w:val="24"/>
          <w:szCs w:val="24"/>
        </w:rPr>
        <w:t>20</w:t>
      </w:r>
      <w:r w:rsidRPr="00C525CD">
        <w:rPr>
          <w:sz w:val="24"/>
          <w:szCs w:val="24"/>
        </w:rPr>
        <w:t>]</w:t>
      </w:r>
    </w:p>
    <w:p w:rsidR="00527D5F" w:rsidRPr="00C525CD" w:rsidRDefault="00527D5F" w:rsidP="00527D5F">
      <w:pPr>
        <w:widowControl/>
        <w:spacing w:before="60"/>
        <w:rPr>
          <w:sz w:val="24"/>
          <w:szCs w:val="24"/>
        </w:rPr>
      </w:pPr>
      <w:r w:rsidRPr="00C525CD">
        <w:rPr>
          <w:sz w:val="24"/>
          <w:szCs w:val="24"/>
        </w:rPr>
        <w:t>P = počet obyvatel v řešeném území</w:t>
      </w:r>
    </w:p>
    <w:p w:rsidR="00527D5F" w:rsidRPr="00C525CD" w:rsidRDefault="00527D5F" w:rsidP="00527D5F">
      <w:pPr>
        <w:widowControl/>
        <w:spacing w:before="180"/>
        <w:rPr>
          <w:sz w:val="24"/>
          <w:szCs w:val="24"/>
        </w:rPr>
      </w:pPr>
    </w:p>
    <w:p w:rsidR="00527D5F" w:rsidRPr="00C525CD" w:rsidRDefault="00527D5F" w:rsidP="00527D5F">
      <w:pPr>
        <w:pStyle w:val="Nadpis3"/>
        <w:widowControl/>
        <w:numPr>
          <w:ilvl w:val="2"/>
          <w:numId w:val="4"/>
        </w:numPr>
        <w:spacing w:line="288" w:lineRule="auto"/>
      </w:pPr>
      <w:bookmarkStart w:id="59" w:name="_Toc289161748"/>
      <w:bookmarkStart w:id="60" w:name="_Toc59530277"/>
      <w:r w:rsidRPr="00C525CD">
        <w:t>Vyhodnocení expozice a charakterizace rizika</w:t>
      </w:r>
      <w:bookmarkEnd w:id="59"/>
      <w:bookmarkEnd w:id="60"/>
    </w:p>
    <w:p w:rsidR="00527D5F" w:rsidRPr="00C525CD" w:rsidRDefault="00527D5F" w:rsidP="00527D5F">
      <w:pPr>
        <w:widowControl/>
      </w:pPr>
      <w:r w:rsidRPr="00C525CD">
        <w:t xml:space="preserve">Na základě výsledků </w:t>
      </w:r>
      <w:r w:rsidR="00294FD8" w:rsidRPr="00C525CD">
        <w:t xml:space="preserve">akustického posouzení (kap. 4) </w:t>
      </w:r>
      <w:r w:rsidRPr="00C525CD">
        <w:t xml:space="preserve">byly kvantifikovány míra </w:t>
      </w:r>
      <w:r w:rsidRPr="00C525CD">
        <w:rPr>
          <w:spacing w:val="-2"/>
        </w:rPr>
        <w:t xml:space="preserve">obtěžování hlukem, rušení spánku a výskytu infarktu myokardu. </w:t>
      </w:r>
      <w:r w:rsidRPr="00C525CD">
        <w:t>Výpočet je sice zatížen poměrně významnou nejistotou, neboť nezohledňuje různou neprůzvučnost obvodového pláště budov, výskyt osob v místě bydliště a odlišnou vnímavost jedinců vůči hluku, přesto jej lze považovat za dostačující k</w:t>
      </w:r>
      <w:r w:rsidR="00294FD8" w:rsidRPr="00C525CD">
        <w:t xml:space="preserve"> vyhodnocení vlivů posuzované změny ÚP</w:t>
      </w:r>
      <w:r w:rsidRPr="00C525CD">
        <w:t>.</w:t>
      </w:r>
    </w:p>
    <w:p w:rsidR="00363423" w:rsidRPr="00C525CD" w:rsidRDefault="006B1E67" w:rsidP="00527D5F">
      <w:pPr>
        <w:widowControl/>
      </w:pPr>
      <w:r w:rsidRPr="00C525CD">
        <w:t>Na základě provedené hlukové studie byly kvantifikovány</w:t>
      </w:r>
      <w:r w:rsidR="00086F58" w:rsidRPr="00C525CD">
        <w:t xml:space="preserve"> počty obyvatel v pásmech hlukové zátěže nad hranicí dle směrnic WHO</w:t>
      </w:r>
      <w:r w:rsidR="00413350" w:rsidRPr="00C525CD">
        <w:t xml:space="preserve"> (výsledky jsou stejné jak pro změnu Z 3111/10, tak pro úpravu U 1250/2</w:t>
      </w:r>
      <w:r w:rsidR="00363423" w:rsidRPr="00C525CD">
        <w:t>:</w:t>
      </w:r>
    </w:p>
    <w:p w:rsidR="00363423" w:rsidRPr="00C525CD" w:rsidRDefault="00363423" w:rsidP="00363423">
      <w:pPr>
        <w:pStyle w:val="Seznamsodrkami"/>
        <w:tabs>
          <w:tab w:val="clear" w:pos="284"/>
          <w:tab w:val="clear" w:pos="720"/>
          <w:tab w:val="num" w:pos="360"/>
        </w:tabs>
        <w:ind w:left="360"/>
      </w:pPr>
      <w:r w:rsidRPr="00C525CD">
        <w:t>denní hluk – 100 % dotčených obyvatel</w:t>
      </w:r>
    </w:p>
    <w:p w:rsidR="00363423" w:rsidRPr="00C525CD" w:rsidRDefault="00363423" w:rsidP="00363423">
      <w:pPr>
        <w:pStyle w:val="Seznamsodrkami"/>
        <w:tabs>
          <w:tab w:val="clear" w:pos="284"/>
          <w:tab w:val="clear" w:pos="720"/>
          <w:tab w:val="num" w:pos="360"/>
        </w:tabs>
        <w:ind w:left="360"/>
      </w:pPr>
      <w:r w:rsidRPr="00C525CD">
        <w:t>noční hluk – 100 % dotčených obyvatel</w:t>
      </w:r>
    </w:p>
    <w:p w:rsidR="006B1E67" w:rsidRPr="00C525CD" w:rsidRDefault="00BB3533" w:rsidP="00527D5F">
      <w:pPr>
        <w:widowControl/>
      </w:pPr>
      <w:r w:rsidRPr="00C525CD">
        <w:t xml:space="preserve">Následující tabulka pak uvádí počty hlukem rušených a </w:t>
      </w:r>
      <w:r w:rsidR="00086F58" w:rsidRPr="00C525CD">
        <w:t>při spánku rušených obyvatel a výskyt ICHS.</w:t>
      </w:r>
    </w:p>
    <w:p w:rsidR="006B1E67" w:rsidRPr="00C525CD" w:rsidRDefault="006B1E67" w:rsidP="006B1E67">
      <w:pPr>
        <w:keepNext/>
        <w:keepLines/>
        <w:spacing w:before="240" w:after="120"/>
        <w:ind w:firstLine="0"/>
        <w:jc w:val="left"/>
        <w:rPr>
          <w:b/>
          <w:sz w:val="24"/>
        </w:rPr>
      </w:pPr>
      <w:r w:rsidRPr="00C525CD">
        <w:rPr>
          <w:b/>
          <w:sz w:val="24"/>
        </w:rPr>
        <w:t xml:space="preserve">Tab. </w:t>
      </w:r>
      <w:r w:rsidR="00413350" w:rsidRPr="00C525CD">
        <w:rPr>
          <w:b/>
          <w:sz w:val="24"/>
        </w:rPr>
        <w:t>6.5.</w:t>
      </w:r>
      <w:r w:rsidRPr="00C525CD">
        <w:rPr>
          <w:b/>
          <w:sz w:val="24"/>
        </w:rPr>
        <w:t xml:space="preserve"> Celkové hodnoty míry silného obtěžování, silného rušení při spánku a výskyt ICHS</w:t>
      </w:r>
    </w:p>
    <w:tbl>
      <w:tblPr>
        <w:tblW w:w="9262"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85" w:type="dxa"/>
          <w:right w:w="85" w:type="dxa"/>
        </w:tblCellMar>
        <w:tblLook w:val="01E0" w:firstRow="1" w:lastRow="1" w:firstColumn="1" w:lastColumn="1" w:noHBand="0" w:noVBand="0"/>
      </w:tblPr>
      <w:tblGrid>
        <w:gridCol w:w="1645"/>
        <w:gridCol w:w="2479"/>
        <w:gridCol w:w="2667"/>
        <w:gridCol w:w="2471"/>
      </w:tblGrid>
      <w:tr w:rsidR="006B1E67" w:rsidRPr="00C525CD" w:rsidTr="00343622">
        <w:trPr>
          <w:trHeight w:val="35"/>
          <w:tblHeader/>
        </w:trPr>
        <w:tc>
          <w:tcPr>
            <w:tcW w:w="888" w:type="pct"/>
            <w:tcBorders>
              <w:bottom w:val="single" w:sz="12" w:space="0" w:color="auto"/>
            </w:tcBorders>
            <w:shd w:val="clear" w:color="auto" w:fill="auto"/>
            <w:vAlign w:val="center"/>
          </w:tcPr>
          <w:p w:rsidR="006B1E67" w:rsidRPr="00C525CD" w:rsidRDefault="006B1E67" w:rsidP="00343622">
            <w:pPr>
              <w:keepNext/>
              <w:keepLines/>
              <w:spacing w:before="40" w:after="40"/>
              <w:ind w:firstLine="0"/>
              <w:jc w:val="center"/>
              <w:rPr>
                <w:b/>
                <w:sz w:val="20"/>
              </w:rPr>
            </w:pPr>
            <w:r w:rsidRPr="00C525CD">
              <w:rPr>
                <w:b/>
                <w:sz w:val="20"/>
              </w:rPr>
              <w:t>Stav</w:t>
            </w:r>
          </w:p>
        </w:tc>
        <w:tc>
          <w:tcPr>
            <w:tcW w:w="1338" w:type="pct"/>
            <w:tcBorders>
              <w:bottom w:val="single" w:sz="12" w:space="0" w:color="auto"/>
            </w:tcBorders>
            <w:shd w:val="clear" w:color="auto" w:fill="auto"/>
            <w:vAlign w:val="center"/>
          </w:tcPr>
          <w:p w:rsidR="006B1E67" w:rsidRPr="00C525CD" w:rsidRDefault="006B1E67" w:rsidP="00343622">
            <w:pPr>
              <w:keepNext/>
              <w:keepLines/>
              <w:spacing w:before="40" w:after="40"/>
              <w:ind w:firstLine="0"/>
              <w:jc w:val="center"/>
              <w:rPr>
                <w:sz w:val="20"/>
              </w:rPr>
            </w:pPr>
            <w:r w:rsidRPr="00C525CD">
              <w:rPr>
                <w:b/>
                <w:sz w:val="20"/>
              </w:rPr>
              <w:t>Silné obtěžování</w:t>
            </w:r>
          </w:p>
        </w:tc>
        <w:tc>
          <w:tcPr>
            <w:tcW w:w="1440" w:type="pct"/>
            <w:tcBorders>
              <w:bottom w:val="single" w:sz="12" w:space="0" w:color="auto"/>
            </w:tcBorders>
            <w:shd w:val="clear" w:color="auto" w:fill="auto"/>
            <w:vAlign w:val="center"/>
          </w:tcPr>
          <w:p w:rsidR="006B1E67" w:rsidRPr="00C525CD" w:rsidRDefault="006B1E67" w:rsidP="00343622">
            <w:pPr>
              <w:keepNext/>
              <w:keepLines/>
              <w:spacing w:before="40" w:after="40"/>
              <w:ind w:firstLine="0"/>
              <w:jc w:val="center"/>
              <w:rPr>
                <w:sz w:val="20"/>
              </w:rPr>
            </w:pPr>
            <w:r w:rsidRPr="00C525CD">
              <w:rPr>
                <w:b/>
                <w:sz w:val="20"/>
              </w:rPr>
              <w:t>Silné rušení spánku</w:t>
            </w:r>
          </w:p>
        </w:tc>
        <w:tc>
          <w:tcPr>
            <w:tcW w:w="1334" w:type="pct"/>
            <w:tcBorders>
              <w:bottom w:val="single" w:sz="12" w:space="0" w:color="auto"/>
            </w:tcBorders>
            <w:shd w:val="clear" w:color="auto" w:fill="auto"/>
            <w:vAlign w:val="center"/>
          </w:tcPr>
          <w:p w:rsidR="006B1E67" w:rsidRPr="00C525CD" w:rsidRDefault="006B1E67" w:rsidP="00343622">
            <w:pPr>
              <w:keepNext/>
              <w:keepLines/>
              <w:spacing w:before="40" w:after="40"/>
              <w:ind w:firstLine="0"/>
              <w:jc w:val="center"/>
              <w:rPr>
                <w:sz w:val="20"/>
              </w:rPr>
            </w:pPr>
            <w:r w:rsidRPr="00C525CD">
              <w:rPr>
                <w:b/>
                <w:sz w:val="20"/>
              </w:rPr>
              <w:t>Výskyt ISCHS</w:t>
            </w:r>
          </w:p>
        </w:tc>
      </w:tr>
      <w:tr w:rsidR="006B1E67" w:rsidRPr="00C525CD" w:rsidTr="00343622">
        <w:tc>
          <w:tcPr>
            <w:tcW w:w="5000" w:type="pct"/>
            <w:gridSpan w:val="4"/>
            <w:tcBorders>
              <w:top w:val="single" w:sz="12" w:space="0" w:color="auto"/>
              <w:bottom w:val="double" w:sz="4" w:space="0" w:color="auto"/>
            </w:tcBorders>
            <w:shd w:val="clear" w:color="auto" w:fill="auto"/>
            <w:vAlign w:val="center"/>
          </w:tcPr>
          <w:p w:rsidR="006B1E67" w:rsidRPr="00C525CD" w:rsidRDefault="006B1E67" w:rsidP="00343622">
            <w:pPr>
              <w:keepNext/>
              <w:keepLines/>
              <w:widowControl/>
              <w:spacing w:before="40" w:after="40"/>
              <w:ind w:firstLine="0"/>
              <w:jc w:val="center"/>
              <w:rPr>
                <w:sz w:val="20"/>
              </w:rPr>
            </w:pPr>
            <w:r w:rsidRPr="00C525CD">
              <w:rPr>
                <w:b/>
                <w:spacing w:val="-1"/>
                <w:sz w:val="20"/>
              </w:rPr>
              <w:t>Okolní zástavba (stávající i plánovaná)</w:t>
            </w:r>
          </w:p>
        </w:tc>
      </w:tr>
      <w:tr w:rsidR="006B1E67" w:rsidRPr="00C525CD" w:rsidTr="000334C8">
        <w:tc>
          <w:tcPr>
            <w:tcW w:w="888" w:type="pct"/>
            <w:tcBorders>
              <w:top w:val="double" w:sz="4" w:space="0" w:color="auto"/>
              <w:bottom w:val="single" w:sz="12" w:space="0" w:color="auto"/>
            </w:tcBorders>
            <w:shd w:val="clear" w:color="auto" w:fill="auto"/>
            <w:vAlign w:val="center"/>
          </w:tcPr>
          <w:p w:rsidR="006B1E67" w:rsidRPr="00C525CD" w:rsidRDefault="006B1E67" w:rsidP="00343622">
            <w:pPr>
              <w:keepNext/>
              <w:keepLines/>
              <w:spacing w:before="40" w:after="40"/>
              <w:ind w:firstLine="0"/>
              <w:jc w:val="center"/>
              <w:rPr>
                <w:sz w:val="20"/>
              </w:rPr>
            </w:pPr>
            <w:r w:rsidRPr="00C525CD">
              <w:rPr>
                <w:sz w:val="20"/>
              </w:rPr>
              <w:t>Beze záměru</w:t>
            </w:r>
          </w:p>
        </w:tc>
        <w:tc>
          <w:tcPr>
            <w:tcW w:w="1338" w:type="pct"/>
            <w:tcBorders>
              <w:top w:val="double" w:sz="4" w:space="0" w:color="auto"/>
              <w:bottom w:val="single" w:sz="12" w:space="0" w:color="auto"/>
            </w:tcBorders>
            <w:shd w:val="clear" w:color="auto" w:fill="auto"/>
            <w:vAlign w:val="bottom"/>
          </w:tcPr>
          <w:p w:rsidR="006B1E67" w:rsidRPr="00C525CD" w:rsidRDefault="006D1176" w:rsidP="00343622">
            <w:pPr>
              <w:keepNext/>
              <w:keepLines/>
              <w:widowControl/>
              <w:spacing w:before="40" w:after="40"/>
              <w:ind w:firstLine="0"/>
              <w:jc w:val="center"/>
              <w:rPr>
                <w:sz w:val="20"/>
              </w:rPr>
            </w:pPr>
            <w:r w:rsidRPr="00C525CD">
              <w:rPr>
                <w:sz w:val="20"/>
              </w:rPr>
              <w:t>14</w:t>
            </w:r>
          </w:p>
        </w:tc>
        <w:tc>
          <w:tcPr>
            <w:tcW w:w="1440" w:type="pct"/>
            <w:tcBorders>
              <w:top w:val="double" w:sz="4" w:space="0" w:color="auto"/>
              <w:bottom w:val="single" w:sz="12" w:space="0" w:color="auto"/>
            </w:tcBorders>
            <w:shd w:val="clear" w:color="auto" w:fill="auto"/>
            <w:vAlign w:val="bottom"/>
          </w:tcPr>
          <w:p w:rsidR="006B1E67" w:rsidRPr="00C525CD" w:rsidRDefault="006D1176" w:rsidP="00343622">
            <w:pPr>
              <w:keepNext/>
              <w:keepLines/>
              <w:widowControl/>
              <w:spacing w:before="40" w:after="40"/>
              <w:ind w:firstLine="0"/>
              <w:jc w:val="center"/>
              <w:rPr>
                <w:sz w:val="20"/>
              </w:rPr>
            </w:pPr>
            <w:r w:rsidRPr="00C525CD">
              <w:rPr>
                <w:sz w:val="20"/>
              </w:rPr>
              <w:t>4</w:t>
            </w:r>
          </w:p>
        </w:tc>
        <w:tc>
          <w:tcPr>
            <w:tcW w:w="1334" w:type="pct"/>
            <w:tcBorders>
              <w:top w:val="double" w:sz="4" w:space="0" w:color="auto"/>
              <w:bottom w:val="single" w:sz="12" w:space="0" w:color="auto"/>
            </w:tcBorders>
            <w:shd w:val="clear" w:color="auto" w:fill="auto"/>
            <w:vAlign w:val="bottom"/>
          </w:tcPr>
          <w:p w:rsidR="006B1E67" w:rsidRPr="00C525CD" w:rsidRDefault="006D1176" w:rsidP="00343622">
            <w:pPr>
              <w:keepNext/>
              <w:keepLines/>
              <w:widowControl/>
              <w:spacing w:before="40" w:after="40"/>
              <w:ind w:firstLine="0"/>
              <w:jc w:val="center"/>
              <w:rPr>
                <w:sz w:val="20"/>
              </w:rPr>
            </w:pPr>
            <w:r w:rsidRPr="00C525CD">
              <w:rPr>
                <w:sz w:val="20"/>
              </w:rPr>
              <w:t>0,041196</w:t>
            </w:r>
          </w:p>
        </w:tc>
      </w:tr>
      <w:tr w:rsidR="006B1E67" w:rsidRPr="00C525CD" w:rsidTr="000334C8">
        <w:tc>
          <w:tcPr>
            <w:tcW w:w="888" w:type="pct"/>
            <w:tcBorders>
              <w:top w:val="single" w:sz="12" w:space="0" w:color="auto"/>
            </w:tcBorders>
            <w:shd w:val="clear" w:color="auto" w:fill="auto"/>
            <w:vAlign w:val="center"/>
          </w:tcPr>
          <w:p w:rsidR="006B1E67" w:rsidRPr="00C525CD" w:rsidRDefault="006D1176" w:rsidP="00343622">
            <w:pPr>
              <w:spacing w:before="40" w:after="40"/>
              <w:ind w:firstLine="0"/>
              <w:jc w:val="center"/>
              <w:rPr>
                <w:sz w:val="20"/>
              </w:rPr>
            </w:pPr>
            <w:r w:rsidRPr="00C525CD">
              <w:rPr>
                <w:sz w:val="20"/>
              </w:rPr>
              <w:t>Změna Z 3111/10</w:t>
            </w:r>
          </w:p>
        </w:tc>
        <w:tc>
          <w:tcPr>
            <w:tcW w:w="1338" w:type="pct"/>
            <w:tcBorders>
              <w:top w:val="single" w:sz="12" w:space="0" w:color="auto"/>
            </w:tcBorders>
            <w:shd w:val="clear" w:color="auto" w:fill="auto"/>
            <w:vAlign w:val="bottom"/>
          </w:tcPr>
          <w:p w:rsidR="006B1E67" w:rsidRPr="00C525CD" w:rsidRDefault="006D1176" w:rsidP="00343622">
            <w:pPr>
              <w:widowControl/>
              <w:spacing w:before="40" w:after="40"/>
              <w:ind w:firstLine="0"/>
              <w:jc w:val="center"/>
              <w:rPr>
                <w:sz w:val="20"/>
              </w:rPr>
            </w:pPr>
            <w:r w:rsidRPr="00C525CD">
              <w:rPr>
                <w:sz w:val="20"/>
              </w:rPr>
              <w:t>14</w:t>
            </w:r>
          </w:p>
        </w:tc>
        <w:tc>
          <w:tcPr>
            <w:tcW w:w="1440" w:type="pct"/>
            <w:tcBorders>
              <w:top w:val="single" w:sz="12" w:space="0" w:color="auto"/>
            </w:tcBorders>
            <w:shd w:val="clear" w:color="auto" w:fill="auto"/>
            <w:vAlign w:val="bottom"/>
          </w:tcPr>
          <w:p w:rsidR="006B1E67" w:rsidRPr="00C525CD" w:rsidRDefault="006D1176" w:rsidP="00343622">
            <w:pPr>
              <w:widowControl/>
              <w:spacing w:before="40" w:after="40"/>
              <w:ind w:firstLine="0"/>
              <w:jc w:val="center"/>
              <w:rPr>
                <w:sz w:val="20"/>
              </w:rPr>
            </w:pPr>
            <w:r w:rsidRPr="00C525CD">
              <w:rPr>
                <w:sz w:val="20"/>
              </w:rPr>
              <w:t>4</w:t>
            </w:r>
          </w:p>
        </w:tc>
        <w:tc>
          <w:tcPr>
            <w:tcW w:w="1334" w:type="pct"/>
            <w:tcBorders>
              <w:top w:val="single" w:sz="12" w:space="0" w:color="auto"/>
            </w:tcBorders>
            <w:shd w:val="clear" w:color="auto" w:fill="auto"/>
            <w:vAlign w:val="bottom"/>
          </w:tcPr>
          <w:p w:rsidR="006B1E67" w:rsidRPr="00C525CD" w:rsidRDefault="006D1176" w:rsidP="00343622">
            <w:pPr>
              <w:widowControl/>
              <w:spacing w:before="40" w:after="40"/>
              <w:ind w:firstLine="0"/>
              <w:jc w:val="center"/>
              <w:rPr>
                <w:sz w:val="20"/>
              </w:rPr>
            </w:pPr>
            <w:r w:rsidRPr="00C525CD">
              <w:rPr>
                <w:sz w:val="20"/>
              </w:rPr>
              <w:t>0,042043</w:t>
            </w:r>
          </w:p>
        </w:tc>
      </w:tr>
      <w:tr w:rsidR="006B1E67" w:rsidRPr="00C525CD" w:rsidTr="000334C8">
        <w:tc>
          <w:tcPr>
            <w:tcW w:w="888" w:type="pct"/>
            <w:tcBorders>
              <w:bottom w:val="single" w:sz="12" w:space="0" w:color="auto"/>
            </w:tcBorders>
            <w:shd w:val="clear" w:color="auto" w:fill="auto"/>
            <w:vAlign w:val="center"/>
          </w:tcPr>
          <w:p w:rsidR="006B1E67" w:rsidRPr="00C525CD" w:rsidRDefault="006B1E67" w:rsidP="00343622">
            <w:pPr>
              <w:spacing w:before="40" w:after="40"/>
              <w:ind w:firstLine="0"/>
              <w:jc w:val="center"/>
              <w:rPr>
                <w:sz w:val="20"/>
              </w:rPr>
            </w:pPr>
            <w:r w:rsidRPr="00C525CD">
              <w:rPr>
                <w:sz w:val="20"/>
              </w:rPr>
              <w:t>Rozdíl</w:t>
            </w:r>
          </w:p>
        </w:tc>
        <w:tc>
          <w:tcPr>
            <w:tcW w:w="1338" w:type="pct"/>
            <w:tcBorders>
              <w:bottom w:val="single" w:sz="12" w:space="0" w:color="auto"/>
            </w:tcBorders>
            <w:shd w:val="clear" w:color="auto" w:fill="auto"/>
            <w:vAlign w:val="bottom"/>
          </w:tcPr>
          <w:p w:rsidR="006B1E67" w:rsidRPr="00C525CD" w:rsidRDefault="006D1176" w:rsidP="00343622">
            <w:pPr>
              <w:widowControl/>
              <w:spacing w:before="40" w:after="40"/>
              <w:ind w:firstLine="0"/>
              <w:jc w:val="center"/>
              <w:rPr>
                <w:sz w:val="20"/>
              </w:rPr>
            </w:pPr>
            <w:r w:rsidRPr="00C525CD">
              <w:rPr>
                <w:sz w:val="20"/>
              </w:rPr>
              <w:t>0</w:t>
            </w:r>
          </w:p>
        </w:tc>
        <w:tc>
          <w:tcPr>
            <w:tcW w:w="1440" w:type="pct"/>
            <w:tcBorders>
              <w:bottom w:val="single" w:sz="12" w:space="0" w:color="auto"/>
            </w:tcBorders>
            <w:shd w:val="clear" w:color="auto" w:fill="auto"/>
            <w:vAlign w:val="bottom"/>
          </w:tcPr>
          <w:p w:rsidR="006B1E67" w:rsidRPr="00C525CD" w:rsidRDefault="006D1176" w:rsidP="00343622">
            <w:pPr>
              <w:keepNext/>
              <w:keepLines/>
              <w:widowControl/>
              <w:spacing w:before="40" w:after="40"/>
              <w:ind w:firstLine="0"/>
              <w:jc w:val="center"/>
              <w:rPr>
                <w:sz w:val="20"/>
              </w:rPr>
            </w:pPr>
            <w:r w:rsidRPr="00C525CD">
              <w:rPr>
                <w:sz w:val="20"/>
              </w:rPr>
              <w:t>0</w:t>
            </w:r>
          </w:p>
        </w:tc>
        <w:tc>
          <w:tcPr>
            <w:tcW w:w="1334" w:type="pct"/>
            <w:tcBorders>
              <w:bottom w:val="single" w:sz="12" w:space="0" w:color="auto"/>
            </w:tcBorders>
            <w:shd w:val="clear" w:color="auto" w:fill="auto"/>
            <w:vAlign w:val="bottom"/>
          </w:tcPr>
          <w:p w:rsidR="006B1E67" w:rsidRPr="00C525CD" w:rsidRDefault="006D1176" w:rsidP="00343622">
            <w:pPr>
              <w:keepNext/>
              <w:keepLines/>
              <w:widowControl/>
              <w:spacing w:before="40" w:after="40"/>
              <w:ind w:firstLine="0"/>
              <w:jc w:val="center"/>
              <w:rPr>
                <w:sz w:val="20"/>
              </w:rPr>
            </w:pPr>
            <w:r w:rsidRPr="00C525CD">
              <w:rPr>
                <w:sz w:val="20"/>
              </w:rPr>
              <w:t>0,000847</w:t>
            </w:r>
          </w:p>
        </w:tc>
      </w:tr>
      <w:tr w:rsidR="006D1176" w:rsidRPr="00C525CD" w:rsidTr="000334C8">
        <w:tc>
          <w:tcPr>
            <w:tcW w:w="888" w:type="pct"/>
            <w:tcBorders>
              <w:top w:val="single" w:sz="12" w:space="0" w:color="auto"/>
            </w:tcBorders>
            <w:shd w:val="clear" w:color="auto" w:fill="auto"/>
            <w:vAlign w:val="center"/>
          </w:tcPr>
          <w:p w:rsidR="006D1176" w:rsidRPr="00C525CD" w:rsidRDefault="006D1176" w:rsidP="00343622">
            <w:pPr>
              <w:spacing w:before="40" w:after="40"/>
              <w:ind w:firstLine="0"/>
              <w:jc w:val="center"/>
              <w:rPr>
                <w:sz w:val="20"/>
              </w:rPr>
            </w:pPr>
            <w:r w:rsidRPr="00C525CD">
              <w:rPr>
                <w:sz w:val="20"/>
              </w:rPr>
              <w:t>Úprava U 1250/2</w:t>
            </w:r>
          </w:p>
        </w:tc>
        <w:tc>
          <w:tcPr>
            <w:tcW w:w="1338" w:type="pct"/>
            <w:tcBorders>
              <w:top w:val="single" w:sz="12" w:space="0" w:color="auto"/>
            </w:tcBorders>
            <w:shd w:val="clear" w:color="auto" w:fill="auto"/>
            <w:vAlign w:val="bottom"/>
          </w:tcPr>
          <w:p w:rsidR="006D1176" w:rsidRPr="00C525CD" w:rsidRDefault="00FA4B41" w:rsidP="00343622">
            <w:pPr>
              <w:widowControl/>
              <w:spacing w:before="40" w:after="40"/>
              <w:ind w:firstLine="0"/>
              <w:jc w:val="center"/>
              <w:rPr>
                <w:sz w:val="20"/>
              </w:rPr>
            </w:pPr>
            <w:r w:rsidRPr="00C525CD">
              <w:rPr>
                <w:sz w:val="20"/>
              </w:rPr>
              <w:t>14</w:t>
            </w:r>
          </w:p>
        </w:tc>
        <w:tc>
          <w:tcPr>
            <w:tcW w:w="1440" w:type="pct"/>
            <w:tcBorders>
              <w:top w:val="single" w:sz="12" w:space="0" w:color="auto"/>
            </w:tcBorders>
            <w:shd w:val="clear" w:color="auto" w:fill="auto"/>
            <w:vAlign w:val="bottom"/>
          </w:tcPr>
          <w:p w:rsidR="006D1176" w:rsidRPr="00C525CD" w:rsidRDefault="00FA4B41" w:rsidP="00343622">
            <w:pPr>
              <w:keepNext/>
              <w:keepLines/>
              <w:widowControl/>
              <w:spacing w:before="40" w:after="40"/>
              <w:ind w:firstLine="0"/>
              <w:jc w:val="center"/>
              <w:rPr>
                <w:sz w:val="20"/>
              </w:rPr>
            </w:pPr>
            <w:r w:rsidRPr="00C525CD">
              <w:rPr>
                <w:sz w:val="20"/>
              </w:rPr>
              <w:t>4</w:t>
            </w:r>
          </w:p>
        </w:tc>
        <w:tc>
          <w:tcPr>
            <w:tcW w:w="1334" w:type="pct"/>
            <w:tcBorders>
              <w:top w:val="single" w:sz="12" w:space="0" w:color="auto"/>
            </w:tcBorders>
            <w:shd w:val="clear" w:color="auto" w:fill="auto"/>
            <w:vAlign w:val="bottom"/>
          </w:tcPr>
          <w:p w:rsidR="006D1176" w:rsidRPr="00C525CD" w:rsidRDefault="00FA4B41" w:rsidP="00343622">
            <w:pPr>
              <w:keepNext/>
              <w:keepLines/>
              <w:widowControl/>
              <w:spacing w:before="40" w:after="40"/>
              <w:ind w:firstLine="0"/>
              <w:jc w:val="center"/>
              <w:rPr>
                <w:sz w:val="20"/>
              </w:rPr>
            </w:pPr>
            <w:r w:rsidRPr="00C525CD">
              <w:rPr>
                <w:sz w:val="20"/>
              </w:rPr>
              <w:t>0,041803</w:t>
            </w:r>
          </w:p>
        </w:tc>
      </w:tr>
      <w:tr w:rsidR="006D1176" w:rsidRPr="00C525CD" w:rsidTr="00343622">
        <w:tc>
          <w:tcPr>
            <w:tcW w:w="888" w:type="pct"/>
            <w:shd w:val="clear" w:color="auto" w:fill="auto"/>
            <w:vAlign w:val="center"/>
          </w:tcPr>
          <w:p w:rsidR="006D1176" w:rsidRPr="00C525CD" w:rsidRDefault="006D1176" w:rsidP="00343622">
            <w:pPr>
              <w:spacing w:before="40" w:after="40"/>
              <w:ind w:firstLine="0"/>
              <w:jc w:val="center"/>
              <w:rPr>
                <w:sz w:val="20"/>
              </w:rPr>
            </w:pPr>
            <w:r w:rsidRPr="00C525CD">
              <w:rPr>
                <w:sz w:val="20"/>
              </w:rPr>
              <w:t>Rozdíl</w:t>
            </w:r>
          </w:p>
        </w:tc>
        <w:tc>
          <w:tcPr>
            <w:tcW w:w="1338" w:type="pct"/>
            <w:shd w:val="clear" w:color="auto" w:fill="auto"/>
            <w:vAlign w:val="bottom"/>
          </w:tcPr>
          <w:p w:rsidR="006D1176" w:rsidRPr="00C525CD" w:rsidRDefault="00FA4B41" w:rsidP="00343622">
            <w:pPr>
              <w:widowControl/>
              <w:spacing w:before="40" w:after="40"/>
              <w:ind w:firstLine="0"/>
              <w:jc w:val="center"/>
              <w:rPr>
                <w:sz w:val="20"/>
              </w:rPr>
            </w:pPr>
            <w:r w:rsidRPr="00C525CD">
              <w:rPr>
                <w:sz w:val="20"/>
              </w:rPr>
              <w:t>0</w:t>
            </w:r>
          </w:p>
        </w:tc>
        <w:tc>
          <w:tcPr>
            <w:tcW w:w="1440" w:type="pct"/>
            <w:shd w:val="clear" w:color="auto" w:fill="auto"/>
            <w:vAlign w:val="bottom"/>
          </w:tcPr>
          <w:p w:rsidR="006D1176" w:rsidRPr="00C525CD" w:rsidRDefault="00FA4B41" w:rsidP="00343622">
            <w:pPr>
              <w:keepNext/>
              <w:keepLines/>
              <w:widowControl/>
              <w:spacing w:before="40" w:after="40"/>
              <w:ind w:firstLine="0"/>
              <w:jc w:val="center"/>
              <w:rPr>
                <w:sz w:val="20"/>
              </w:rPr>
            </w:pPr>
            <w:r w:rsidRPr="00C525CD">
              <w:rPr>
                <w:sz w:val="20"/>
              </w:rPr>
              <w:t>0</w:t>
            </w:r>
          </w:p>
        </w:tc>
        <w:tc>
          <w:tcPr>
            <w:tcW w:w="1334" w:type="pct"/>
            <w:shd w:val="clear" w:color="auto" w:fill="auto"/>
            <w:vAlign w:val="bottom"/>
          </w:tcPr>
          <w:p w:rsidR="006D1176" w:rsidRPr="00C525CD" w:rsidRDefault="00FA4B41" w:rsidP="00343622">
            <w:pPr>
              <w:keepNext/>
              <w:keepLines/>
              <w:widowControl/>
              <w:spacing w:before="40" w:after="40"/>
              <w:ind w:firstLine="0"/>
              <w:jc w:val="center"/>
              <w:rPr>
                <w:sz w:val="20"/>
              </w:rPr>
            </w:pPr>
            <w:r w:rsidRPr="00C525CD">
              <w:rPr>
                <w:sz w:val="20"/>
              </w:rPr>
              <w:t>0,000607</w:t>
            </w:r>
          </w:p>
        </w:tc>
      </w:tr>
    </w:tbl>
    <w:p w:rsidR="00FA4B41" w:rsidRPr="00C525CD" w:rsidRDefault="00FA4B41" w:rsidP="00FA4B41">
      <w:r w:rsidRPr="00C525CD">
        <w:t xml:space="preserve">Pro dotčenou populaci v okolní zástavbě byl vypočten nárůst počtu obtěžovaných </w:t>
      </w:r>
      <w:r w:rsidRPr="00C525CD">
        <w:lastRenderedPageBreak/>
        <w:t>a při spánku rušených obyvatel pod hranicí jednoho případu, stejně tak změna míry kardiovaskulárního rizika se pohybuje v řádu desetitisícin nového případu, což představuje nárůst výskytu jednoho nového případu ISCHS v době 1100 – 1</w:t>
      </w:r>
      <w:r w:rsidR="00D759F9" w:rsidRPr="00C525CD">
        <w:t>65</w:t>
      </w:r>
      <w:r w:rsidRPr="00C525CD">
        <w:t>0 let.</w:t>
      </w:r>
    </w:p>
    <w:p w:rsidR="00FA4B41" w:rsidRPr="00C525CD" w:rsidRDefault="00FA4B41" w:rsidP="00FA4B41">
      <w:pPr>
        <w:widowControl/>
      </w:pPr>
      <w:r w:rsidRPr="00C525CD">
        <w:t xml:space="preserve">Z provedeného vyhodnocení tedy vyplývá, že v dotčené populaci není třeba očekávat vlivem posuzované změny nárůst zdravotního rizika, který by byl významný ve smyslu ohrožení zdraví a i změny v míře obtěžování jsou mírné a v praxi málo významné. </w:t>
      </w:r>
    </w:p>
    <w:p w:rsidR="00FA4B41" w:rsidRPr="00C525CD" w:rsidRDefault="00FA4B41" w:rsidP="00FA4B41">
      <w:pPr>
        <w:widowControl/>
      </w:pPr>
    </w:p>
    <w:p w:rsidR="005240D6" w:rsidRPr="00C525CD" w:rsidRDefault="005240D6" w:rsidP="005240D6">
      <w:pPr>
        <w:pStyle w:val="Nadpis3"/>
        <w:widowControl/>
        <w:numPr>
          <w:ilvl w:val="2"/>
          <w:numId w:val="4"/>
        </w:numPr>
        <w:spacing w:line="288" w:lineRule="auto"/>
      </w:pPr>
      <w:r w:rsidRPr="00C525CD">
        <w:t>Nejistoty v hodnocení</w:t>
      </w:r>
    </w:p>
    <w:p w:rsidR="005240D6" w:rsidRPr="00C525CD" w:rsidRDefault="005240D6" w:rsidP="005240D6">
      <w:r w:rsidRPr="00C525CD">
        <w:t>Při interpretaci výsledků hodnocení vlivů na lidské zdraví je nutno zohlednit nejistoty, kterými je vzhledem k současnému stavu poznání hodnocení zatíženo. Jedná se o nejistoty v následujících oblastech:</w:t>
      </w:r>
    </w:p>
    <w:p w:rsidR="005240D6" w:rsidRPr="00C525CD" w:rsidRDefault="005240D6" w:rsidP="005240D6">
      <w:pPr>
        <w:pStyle w:val="Seznamsodrkami"/>
        <w:numPr>
          <w:ilvl w:val="0"/>
          <w:numId w:val="32"/>
        </w:numPr>
        <w:tabs>
          <w:tab w:val="clear" w:pos="284"/>
        </w:tabs>
      </w:pPr>
      <w:r w:rsidRPr="00C525CD">
        <w:t>prognóza dopravní zátěže ve výhledovém horizontu</w:t>
      </w:r>
    </w:p>
    <w:p w:rsidR="005240D6" w:rsidRPr="00C525CD" w:rsidRDefault="005240D6" w:rsidP="005240D6">
      <w:pPr>
        <w:pStyle w:val="Seznamsodrkami"/>
        <w:numPr>
          <w:ilvl w:val="0"/>
          <w:numId w:val="32"/>
        </w:numPr>
        <w:tabs>
          <w:tab w:val="clear" w:pos="284"/>
        </w:tabs>
      </w:pPr>
      <w:r w:rsidRPr="00C525CD">
        <w:t>stanovení koncentrací znečišťujících látek a akustických veličin modelovými výpočty</w:t>
      </w:r>
    </w:p>
    <w:p w:rsidR="005240D6" w:rsidRPr="00C525CD" w:rsidRDefault="005240D6" w:rsidP="005240D6">
      <w:pPr>
        <w:pStyle w:val="Seznamsodrkami"/>
        <w:numPr>
          <w:ilvl w:val="0"/>
          <w:numId w:val="32"/>
        </w:numPr>
        <w:tabs>
          <w:tab w:val="clear" w:pos="284"/>
        </w:tabs>
      </w:pPr>
      <w:r w:rsidRPr="00C525CD">
        <w:t>expoziční scénář pro obyvatelstvo žijící v okolí, pohyb obyvatel mimo bydliště a jejich výskyt ve vnějším prostředí, rozdílná vzduchová neprůzvučnost obvodového pláště budov</w:t>
      </w:r>
    </w:p>
    <w:p w:rsidR="005240D6" w:rsidRPr="00C525CD" w:rsidRDefault="005240D6" w:rsidP="005240D6">
      <w:pPr>
        <w:pStyle w:val="Seznamsodrkami"/>
        <w:numPr>
          <w:ilvl w:val="0"/>
          <w:numId w:val="32"/>
        </w:numPr>
        <w:tabs>
          <w:tab w:val="clear" w:pos="284"/>
        </w:tabs>
        <w:rPr>
          <w:spacing w:val="-2"/>
        </w:rPr>
      </w:pPr>
      <w:r w:rsidRPr="00C525CD">
        <w:rPr>
          <w:spacing w:val="-2"/>
        </w:rPr>
        <w:t>ovlivnění individuálního rizika profesionální expozicí, životním stylem a migrací, v</w:t>
      </w:r>
      <w:r w:rsidR="00484F49" w:rsidRPr="00C525CD">
        <w:rPr>
          <w:spacing w:val="-2"/>
        </w:rPr>
        <w:t> </w:t>
      </w:r>
      <w:r w:rsidRPr="00C525CD">
        <w:rPr>
          <w:spacing w:val="-2"/>
        </w:rPr>
        <w:t xml:space="preserve">případě hluku též </w:t>
      </w:r>
      <w:r w:rsidRPr="00C525CD">
        <w:t>rozdílným stupněm vnímavosti a citlivosti exponovaných osob</w:t>
      </w:r>
    </w:p>
    <w:p w:rsidR="005240D6" w:rsidRPr="00C525CD" w:rsidRDefault="005240D6" w:rsidP="005240D6">
      <w:pPr>
        <w:pStyle w:val="Seznamsodrkami"/>
        <w:numPr>
          <w:ilvl w:val="0"/>
          <w:numId w:val="32"/>
        </w:numPr>
        <w:tabs>
          <w:tab w:val="clear" w:pos="284"/>
        </w:tabs>
      </w:pPr>
      <w:r w:rsidRPr="00C525CD">
        <w:t xml:space="preserve">dostupné informace o vztahu mezi úrovní koncentrací znečišťujících látek či hlukovou expozicí jejich zdravotními účinky. </w:t>
      </w:r>
    </w:p>
    <w:p w:rsidR="005240D6" w:rsidRPr="00C525CD" w:rsidRDefault="005240D6" w:rsidP="005240D6">
      <w:pPr>
        <w:pStyle w:val="Seznamsodrkami"/>
        <w:numPr>
          <w:ilvl w:val="0"/>
          <w:numId w:val="32"/>
        </w:numPr>
        <w:tabs>
          <w:tab w:val="clear" w:pos="284"/>
        </w:tabs>
      </w:pPr>
      <w:r w:rsidRPr="00C525CD">
        <w:t>stanovení referenčních koncentrací a směrných hodnot pro znečišťující látky.</w:t>
      </w:r>
    </w:p>
    <w:p w:rsidR="005240D6" w:rsidRPr="00C525CD" w:rsidRDefault="005240D6" w:rsidP="005240D6">
      <w:pPr>
        <w:widowControl/>
      </w:pPr>
      <w:r w:rsidRPr="00C525CD">
        <w:t>Přes uvedené nejistoty lze údaje o zdravotních rizicích považovat za dostatečně spolehlivé ve vztahu k celkovým závěrům o vlivu hodnocené změny ÚP na celkovou míru zdravotního rizika.</w:t>
      </w:r>
    </w:p>
    <w:p w:rsidR="005240D6" w:rsidRPr="00C525CD" w:rsidRDefault="005240D6" w:rsidP="00190CB0"/>
    <w:p w:rsidR="005240D6" w:rsidRPr="00C525CD" w:rsidRDefault="005240D6" w:rsidP="005240D6">
      <w:pPr>
        <w:pStyle w:val="Nadpis2"/>
        <w:numPr>
          <w:ilvl w:val="1"/>
          <w:numId w:val="4"/>
        </w:numPr>
      </w:pPr>
      <w:bookmarkStart w:id="61" w:name="_Toc73358443"/>
      <w:r w:rsidRPr="00C525CD">
        <w:t>Návrh opatření</w:t>
      </w:r>
      <w:bookmarkEnd w:id="61"/>
    </w:p>
    <w:p w:rsidR="005240D6" w:rsidRPr="00C525CD" w:rsidRDefault="005240D6" w:rsidP="005240D6">
      <w:r w:rsidRPr="00C525CD">
        <w:t xml:space="preserve">Pro danou změnu nejsou navrhovaná </w:t>
      </w:r>
      <w:r w:rsidR="00FA4B41" w:rsidRPr="00C525CD">
        <w:t xml:space="preserve">konkrétní </w:t>
      </w:r>
      <w:r w:rsidRPr="00C525CD">
        <w:t>opatření.</w:t>
      </w:r>
    </w:p>
    <w:p w:rsidR="005240D6" w:rsidRPr="00C525CD" w:rsidRDefault="005240D6" w:rsidP="005240D6">
      <w:r w:rsidRPr="00C525CD">
        <w:t>Opatření k ochraně lidského zdraví jsou v dostatečném rozsahu uvedena v</w:t>
      </w:r>
      <w:r w:rsidR="00484F49" w:rsidRPr="00C525CD">
        <w:t> </w:t>
      </w:r>
      <w:r w:rsidRPr="00C525CD">
        <w:t>kapitolách věnovaných akustickému posouzení a vlivů na kvalitu ovzduší.</w:t>
      </w:r>
    </w:p>
    <w:p w:rsidR="005240D6" w:rsidRPr="00C525CD" w:rsidRDefault="005240D6" w:rsidP="005240D6"/>
    <w:p w:rsidR="005240D6" w:rsidRPr="00C525CD" w:rsidRDefault="005240D6" w:rsidP="00D759F9">
      <w:pPr>
        <w:pStyle w:val="Nadpis2"/>
        <w:keepLines/>
        <w:numPr>
          <w:ilvl w:val="1"/>
          <w:numId w:val="4"/>
        </w:numPr>
      </w:pPr>
      <w:bookmarkStart w:id="62" w:name="_Toc73358444"/>
      <w:r w:rsidRPr="00C525CD">
        <w:lastRenderedPageBreak/>
        <w:t>Závěrečné zhodnocení</w:t>
      </w:r>
      <w:bookmarkEnd w:id="62"/>
    </w:p>
    <w:p w:rsidR="00671496" w:rsidRPr="00C525CD" w:rsidRDefault="00671496" w:rsidP="00D759F9">
      <w:pPr>
        <w:keepNext/>
        <w:keepLines/>
      </w:pPr>
      <w:r w:rsidRPr="00C525CD">
        <w:t>Jak ukazuje hodnocení záměru z hlediska kvality ovzduší a hlukové zátěže, není třeba očekávat nárůst míry rizika významného ve smyslu ohrožení zdraví, a to ani z</w:t>
      </w:r>
      <w:r w:rsidR="00DB41C1" w:rsidRPr="00C525CD">
        <w:t>e</w:t>
      </w:r>
      <w:r w:rsidR="00D759F9" w:rsidRPr="00C525CD">
        <w:t> zhoršené kvality ovzduší, ani ze zhoršené akustické situace.</w:t>
      </w:r>
    </w:p>
    <w:p w:rsidR="00D759F9" w:rsidRPr="00C525CD" w:rsidRDefault="00D759F9" w:rsidP="005240D6">
      <w:r w:rsidRPr="00C525CD">
        <w:t>Všechny změny v riziku zdravotních účinků se pohybuji pouze ve statistické rovině, tedy nárůst těchto účinků se pohybuje řádově pod hranicí nového případu.</w:t>
      </w:r>
    </w:p>
    <w:p w:rsidR="005240D6" w:rsidRPr="00C525CD" w:rsidRDefault="005240D6" w:rsidP="005240D6"/>
    <w:p w:rsidR="005240D6" w:rsidRPr="00C525CD" w:rsidRDefault="005240D6" w:rsidP="00190CB0"/>
    <w:p w:rsidR="00534DCE" w:rsidRPr="00C525CD" w:rsidRDefault="00534DCE" w:rsidP="00C66AA3">
      <w:pPr>
        <w:widowControl/>
      </w:pPr>
    </w:p>
    <w:p w:rsidR="00E65D73" w:rsidRPr="00C525CD" w:rsidRDefault="00E65D73" w:rsidP="00C66AA3">
      <w:pPr>
        <w:pStyle w:val="Seznamsodrkami"/>
        <w:numPr>
          <w:ilvl w:val="0"/>
          <w:numId w:val="0"/>
        </w:numPr>
        <w:tabs>
          <w:tab w:val="clear" w:pos="284"/>
        </w:tabs>
      </w:pPr>
    </w:p>
    <w:p w:rsidR="00E65D73" w:rsidRPr="00C525CD" w:rsidRDefault="00E65D73" w:rsidP="00E65D73">
      <w:pPr>
        <w:pStyle w:val="Nadpis1"/>
        <w:widowControl/>
        <w:numPr>
          <w:ilvl w:val="0"/>
          <w:numId w:val="6"/>
        </w:numPr>
        <w:tabs>
          <w:tab w:val="clear" w:pos="567"/>
        </w:tabs>
        <w:spacing w:after="0"/>
        <w:ind w:left="426" w:hanging="426"/>
      </w:pPr>
      <w:bookmarkStart w:id="63" w:name="_Toc73358445"/>
      <w:r w:rsidRPr="00C525CD">
        <w:lastRenderedPageBreak/>
        <w:t>Závěr</w:t>
      </w:r>
      <w:bookmarkEnd w:id="63"/>
    </w:p>
    <w:p w:rsidR="00D759F9" w:rsidRDefault="00764732" w:rsidP="00D759F9">
      <w:r w:rsidRPr="00C525CD">
        <w:t>Cílem předložené studie bylo posoudit vliv změny č. Z 3111/10  a úpravy č. U</w:t>
      </w:r>
      <w:r w:rsidR="00266037">
        <w:t> </w:t>
      </w:r>
      <w:r w:rsidRPr="00C525CD">
        <w:t xml:space="preserve">1250/2 územního plánu sídelního útvaru hl.m. Praha na </w:t>
      </w:r>
      <w:r w:rsidR="00E26063" w:rsidRPr="00C525CD">
        <w:t xml:space="preserve">akustickou situaci, </w:t>
      </w:r>
      <w:r w:rsidRPr="00C525CD">
        <w:t>kvalitu ovzduší a míru zdravotního rizika z expozice chemickým látkám v ovzduší a z</w:t>
      </w:r>
      <w:r w:rsidR="00BE1784">
        <w:t> </w:t>
      </w:r>
      <w:r w:rsidRPr="00C525CD">
        <w:t xml:space="preserve">expozice hlukem. </w:t>
      </w:r>
      <w:r w:rsidR="00D759F9" w:rsidRPr="00C525CD">
        <w:t xml:space="preserve">Změna č. </w:t>
      </w:r>
      <w:r w:rsidRPr="00C525CD">
        <w:t>Z 3111</w:t>
      </w:r>
      <w:r w:rsidR="00D759F9" w:rsidRPr="00C525CD">
        <w:t xml:space="preserve">/10 navrhuje nové zastavitelné plochy /OB-C/ na úkor </w:t>
      </w:r>
      <w:r w:rsidR="00266037" w:rsidRPr="00C525CD">
        <w:t>zastavitelné plochy /OB-</w:t>
      </w:r>
      <w:r w:rsidR="00266037">
        <w:t>A</w:t>
      </w:r>
      <w:r w:rsidR="00266037" w:rsidRPr="00C525CD">
        <w:t xml:space="preserve">/ </w:t>
      </w:r>
      <w:r w:rsidR="00266037">
        <w:t xml:space="preserve">a </w:t>
      </w:r>
      <w:r w:rsidR="00266037" w:rsidRPr="00C525CD">
        <w:t>nezastavitelného území /NL/ a /PZO/</w:t>
      </w:r>
      <w:r w:rsidR="00266037">
        <w:t xml:space="preserve">, v celkovém </w:t>
      </w:r>
      <w:r w:rsidR="00266037" w:rsidRPr="00C525CD">
        <w:t xml:space="preserve">rozsahu </w:t>
      </w:r>
      <w:r w:rsidR="00266037">
        <w:t>87 753</w:t>
      </w:r>
      <w:r w:rsidR="00266037" w:rsidRPr="00C525CD">
        <w:t xml:space="preserve"> m</w:t>
      </w:r>
      <w:r w:rsidR="00266037" w:rsidRPr="00C525CD">
        <w:rPr>
          <w:vertAlign w:val="superscript"/>
        </w:rPr>
        <w:t>2</w:t>
      </w:r>
      <w:r w:rsidR="00266037" w:rsidRPr="00C525CD">
        <w:t xml:space="preserve">. Úprava č. U 1250/2 se nachází v části území vymezeného pro změnu č. Z 3111/10, a to v rozsahu </w:t>
      </w:r>
      <w:r w:rsidR="00266037">
        <w:t xml:space="preserve">29 726 </w:t>
      </w:r>
      <w:r w:rsidR="00266037" w:rsidRPr="00C525CD">
        <w:t>m</w:t>
      </w:r>
      <w:r w:rsidR="00266037" w:rsidRPr="00C525CD">
        <w:rPr>
          <w:vertAlign w:val="superscript"/>
        </w:rPr>
        <w:t>2</w:t>
      </w:r>
      <w:r w:rsidR="00266037" w:rsidRPr="00C525CD">
        <w:t>. Úprava představuje alternativu změny č. Z 3111/10 a týká se funkční plochy /OB/, u níž navyšuje míru využití území z kódu „A“ na kód „C“.</w:t>
      </w:r>
    </w:p>
    <w:p w:rsidR="00E26063" w:rsidRPr="00C525CD" w:rsidRDefault="00E26063" w:rsidP="00D759F9"/>
    <w:p w:rsidR="00E26063" w:rsidRPr="00C525CD" w:rsidRDefault="00E26063" w:rsidP="00E26063">
      <w:pPr>
        <w:rPr>
          <w:b/>
          <w:u w:val="single"/>
        </w:rPr>
      </w:pPr>
      <w:r w:rsidRPr="00C525CD">
        <w:rPr>
          <w:b/>
          <w:u w:val="single"/>
        </w:rPr>
        <w:t>Akustická situace</w:t>
      </w:r>
    </w:p>
    <w:p w:rsidR="00E26063" w:rsidRPr="00C525CD" w:rsidRDefault="00E26063" w:rsidP="00E26063">
      <w:r w:rsidRPr="00C525CD">
        <w:t>Ve výchozím stavu lze v řešeném území očekávat plnění hygienických limitů. Vlivem realizace změny č. Z 3111/10 se hluk ze silniční dopravy pozorovatelně nezmění, zvýší se podél Komořanské ve směru na Komořany do 0,7 dB v denní a 0,4</w:t>
      </w:r>
      <w:r w:rsidR="00BE1784">
        <w:t> </w:t>
      </w:r>
      <w:r w:rsidRPr="00C525CD">
        <w:t xml:space="preserve">dB v noční dobu. Podél Komořanské ve směru k Břežanskému údolí pak lze očekávat pokles hlukové zátěže, a to do 0,2 dB v denní i noční dobu. Vlivem odsouhlasení navrhované změny nedojde k překročení stanovených hygienických limitů v území. </w:t>
      </w:r>
    </w:p>
    <w:p w:rsidR="00E26063" w:rsidRPr="00C525CD" w:rsidRDefault="00E26063" w:rsidP="00E26063">
      <w:r w:rsidRPr="00C525CD">
        <w:t xml:space="preserve">Rovněž vlivem odsouhlasení navrhované úpravy U 1250/2 dojde v území ke změně hlukových poměrů, ovšem v menší míře než u změny 3111/10. Nárůst hlukové zátěže podél Komořanské ve směru do Komořan nepřekročí 0,2 dB v denní i noční dobu. Podél Komořanské ve směru k Břežanskému údolí lze očekávat pokles hlukové zátěže, a to do 0,1 dB v denní i noční dobu. Akustická situace se v území pozorovatelně nezmění a hygienické limity nebudou v území překročeny. </w:t>
      </w:r>
    </w:p>
    <w:p w:rsidR="00E26063" w:rsidRPr="00C525CD" w:rsidRDefault="00E26063" w:rsidP="00E26063"/>
    <w:p w:rsidR="00E26063" w:rsidRPr="00C525CD" w:rsidRDefault="00E26063" w:rsidP="00D759F9">
      <w:pPr>
        <w:rPr>
          <w:b/>
          <w:u w:val="single"/>
        </w:rPr>
      </w:pPr>
      <w:r w:rsidRPr="00C525CD">
        <w:rPr>
          <w:b/>
          <w:u w:val="single"/>
        </w:rPr>
        <w:t>Kvalita ovzduší</w:t>
      </w:r>
    </w:p>
    <w:p w:rsidR="00E26063" w:rsidRPr="00C525CD" w:rsidRDefault="00E26063" w:rsidP="00E26063">
      <w:r w:rsidRPr="00C525CD">
        <w:t>Ve výchozím stavu lze v zájmovém území očekávat plnění většiny limitů pro průměrné roční koncentrace sledovaných látek. Pouze v případě suspendovaných částic PM</w:t>
      </w:r>
      <w:r w:rsidRPr="00C525CD">
        <w:rPr>
          <w:vertAlign w:val="subscript"/>
        </w:rPr>
        <w:t>2,5</w:t>
      </w:r>
      <w:r w:rsidRPr="00C525CD">
        <w:t xml:space="preserve"> a benzo[a]pyrenu bylo lokálně zaznamenáno překračování imisního limitu, avšak vždy v prostoru mimo obytnou zástavbu.</w:t>
      </w:r>
    </w:p>
    <w:p w:rsidR="00E26063" w:rsidRPr="00C525CD" w:rsidRDefault="00E26063" w:rsidP="00E26063">
      <w:r w:rsidRPr="00C525CD">
        <w:t>Vlivem realizace změny č. Z 3111/10 nedojde k nárůstu imisní zátěže, která by představovala významnou změnu z hlediska plnění imisních limitů.</w:t>
      </w:r>
    </w:p>
    <w:p w:rsidR="00E26063" w:rsidRPr="00C525CD" w:rsidRDefault="00E26063" w:rsidP="00E26063">
      <w:r w:rsidRPr="00C525CD">
        <w:t xml:space="preserve">Rovněž vlivem odsouhlasení navrhované úpravy U 1250/2 dojde v území ke změně imisní zátěže, ovšem v menší míře než u změny 3111/10. Ani v tomto případě není třeba očekávat překračování imisních limitů. </w:t>
      </w:r>
    </w:p>
    <w:p w:rsidR="00E26063" w:rsidRPr="00C525CD" w:rsidRDefault="00E26063" w:rsidP="00D759F9"/>
    <w:p w:rsidR="00E26063" w:rsidRPr="00C525CD" w:rsidRDefault="00E26063" w:rsidP="005A50A8">
      <w:pPr>
        <w:widowControl/>
        <w:rPr>
          <w:b/>
          <w:u w:val="single"/>
        </w:rPr>
      </w:pPr>
      <w:r w:rsidRPr="00C525CD">
        <w:rPr>
          <w:b/>
          <w:u w:val="single"/>
        </w:rPr>
        <w:lastRenderedPageBreak/>
        <w:t>Míra zdravotního rizika</w:t>
      </w:r>
    </w:p>
    <w:p w:rsidR="005A50A8" w:rsidRPr="00C525CD" w:rsidRDefault="00D759F9" w:rsidP="005A50A8">
      <w:pPr>
        <w:widowControl/>
      </w:pPr>
      <w:r w:rsidRPr="00C525CD">
        <w:t>Vlivem realizace záměru byly zjištěny změny v imisní zátěži, které u žádné ze sledovaných imisních charakteristik nepředstavují významnou změnu v míře zdravotního rizika. V případě suspendovaných částic jsou všechny hodnocené zdravotní účinky i v nejvíce dotčené zástavbě pod hranicí jednoho nového případu, a to i v případě dnů s omezenou aktivitou a dnů pracovní neschopnosti.</w:t>
      </w:r>
      <w:r w:rsidR="005A50A8" w:rsidRPr="00C525CD">
        <w:t xml:space="preserve"> V případě průměrných ročních koncentrací benzenu a benzo[a]pyrenu nebyly vlivem hodnocené změny a úpravy ani v nejvíce dotčené části zástavby hodnoty významné ve smyslu ohrožení zdraví, statistický nárůst zdravotního rizika je několik řádů pod hranicí nového případu leukémie nebo rakoviny.</w:t>
      </w:r>
    </w:p>
    <w:p w:rsidR="00721822" w:rsidRPr="00C525CD" w:rsidRDefault="00721822" w:rsidP="00721822">
      <w:pPr>
        <w:keepNext/>
        <w:keepLines/>
      </w:pPr>
      <w:r w:rsidRPr="00C525CD">
        <w:t xml:space="preserve">Pro dotčenou populaci v okolní zástavbě nebyl vypočten nárůst počtu obtěžovaných a při spánku rušených obyvatel. V případě míry kardiovaskulárního rizika byl vypočten nárůst, který je ale pouze statistický, v řádu </w:t>
      </w:r>
      <w:r w:rsidR="0027032C" w:rsidRPr="00C525CD">
        <w:t>desetitisícin nového případu na dotčenou populaci, což odpovídá nárůstu výskytu jednoho nového případu ISCHS v době 1100 – 1650 let.</w:t>
      </w:r>
    </w:p>
    <w:p w:rsidR="00721822" w:rsidRPr="00C525CD" w:rsidRDefault="00721822" w:rsidP="00721822">
      <w:pPr>
        <w:widowControl/>
      </w:pPr>
      <w:r w:rsidRPr="00C525CD">
        <w:t xml:space="preserve">Z provedeného vyhodnocení tedy vyplývá, že v dotčené populaci není třeba očekávat vlivem posuzované změny </w:t>
      </w:r>
      <w:r w:rsidR="0027032C" w:rsidRPr="00C525CD">
        <w:t xml:space="preserve">a úpravy </w:t>
      </w:r>
      <w:r w:rsidRPr="00C525CD">
        <w:t xml:space="preserve">nárůst zdravotního rizika, který by byl významný ve smyslu ohrožení zdraví a i změny v míře obtěžování jsou mírné a v praxi málo významné. </w:t>
      </w:r>
    </w:p>
    <w:p w:rsidR="00721822" w:rsidRPr="00C525CD" w:rsidRDefault="00721822" w:rsidP="00721822"/>
    <w:p w:rsidR="00E26063" w:rsidRPr="00C525CD" w:rsidRDefault="00E26063" w:rsidP="00E26063">
      <w:r w:rsidRPr="00C525CD">
        <w:t>Z celkového pohledu je možné konstatovat, že vliv změny ÚP Z 3111/10 i úpravy ÚP U 1250/2 lze hodnotit jako akceptovatelný.</w:t>
      </w:r>
    </w:p>
    <w:p w:rsidR="00721822" w:rsidRPr="00C525CD" w:rsidRDefault="00721822" w:rsidP="005A50A8">
      <w:pPr>
        <w:widowControl/>
      </w:pPr>
    </w:p>
    <w:p w:rsidR="00D759F9" w:rsidRPr="00C525CD" w:rsidRDefault="00D759F9" w:rsidP="00D759F9"/>
    <w:p w:rsidR="007B5871" w:rsidRPr="00C525CD" w:rsidRDefault="007B5871" w:rsidP="008E2AEE">
      <w:pPr>
        <w:widowControl/>
      </w:pPr>
    </w:p>
    <w:p w:rsidR="00CD49EB" w:rsidRPr="00C525CD" w:rsidRDefault="00CD49EB" w:rsidP="00E00000">
      <w:pPr>
        <w:pStyle w:val="Nadpis1"/>
        <w:widowControl/>
        <w:numPr>
          <w:ilvl w:val="0"/>
          <w:numId w:val="4"/>
        </w:numPr>
      </w:pPr>
      <w:bookmarkStart w:id="64" w:name="_Toc353799471"/>
      <w:bookmarkStart w:id="65" w:name="_Toc355682137"/>
      <w:bookmarkStart w:id="66" w:name="_Toc374888077"/>
      <w:bookmarkStart w:id="67" w:name="_Toc401658750"/>
      <w:bookmarkStart w:id="68" w:name="_Toc427274828"/>
      <w:bookmarkStart w:id="69" w:name="_Toc73358446"/>
      <w:bookmarkEnd w:id="3"/>
      <w:bookmarkEnd w:id="4"/>
      <w:bookmarkEnd w:id="5"/>
      <w:r w:rsidRPr="00C525CD">
        <w:lastRenderedPageBreak/>
        <w:t>S</w:t>
      </w:r>
      <w:bookmarkEnd w:id="64"/>
      <w:bookmarkEnd w:id="65"/>
      <w:bookmarkEnd w:id="66"/>
      <w:bookmarkEnd w:id="67"/>
      <w:bookmarkEnd w:id="68"/>
      <w:r w:rsidR="00270A75" w:rsidRPr="00C525CD">
        <w:t>eznam použitých podkladů</w:t>
      </w:r>
      <w:bookmarkEnd w:id="69"/>
    </w:p>
    <w:p w:rsidR="0060063B" w:rsidRPr="00C525CD" w:rsidRDefault="0060063B" w:rsidP="0060063B">
      <w:pPr>
        <w:widowControl/>
        <w:numPr>
          <w:ilvl w:val="0"/>
          <w:numId w:val="19"/>
        </w:numPr>
        <w:tabs>
          <w:tab w:val="clear" w:pos="1446"/>
        </w:tabs>
        <w:ind w:left="426" w:hanging="284"/>
        <w:rPr>
          <w:sz w:val="24"/>
          <w:szCs w:val="24"/>
        </w:rPr>
      </w:pPr>
      <w:r w:rsidRPr="00C525CD">
        <w:rPr>
          <w:sz w:val="24"/>
          <w:szCs w:val="24"/>
        </w:rPr>
        <w:t>Nařízení vlády č. 272/2011 Sb., o ochraně zdraví před nepříznivými účinky hluku a vibrací, ve znění pozdějších předpisů.</w:t>
      </w:r>
    </w:p>
    <w:p w:rsidR="0060063B" w:rsidRPr="00C525CD" w:rsidRDefault="0060063B" w:rsidP="0060063B">
      <w:pPr>
        <w:widowControl/>
        <w:numPr>
          <w:ilvl w:val="0"/>
          <w:numId w:val="19"/>
        </w:numPr>
        <w:tabs>
          <w:tab w:val="clear" w:pos="1446"/>
        </w:tabs>
        <w:spacing w:before="60"/>
        <w:ind w:left="426" w:hanging="284"/>
        <w:rPr>
          <w:sz w:val="24"/>
          <w:szCs w:val="24"/>
        </w:rPr>
      </w:pPr>
      <w:r w:rsidRPr="00C525CD">
        <w:rPr>
          <w:sz w:val="24"/>
          <w:szCs w:val="24"/>
        </w:rPr>
        <w:t>Liberko M., Polášek J.: Hluk+, verze 13.08. Profi – Výpočet dopravního a průmyslového hluku ve venkovním prostředí.</w:t>
      </w:r>
    </w:p>
    <w:p w:rsidR="0060063B" w:rsidRPr="00C525CD" w:rsidRDefault="0060063B" w:rsidP="0060063B">
      <w:pPr>
        <w:widowControl/>
        <w:numPr>
          <w:ilvl w:val="0"/>
          <w:numId w:val="19"/>
        </w:numPr>
        <w:tabs>
          <w:tab w:val="clear" w:pos="1446"/>
        </w:tabs>
        <w:spacing w:before="60"/>
        <w:ind w:left="426" w:hanging="284"/>
        <w:rPr>
          <w:sz w:val="24"/>
          <w:szCs w:val="24"/>
        </w:rPr>
      </w:pPr>
      <w:r w:rsidRPr="00C525CD">
        <w:rPr>
          <w:sz w:val="24"/>
          <w:szCs w:val="24"/>
        </w:rPr>
        <w:t>Liberko M., Ládyš L.: VÝPOČET HLUKU Z AUTOMOBILOVÉ DOPRAVY, manuál 2018, Praha, 2018.</w:t>
      </w:r>
    </w:p>
    <w:p w:rsidR="0060063B" w:rsidRPr="00C525CD" w:rsidRDefault="0060063B" w:rsidP="0060063B">
      <w:pPr>
        <w:widowControl/>
        <w:numPr>
          <w:ilvl w:val="0"/>
          <w:numId w:val="19"/>
        </w:numPr>
        <w:tabs>
          <w:tab w:val="clear" w:pos="1446"/>
        </w:tabs>
        <w:spacing w:before="60"/>
        <w:ind w:left="426" w:hanging="284"/>
        <w:rPr>
          <w:sz w:val="24"/>
          <w:szCs w:val="24"/>
        </w:rPr>
      </w:pPr>
      <w:r w:rsidRPr="00C525CD">
        <w:rPr>
          <w:sz w:val="24"/>
          <w:szCs w:val="24"/>
        </w:rPr>
        <w:t>Ministerstvo zdravotnictví: Č.j.: MZDR 32493/2016-1/OVZ, Praha, 2016.</w:t>
      </w:r>
    </w:p>
    <w:p w:rsidR="0060063B" w:rsidRPr="00C525CD" w:rsidRDefault="0060063B" w:rsidP="0060063B">
      <w:pPr>
        <w:widowControl/>
        <w:numPr>
          <w:ilvl w:val="0"/>
          <w:numId w:val="19"/>
        </w:numPr>
        <w:tabs>
          <w:tab w:val="clear" w:pos="1446"/>
          <w:tab w:val="num" w:pos="426"/>
        </w:tabs>
        <w:spacing w:before="60"/>
        <w:ind w:left="426" w:hanging="284"/>
        <w:rPr>
          <w:sz w:val="24"/>
          <w:szCs w:val="24"/>
        </w:rPr>
      </w:pPr>
      <w:r w:rsidRPr="00C525CD">
        <w:rPr>
          <w:sz w:val="24"/>
          <w:szCs w:val="24"/>
        </w:rPr>
        <w:t>Ministerstvo zdravotnictví: Metodický návod pro měření a hodnocení hluku v mimopracovním prostředí, Praha, 2017.</w:t>
      </w:r>
    </w:p>
    <w:p w:rsidR="0060063B" w:rsidRPr="00C525CD" w:rsidRDefault="0060063B" w:rsidP="0060063B">
      <w:pPr>
        <w:widowControl/>
        <w:numPr>
          <w:ilvl w:val="0"/>
          <w:numId w:val="19"/>
        </w:numPr>
        <w:tabs>
          <w:tab w:val="clear" w:pos="1446"/>
          <w:tab w:val="num" w:pos="426"/>
        </w:tabs>
        <w:spacing w:before="60"/>
        <w:ind w:left="426" w:hanging="284"/>
        <w:rPr>
          <w:sz w:val="24"/>
          <w:szCs w:val="24"/>
        </w:rPr>
      </w:pPr>
      <w:r w:rsidRPr="00C525CD">
        <w:rPr>
          <w:sz w:val="24"/>
          <w:szCs w:val="24"/>
        </w:rPr>
        <w:t>Ministerstvo zdravotnictví: Dodatek č. 1 k „Postupu orgánů ochrany veřejného zdraví a stavebních úřadů při dodržování ustanovení § 77 zákona č. 258/2000 Sb., o ochraně veřejného zdraví a o změně některých souvisejících zákonů, ve znění pozdějších předpisů“ č. j. MZDR 32493/2016-4/OVZ, Praha, 2016.</w:t>
      </w:r>
    </w:p>
    <w:p w:rsidR="0060063B" w:rsidRPr="00C525CD" w:rsidRDefault="0060063B" w:rsidP="0060063B">
      <w:pPr>
        <w:widowControl/>
        <w:numPr>
          <w:ilvl w:val="0"/>
          <w:numId w:val="19"/>
        </w:numPr>
        <w:tabs>
          <w:tab w:val="clear" w:pos="1446"/>
          <w:tab w:val="num" w:pos="426"/>
        </w:tabs>
        <w:spacing w:before="60"/>
        <w:ind w:left="426" w:hanging="284"/>
        <w:rPr>
          <w:sz w:val="24"/>
          <w:szCs w:val="24"/>
        </w:rPr>
      </w:pPr>
      <w:r w:rsidRPr="00C525CD">
        <w:rPr>
          <w:sz w:val="24"/>
          <w:szCs w:val="24"/>
        </w:rPr>
        <w:t>Ministerstvo zdravotnictví: Metodické usměrnění pro zajištění jednotného postupu orgánů ochrany veřejného zdraví a zdravotních ústavů při posuzováni, resp. realizaci výpočtů hluku z automobilové dopravy, Praha, 2019.</w:t>
      </w:r>
    </w:p>
    <w:p w:rsidR="0060063B" w:rsidRPr="00C525CD" w:rsidRDefault="0060063B" w:rsidP="0060063B">
      <w:pPr>
        <w:widowControl/>
        <w:numPr>
          <w:ilvl w:val="0"/>
          <w:numId w:val="19"/>
        </w:numPr>
        <w:tabs>
          <w:tab w:val="clear" w:pos="1446"/>
        </w:tabs>
        <w:spacing w:before="60"/>
        <w:ind w:left="425" w:hanging="283"/>
        <w:rPr>
          <w:sz w:val="24"/>
          <w:szCs w:val="24"/>
        </w:rPr>
      </w:pPr>
      <w:r w:rsidRPr="00C525CD">
        <w:rPr>
          <w:sz w:val="24"/>
          <w:szCs w:val="24"/>
        </w:rPr>
        <w:t>IPR Praha: Podklady od zadavatele, Praha, 2020.</w:t>
      </w:r>
    </w:p>
    <w:p w:rsidR="0060063B" w:rsidRPr="00C525CD" w:rsidRDefault="0060063B" w:rsidP="0060063B">
      <w:pPr>
        <w:widowControl/>
        <w:numPr>
          <w:ilvl w:val="0"/>
          <w:numId w:val="19"/>
        </w:numPr>
        <w:tabs>
          <w:tab w:val="clear" w:pos="1446"/>
          <w:tab w:val="num" w:pos="426"/>
        </w:tabs>
        <w:spacing w:before="60"/>
        <w:ind w:left="426" w:hanging="284"/>
        <w:rPr>
          <w:sz w:val="24"/>
          <w:szCs w:val="24"/>
        </w:rPr>
      </w:pPr>
      <w:r w:rsidRPr="00C525CD">
        <w:rPr>
          <w:sz w:val="24"/>
          <w:szCs w:val="24"/>
        </w:rPr>
        <w:t>Ministerstvo zdravotnictví:</w:t>
      </w:r>
      <w:r w:rsidRPr="00C525CD">
        <w:t xml:space="preserve"> </w:t>
      </w:r>
      <w:r w:rsidRPr="00C525CD">
        <w:rPr>
          <w:sz w:val="24"/>
          <w:szCs w:val="24"/>
        </w:rPr>
        <w:t>Dodatek č. 1 – Metodické usměrnění pro zajištění jednotného postupu orgánů ochrany veřejného zdraví a zdravotních ústavů při posuzování, resp. realizaci výpočtů hluku z automobilové dopravy, Praha, 2020.</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IPR Praha: Výpočtová hluková mapa povrchové dopravy. Celková akustická situace. Stav v r. 2016, Praha, 2017.</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 xml:space="preserve">ČHMÚ: Mapy pětiletých průměrů imisních koncentrací (2015 – 2019), Česká republika. </w:t>
      </w:r>
      <w:hyperlink r:id="rId15" w:history="1">
        <w:r w:rsidRPr="00C525CD">
          <w:rPr>
            <w:sz w:val="24"/>
            <w:szCs w:val="24"/>
          </w:rPr>
          <w:t>http://portal.chmi.cz/files/portal/docs/uoco/isko/ozko/ozko_CZ.html</w:t>
        </w:r>
      </w:hyperlink>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ATEM: MEFA 13 – program pro výpočet emisních faktorů pro motorová vozidla. http://www.atem.cz/mefa.php</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Karel, J. a kol. (2019): Metodika pro výpočet emisí částic pocházejících z resuspenze ze silniční dopravy – aktualizace 2019. MŽP, Praha</w:t>
      </w:r>
    </w:p>
    <w:p w:rsidR="0060063B" w:rsidRPr="00C525CD" w:rsidRDefault="006F5396" w:rsidP="0060063B">
      <w:pPr>
        <w:widowControl/>
        <w:numPr>
          <w:ilvl w:val="0"/>
          <w:numId w:val="19"/>
        </w:numPr>
        <w:tabs>
          <w:tab w:val="clear" w:pos="1446"/>
          <w:tab w:val="num" w:pos="426"/>
        </w:tabs>
        <w:spacing w:before="60"/>
        <w:ind w:left="425" w:hanging="283"/>
        <w:rPr>
          <w:sz w:val="24"/>
          <w:szCs w:val="24"/>
        </w:rPr>
      </w:pPr>
      <w:r w:rsidRPr="00C525CD">
        <w:rPr>
          <w:sz w:val="24"/>
          <w:szCs w:val="24"/>
        </w:rPr>
        <w:t>Jareš, J. a kol.:</w:t>
      </w:r>
      <w:r w:rsidR="0060063B" w:rsidRPr="00C525CD">
        <w:rPr>
          <w:sz w:val="24"/>
          <w:szCs w:val="24"/>
        </w:rPr>
        <w:t xml:space="preserve"> Modelové hodnocení kvality ovzduší na území hl. m. Prahy, Aktualizace 2018. Praha.</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MŽP ČR: Metodický pokyn odboru ochrany ovzduší ke zpracování rozptylových studií http://www.mzp.cz/cz/zpracovani_rozptylovych_studii_metodika</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 xml:space="preserve">ATEM: Imisní model ATEM. </w:t>
      </w:r>
      <w:hyperlink r:id="rId16" w:history="1">
        <w:r w:rsidRPr="00C525CD">
          <w:rPr>
            <w:sz w:val="24"/>
            <w:szCs w:val="24"/>
          </w:rPr>
          <w:t>http://www.atem.cz/atem.php</w:t>
        </w:r>
      </w:hyperlink>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Böhm, S., Brechler, J., Píša, V., Pretel, J., (1995): Air Quality in the Capital of Prague (Czech Republic), Proceedings of the 21th CCMS/NATO Technical Meeting On Air Pollution Modelling and its Aplication, Nov.6-10,1995, AMS, Baltimore, MD, USA.</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lastRenderedPageBreak/>
        <w:t>Bednář, J., Brechler, J., Bubník, J., Keder, J., Macoun, J., Píša V.: Kompendium ochrany kvality ovzduší. Část 6: Modelování přenosu a rozptylu znečišťujících příměsí v atmosféře. Gaussovské rozptylové modely. Ochrana ovzduší 1/2006.</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SZÚ: Autorizační návod AN 17/15: Autorizační návod k hodnocení zdravotního rizika expozice chemickým látkám ve venkovním ovzduší, SZÚ, 2015.</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SZÚ: Autorizační návod AN 15/04 verze 5: Autorizační návod k hodnocení zdravotního rizika expozice hluku, SZÚ, Praha, 2020.</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Provazník K., Cikrt M., Komárek L. a kol: Manuál prevence v lékařské praxi VIII., Základy hodnocení zdravotních rizik, SZÚ, Praha, 2000</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WHO: Air quality guidelines for particulate matter, ozone, nitrogen dioxide and sulfur dioxide - Global update 2005, WHO, 2006</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 xml:space="preserve">WHO: Health risks of air pollution in Europe – HRAPIE project. Recommendations for concentration–response functions for cost–benefit analysis of particulate matter, ozone and nitrogen dioxide. WHO – Regional Office for Europe, Copenhagen, Denmark, 2013  </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Melichar, J., Máca, V. a kol.: Výpočetní metodika pro vyhodnocení celospolečenských dopadů znečištěného ovzduší modelem integrovaného hodnocení. Projekt TA02021165 Integrované hodnocení rizik a dopadů na materiály, ekosystémy a zdravotní stav populace v důsledku expozice atmosférickým znečišťujícím látkám. TA ČR, COŽP UK, Praha 2016</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WHO: Environmental Noise Guidelines for the European Region. WHO Regional Office for Europe, Kodań, 2018. http://www.euro.who.int/en/publications/ abstracts/</w:t>
      </w:r>
      <w:r w:rsidR="006F5396" w:rsidRPr="00C525CD">
        <w:rPr>
          <w:sz w:val="24"/>
          <w:szCs w:val="24"/>
        </w:rPr>
        <w:t xml:space="preserve"> </w:t>
      </w:r>
      <w:r w:rsidRPr="00C525CD">
        <w:rPr>
          <w:sz w:val="24"/>
          <w:szCs w:val="24"/>
        </w:rPr>
        <w:t>environmental-noise-guidelines-forthe-european-region-2018</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SZÚ: Zdravotní účinky hluku. http://www.szu.cz/tema/zivotni-prostredi/zdravotni-ucinky-hluku</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Vandasová, Z., Fialová, A.: Vztahy mezi hlukovými ukazateli Ldvn a Ldn. http://www.szu.cz/tema/zivotni-prostredi/vztahy-mezi-hlukovymi-ukazateli-ldvn-a-ldn</w:t>
      </w:r>
    </w:p>
    <w:p w:rsidR="0060063B" w:rsidRPr="00C525CD" w:rsidRDefault="0060063B" w:rsidP="0060063B">
      <w:pPr>
        <w:widowControl/>
        <w:numPr>
          <w:ilvl w:val="0"/>
          <w:numId w:val="19"/>
        </w:numPr>
        <w:tabs>
          <w:tab w:val="clear" w:pos="1446"/>
          <w:tab w:val="num" w:pos="426"/>
        </w:tabs>
        <w:spacing w:before="60"/>
        <w:ind w:left="425" w:hanging="283"/>
        <w:rPr>
          <w:sz w:val="24"/>
          <w:szCs w:val="24"/>
        </w:rPr>
      </w:pPr>
      <w:r w:rsidRPr="00C525CD">
        <w:rPr>
          <w:sz w:val="24"/>
          <w:szCs w:val="24"/>
        </w:rPr>
        <w:t>IPR Praha: Dopravně-inženýrské podklady, Praha, 2020.</w:t>
      </w:r>
    </w:p>
    <w:p w:rsidR="0060063B" w:rsidRPr="00C525CD" w:rsidRDefault="0060063B" w:rsidP="007B5871">
      <w:pPr>
        <w:widowControl/>
        <w:spacing w:before="40" w:after="40"/>
        <w:rPr>
          <w:sz w:val="24"/>
        </w:rPr>
      </w:pPr>
    </w:p>
    <w:sectPr w:rsidR="0060063B" w:rsidRPr="00C525CD" w:rsidSect="00EE440A">
      <w:headerReference w:type="default" r:id="rId17"/>
      <w:footerReference w:type="default" r:id="rId18"/>
      <w:endnotePr>
        <w:numFmt w:val="decimal"/>
      </w:endnotePr>
      <w:pgSz w:w="11907" w:h="16840"/>
      <w:pgMar w:top="1701" w:right="1304" w:bottom="1701" w:left="1531" w:header="708" w:footer="708"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0473" w:rsidRDefault="00D10473">
      <w:r>
        <w:separator/>
      </w:r>
    </w:p>
  </w:endnote>
  <w:endnote w:type="continuationSeparator" w:id="0">
    <w:p w:rsidR="00D10473" w:rsidRDefault="00D10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0EAB" w:rsidRDefault="00B90EAB" w:rsidP="00F7586A">
    <w:pPr>
      <w:pStyle w:val="Zpat"/>
      <w:widowControl/>
      <w:ind w:firstLine="0"/>
      <w:jc w:val="center"/>
      <w:rPr>
        <w:sz w:val="22"/>
      </w:rPr>
    </w:pPr>
    <w:r>
      <w:rPr>
        <w:rStyle w:val="slostrnky"/>
        <w:sz w:val="22"/>
      </w:rPr>
      <w:fldChar w:fldCharType="begin"/>
    </w:r>
    <w:r>
      <w:rPr>
        <w:rStyle w:val="slostrnky"/>
        <w:sz w:val="22"/>
      </w:rPr>
      <w:instrText xml:space="preserve">PAGE </w:instrText>
    </w:r>
    <w:r>
      <w:rPr>
        <w:rStyle w:val="slostrnky"/>
        <w:sz w:val="22"/>
      </w:rPr>
      <w:fldChar w:fldCharType="separate"/>
    </w:r>
    <w:r w:rsidR="0065370B">
      <w:rPr>
        <w:rStyle w:val="slostrnky"/>
        <w:noProof/>
        <w:sz w:val="22"/>
      </w:rPr>
      <w:t>5</w:t>
    </w:r>
    <w:r>
      <w:rPr>
        <w:rStyle w:val="slostrnky"/>
        <w:sz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0473" w:rsidRDefault="00D10473">
      <w:r>
        <w:separator/>
      </w:r>
    </w:p>
  </w:footnote>
  <w:footnote w:type="continuationSeparator" w:id="0">
    <w:p w:rsidR="00D10473" w:rsidRDefault="00D10473">
      <w:r>
        <w:continuationSeparator/>
      </w:r>
    </w:p>
  </w:footnote>
  <w:footnote w:id="1">
    <w:p w:rsidR="00B90EAB" w:rsidRDefault="00B90EAB" w:rsidP="009F18F9">
      <w:pPr>
        <w:pStyle w:val="Textpoznpodarou"/>
        <w:tabs>
          <w:tab w:val="left" w:pos="518"/>
          <w:tab w:val="left" w:pos="588"/>
        </w:tabs>
      </w:pPr>
      <w:r>
        <w:rPr>
          <w:rStyle w:val="Znakapoznpodarou"/>
        </w:rPr>
        <w:footnoteRef/>
      </w:r>
      <w:r>
        <w:t xml:space="preserve"> </w:t>
      </w:r>
      <w:r>
        <w:tab/>
      </w:r>
      <w:r>
        <w:rPr>
          <w:i/>
        </w:rPr>
        <w:t>Podle n</w:t>
      </w:r>
      <w:r w:rsidRPr="000B5F1B">
        <w:rPr>
          <w:i/>
        </w:rPr>
        <w:t>ařízení vlády č. 272/2011 Sb., ve znění pozdějších předpisů</w:t>
      </w:r>
      <w:r>
        <w:rPr>
          <w:i/>
        </w:rPr>
        <w:t xml:space="preserve">, </w:t>
      </w:r>
      <w:r w:rsidRPr="000B5F1B">
        <w:rPr>
          <w:i/>
        </w:rPr>
        <w:t xml:space="preserve">dle § 20 </w:t>
      </w:r>
      <w:r>
        <w:rPr>
          <w:i/>
        </w:rPr>
        <w:t>nelze změnu hlukového ukazatele do 0,9 dB</w:t>
      </w:r>
      <w:r w:rsidRPr="000B5F1B">
        <w:rPr>
          <w:i/>
        </w:rPr>
        <w:t xml:space="preserve"> považovat za hodnotitelnou.</w:t>
      </w:r>
    </w:p>
  </w:footnote>
  <w:footnote w:id="2">
    <w:p w:rsidR="00B90EAB" w:rsidRDefault="00B90EAB" w:rsidP="009F18F9">
      <w:pPr>
        <w:pStyle w:val="Textpoznpodarou"/>
        <w:tabs>
          <w:tab w:val="left" w:pos="518"/>
          <w:tab w:val="left" w:pos="588"/>
        </w:tabs>
      </w:pPr>
      <w:r>
        <w:rPr>
          <w:rStyle w:val="Znakapoznpodarou"/>
        </w:rPr>
        <w:footnoteRef/>
      </w:r>
      <w:r>
        <w:t xml:space="preserve"> </w:t>
      </w:r>
      <w:r>
        <w:tab/>
      </w:r>
      <w:r>
        <w:rPr>
          <w:i/>
        </w:rPr>
        <w:t>Podle n</w:t>
      </w:r>
      <w:r w:rsidRPr="000B5F1B">
        <w:rPr>
          <w:i/>
        </w:rPr>
        <w:t>ařízení vlády č. 272/2011 Sb., ve znění pozdějších předpisů</w:t>
      </w:r>
      <w:r>
        <w:rPr>
          <w:i/>
        </w:rPr>
        <w:t xml:space="preserve">, </w:t>
      </w:r>
      <w:r w:rsidRPr="000B5F1B">
        <w:rPr>
          <w:i/>
        </w:rPr>
        <w:t xml:space="preserve">dle § 20 </w:t>
      </w:r>
      <w:r>
        <w:rPr>
          <w:i/>
        </w:rPr>
        <w:t>nelze změnu hlukového ukazatele do 0,9 dB</w:t>
      </w:r>
      <w:r w:rsidRPr="000B5F1B">
        <w:rPr>
          <w:i/>
        </w:rPr>
        <w:t xml:space="preserve"> považovat za hodnotitelnou.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bottom w:val="single" w:sz="6" w:space="0" w:color="auto"/>
      </w:tblBorders>
      <w:tblLayout w:type="fixed"/>
      <w:tblCellMar>
        <w:left w:w="57" w:type="dxa"/>
        <w:right w:w="57" w:type="dxa"/>
      </w:tblCellMar>
      <w:tblLook w:val="0000" w:firstRow="0" w:lastRow="0" w:firstColumn="0" w:lastColumn="0" w:noHBand="0" w:noVBand="0"/>
    </w:tblPr>
    <w:tblGrid>
      <w:gridCol w:w="2338"/>
      <w:gridCol w:w="6663"/>
    </w:tblGrid>
    <w:tr w:rsidR="00B90EAB" w:rsidTr="00D47AE8">
      <w:tc>
        <w:tcPr>
          <w:tcW w:w="2338" w:type="dxa"/>
          <w:tcBorders>
            <w:bottom w:val="single" w:sz="6" w:space="0" w:color="auto"/>
          </w:tcBorders>
          <w:vAlign w:val="center"/>
        </w:tcPr>
        <w:p w:rsidR="00B90EAB" w:rsidRDefault="00D940AE" w:rsidP="00D47AE8">
          <w:pPr>
            <w:pStyle w:val="Zhlav"/>
            <w:widowControl/>
            <w:suppressAutoHyphens/>
            <w:spacing w:before="20" w:after="20" w:line="240" w:lineRule="auto"/>
            <w:ind w:firstLine="0"/>
          </w:pPr>
          <w:r w:rsidRPr="00C5269C">
            <w:rPr>
              <w:noProof/>
              <w:sz w:val="18"/>
            </w:rPr>
            <w:drawing>
              <wp:inline distT="0" distB="0" distL="0" distR="0">
                <wp:extent cx="990600" cy="3810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grayscl/>
                          <a:biLevel thresh="50000"/>
                          <a:extLst>
                            <a:ext uri="{28A0092B-C50C-407E-A947-70E740481C1C}">
                              <a14:useLocalDpi xmlns:a14="http://schemas.microsoft.com/office/drawing/2010/main" val="0"/>
                            </a:ext>
                          </a:extLst>
                        </a:blip>
                        <a:srcRect/>
                        <a:stretch>
                          <a:fillRect/>
                        </a:stretch>
                      </pic:blipFill>
                      <pic:spPr bwMode="auto">
                        <a:xfrm>
                          <a:off x="0" y="0"/>
                          <a:ext cx="990600" cy="381000"/>
                        </a:xfrm>
                        <a:prstGeom prst="rect">
                          <a:avLst/>
                        </a:prstGeom>
                        <a:noFill/>
                        <a:ln>
                          <a:noFill/>
                        </a:ln>
                      </pic:spPr>
                    </pic:pic>
                  </a:graphicData>
                </a:graphic>
              </wp:inline>
            </w:drawing>
          </w:r>
        </w:p>
      </w:tc>
      <w:tc>
        <w:tcPr>
          <w:tcW w:w="6663" w:type="dxa"/>
          <w:tcBorders>
            <w:bottom w:val="single" w:sz="6" w:space="0" w:color="auto"/>
          </w:tcBorders>
          <w:vAlign w:val="center"/>
        </w:tcPr>
        <w:p w:rsidR="00B90EAB" w:rsidRPr="008D166D" w:rsidRDefault="00B90EAB" w:rsidP="0081660F">
          <w:pPr>
            <w:pStyle w:val="Zhlav"/>
            <w:widowControl/>
            <w:suppressAutoHyphens/>
            <w:spacing w:before="20" w:after="20" w:line="240" w:lineRule="auto"/>
            <w:ind w:firstLine="0"/>
            <w:jc w:val="right"/>
            <w:rPr>
              <w:smallCaps/>
              <w:sz w:val="16"/>
            </w:rPr>
          </w:pPr>
          <w:r w:rsidRPr="0081660F">
            <w:rPr>
              <w:smallCaps/>
              <w:sz w:val="16"/>
            </w:rPr>
            <w:t xml:space="preserve">Změna č. </w:t>
          </w:r>
          <w:r>
            <w:rPr>
              <w:smallCaps/>
              <w:sz w:val="16"/>
            </w:rPr>
            <w:t>Z 3111</w:t>
          </w:r>
          <w:r w:rsidRPr="008D166D">
            <w:rPr>
              <w:smallCaps/>
              <w:sz w:val="16"/>
            </w:rPr>
            <w:t>/</w:t>
          </w:r>
          <w:r>
            <w:rPr>
              <w:smallCaps/>
              <w:sz w:val="16"/>
            </w:rPr>
            <w:t>10 a Úprava č. U 1250/2</w:t>
          </w:r>
        </w:p>
        <w:p w:rsidR="00B90EAB" w:rsidRPr="00103A80" w:rsidRDefault="00B90EAB" w:rsidP="0081660F">
          <w:pPr>
            <w:pStyle w:val="Zhlav"/>
            <w:widowControl/>
            <w:suppressAutoHyphens/>
            <w:spacing w:before="20" w:after="20" w:line="240" w:lineRule="auto"/>
            <w:ind w:firstLine="0"/>
            <w:jc w:val="right"/>
            <w:rPr>
              <w:smallCaps/>
              <w:sz w:val="16"/>
            </w:rPr>
          </w:pPr>
          <w:r w:rsidRPr="00103A80">
            <w:rPr>
              <w:smallCaps/>
              <w:sz w:val="16"/>
            </w:rPr>
            <w:t xml:space="preserve">Akustické posouzení, Hodnocení vlivů na kvalitu ovzduší, </w:t>
          </w:r>
          <w:r>
            <w:rPr>
              <w:smallCaps/>
              <w:sz w:val="16"/>
            </w:rPr>
            <w:br/>
          </w:r>
          <w:r w:rsidRPr="00103A80">
            <w:rPr>
              <w:smallCaps/>
              <w:sz w:val="16"/>
            </w:rPr>
            <w:t>Hodnocení vlivů na lidské zdraví</w:t>
          </w:r>
        </w:p>
      </w:tc>
    </w:tr>
  </w:tbl>
  <w:p w:rsidR="00B90EAB" w:rsidRDefault="00B90EAB">
    <w:pPr>
      <w:pStyle w:val="Zhlav"/>
      <w:widowControl/>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80BA0838"/>
    <w:lvl w:ilvl="0">
      <w:start w:val="1"/>
      <w:numFmt w:val="bullet"/>
      <w:pStyle w:val="ZELEN1"/>
      <w:lvlText w:val=""/>
      <w:lvlJc w:val="left"/>
      <w:pPr>
        <w:tabs>
          <w:tab w:val="num" w:pos="1209"/>
        </w:tabs>
        <w:ind w:left="1209" w:hanging="360"/>
      </w:pPr>
      <w:rPr>
        <w:rFonts w:ascii="Symbol" w:hAnsi="Symbol" w:hint="default"/>
      </w:rPr>
    </w:lvl>
  </w:abstractNum>
  <w:abstractNum w:abstractNumId="1"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hint="default"/>
        <w:sz w:val="24"/>
      </w:rPr>
    </w:lvl>
  </w:abstractNum>
  <w:abstractNum w:abstractNumId="2" w15:restartNumberingAfterBreak="0">
    <w:nsid w:val="1F147ADE"/>
    <w:multiLevelType w:val="singleLevel"/>
    <w:tmpl w:val="BAAE3ACE"/>
    <w:lvl w:ilvl="0">
      <w:start w:val="1"/>
      <w:numFmt w:val="decimal"/>
      <w:pStyle w:val="StylNadpis2Ped0b"/>
      <w:lvlText w:val="%1."/>
      <w:legacy w:legacy="1" w:legacySpace="0" w:legacyIndent="283"/>
      <w:lvlJc w:val="left"/>
      <w:pPr>
        <w:ind w:left="992" w:hanging="283"/>
      </w:pPr>
      <w:rPr>
        <w:rFonts w:cs="Times New Roman"/>
      </w:rPr>
    </w:lvl>
  </w:abstractNum>
  <w:abstractNum w:abstractNumId="3" w15:restartNumberingAfterBreak="0">
    <w:nsid w:val="37171BC5"/>
    <w:multiLevelType w:val="hybridMultilevel"/>
    <w:tmpl w:val="FE08FE7E"/>
    <w:lvl w:ilvl="0" w:tplc="FFFFFFFF">
      <w:start w:val="1"/>
      <w:numFmt w:val="decimal"/>
      <w:lvlText w:val="[%1]"/>
      <w:lvlJc w:val="right"/>
      <w:pPr>
        <w:tabs>
          <w:tab w:val="num" w:pos="1446"/>
        </w:tabs>
        <w:ind w:left="1446" w:hanging="397"/>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4" w15:restartNumberingAfterBreak="0">
    <w:nsid w:val="3D86055E"/>
    <w:multiLevelType w:val="singleLevel"/>
    <w:tmpl w:val="3C4CB4DE"/>
    <w:lvl w:ilvl="0">
      <w:start w:val="1"/>
      <w:numFmt w:val="decimal"/>
      <w:lvlText w:val="[%1]"/>
      <w:lvlJc w:val="right"/>
      <w:pPr>
        <w:tabs>
          <w:tab w:val="num" w:pos="340"/>
        </w:tabs>
        <w:ind w:left="340" w:hanging="52"/>
      </w:pPr>
      <w:rPr>
        <w:rFonts w:cs="Times New Roman"/>
      </w:rPr>
    </w:lvl>
  </w:abstractNum>
  <w:abstractNum w:abstractNumId="5" w15:restartNumberingAfterBreak="0">
    <w:nsid w:val="44FE0A7A"/>
    <w:multiLevelType w:val="hybridMultilevel"/>
    <w:tmpl w:val="5AA24B5E"/>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62E209A"/>
    <w:multiLevelType w:val="multilevel"/>
    <w:tmpl w:val="D8A4B39A"/>
    <w:lvl w:ilvl="0">
      <w:start w:val="1"/>
      <w:numFmt w:val="decimal"/>
      <w:lvlText w:val="%1."/>
      <w:lvlJc w:val="left"/>
      <w:pPr>
        <w:tabs>
          <w:tab w:val="num" w:pos="567"/>
        </w:tabs>
        <w:ind w:left="567" w:hanging="567"/>
      </w:pPr>
      <w:rPr>
        <w:rFonts w:cs="Times New Roman"/>
      </w:rPr>
    </w:lvl>
    <w:lvl w:ilvl="1">
      <w:start w:val="1"/>
      <w:numFmt w:val="decimal"/>
      <w:lvlText w:val="%1.%2."/>
      <w:lvlJc w:val="left"/>
      <w:pPr>
        <w:tabs>
          <w:tab w:val="num" w:pos="709"/>
        </w:tabs>
        <w:ind w:left="709" w:hanging="709"/>
      </w:pPr>
      <w:rPr>
        <w:rFonts w:cs="Times New Roman"/>
      </w:rPr>
    </w:lvl>
    <w:lvl w:ilvl="2">
      <w:start w:val="1"/>
      <w:numFmt w:val="decimal"/>
      <w:lvlText w:val="%1.%2.%3."/>
      <w:lvlJc w:val="left"/>
      <w:pPr>
        <w:tabs>
          <w:tab w:val="num" w:pos="851"/>
        </w:tabs>
        <w:ind w:left="851" w:hanging="851"/>
      </w:pPr>
      <w:rPr>
        <w:rFonts w:cs="Times New Roman"/>
      </w:rPr>
    </w:lvl>
    <w:lvl w:ilvl="3">
      <w:start w:val="1"/>
      <w:numFmt w:val="decimal"/>
      <w:lvlText w:val="%1.%2.%3.%4."/>
      <w:lvlJc w:val="left"/>
      <w:pPr>
        <w:tabs>
          <w:tab w:val="num" w:pos="992"/>
        </w:tabs>
        <w:ind w:left="992" w:hanging="992"/>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 w15:restartNumberingAfterBreak="0">
    <w:nsid w:val="47863057"/>
    <w:multiLevelType w:val="singleLevel"/>
    <w:tmpl w:val="CDC45154"/>
    <w:lvl w:ilvl="0">
      <w:start w:val="1"/>
      <w:numFmt w:val="bullet"/>
      <w:pStyle w:val="Seznamsodrkami4"/>
      <w:lvlText w:val="■"/>
      <w:lvlJc w:val="left"/>
      <w:pPr>
        <w:tabs>
          <w:tab w:val="num" w:pos="644"/>
        </w:tabs>
        <w:ind w:left="425" w:hanging="141"/>
      </w:pPr>
      <w:rPr>
        <w:rFonts w:ascii="Times New Roman" w:hAnsi="Times New Roman" w:hint="default"/>
        <w:sz w:val="14"/>
      </w:rPr>
    </w:lvl>
  </w:abstractNum>
  <w:abstractNum w:abstractNumId="8" w15:restartNumberingAfterBreak="0">
    <w:nsid w:val="5B102CF8"/>
    <w:multiLevelType w:val="singleLevel"/>
    <w:tmpl w:val="BCE88212"/>
    <w:lvl w:ilvl="0">
      <w:start w:val="1"/>
      <w:numFmt w:val="bullet"/>
      <w:pStyle w:val="Seznamsodrkami"/>
      <w:lvlText w:val=""/>
      <w:lvlJc w:val="left"/>
      <w:pPr>
        <w:tabs>
          <w:tab w:val="num" w:pos="720"/>
        </w:tabs>
        <w:ind w:left="720" w:hanging="360"/>
      </w:pPr>
      <w:rPr>
        <w:rFonts w:ascii="Wingdings" w:hAnsi="Wingdings" w:hint="default"/>
      </w:rPr>
    </w:lvl>
  </w:abstractNum>
  <w:num w:numId="1">
    <w:abstractNumId w:val="0"/>
  </w:num>
  <w:num w:numId="2">
    <w:abstractNumId w:val="2"/>
  </w:num>
  <w:num w:numId="3">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4">
    <w:abstractNumId w:val="6"/>
  </w:num>
  <w:num w:numId="5">
    <w:abstractNumId w:val="7"/>
  </w:num>
  <w:num w:numId="6">
    <w:abstractNumId w:val="6"/>
  </w:num>
  <w:num w:numId="7">
    <w:abstractNumId w:val="4"/>
  </w:num>
  <w:num w:numId="8">
    <w:abstractNumId w:val="8"/>
  </w:num>
  <w:num w:numId="9">
    <w:abstractNumId w:val="8"/>
  </w:num>
  <w:num w:numId="10">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1">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2">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3">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4">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5">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6">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7">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8">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19">
    <w:abstractNumId w:val="3"/>
  </w:num>
  <w:num w:numId="20">
    <w:abstractNumId w:val="1"/>
  </w:num>
  <w:num w:numId="21">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2">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3">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4">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5">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6">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7">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8">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29">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30">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31">
    <w:abstractNumId w:val="2"/>
    <w:lvlOverride w:ilvl="0">
      <w:lvl w:ilvl="0">
        <w:start w:val="1"/>
        <w:numFmt w:val="decimal"/>
        <w:pStyle w:val="StylNadpis2Ped0b"/>
        <w:lvlText w:val="%1."/>
        <w:legacy w:legacy="1" w:legacySpace="0" w:legacyIndent="283"/>
        <w:lvlJc w:val="left"/>
        <w:pPr>
          <w:ind w:left="992" w:hanging="283"/>
        </w:pPr>
        <w:rPr>
          <w:rFonts w:cs="Times New Roman"/>
        </w:rPr>
      </w:lvl>
    </w:lvlOverride>
  </w:num>
  <w:num w:numId="32">
    <w:abstractNumId w:val="5"/>
  </w:num>
  <w:num w:numId="33">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121"/>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0858"/>
    <w:rsid w:val="000009C3"/>
    <w:rsid w:val="00000D08"/>
    <w:rsid w:val="0000128E"/>
    <w:rsid w:val="000017AE"/>
    <w:rsid w:val="00001C85"/>
    <w:rsid w:val="00002206"/>
    <w:rsid w:val="0000290D"/>
    <w:rsid w:val="00002EA1"/>
    <w:rsid w:val="000038CF"/>
    <w:rsid w:val="00003FA4"/>
    <w:rsid w:val="00004102"/>
    <w:rsid w:val="00004AA7"/>
    <w:rsid w:val="000050A7"/>
    <w:rsid w:val="0000633B"/>
    <w:rsid w:val="0000668A"/>
    <w:rsid w:val="00006875"/>
    <w:rsid w:val="00007143"/>
    <w:rsid w:val="00007394"/>
    <w:rsid w:val="000073D3"/>
    <w:rsid w:val="000075C0"/>
    <w:rsid w:val="0000797C"/>
    <w:rsid w:val="00007CDE"/>
    <w:rsid w:val="00010588"/>
    <w:rsid w:val="000112C8"/>
    <w:rsid w:val="00011685"/>
    <w:rsid w:val="0001199C"/>
    <w:rsid w:val="00012149"/>
    <w:rsid w:val="000130B2"/>
    <w:rsid w:val="00013822"/>
    <w:rsid w:val="00013F21"/>
    <w:rsid w:val="00014009"/>
    <w:rsid w:val="0001414D"/>
    <w:rsid w:val="00014789"/>
    <w:rsid w:val="00014CDE"/>
    <w:rsid w:val="00014DDE"/>
    <w:rsid w:val="000154FD"/>
    <w:rsid w:val="00015882"/>
    <w:rsid w:val="00016570"/>
    <w:rsid w:val="00016D35"/>
    <w:rsid w:val="00016DD4"/>
    <w:rsid w:val="0001735C"/>
    <w:rsid w:val="00017624"/>
    <w:rsid w:val="00020216"/>
    <w:rsid w:val="00020B02"/>
    <w:rsid w:val="00020D92"/>
    <w:rsid w:val="00020F6E"/>
    <w:rsid w:val="000215BB"/>
    <w:rsid w:val="000216EB"/>
    <w:rsid w:val="000218D1"/>
    <w:rsid w:val="00021D38"/>
    <w:rsid w:val="00022570"/>
    <w:rsid w:val="000229EE"/>
    <w:rsid w:val="00022DC8"/>
    <w:rsid w:val="00023C90"/>
    <w:rsid w:val="000257EC"/>
    <w:rsid w:val="00025935"/>
    <w:rsid w:val="00025B02"/>
    <w:rsid w:val="00025BA3"/>
    <w:rsid w:val="00026426"/>
    <w:rsid w:val="00026508"/>
    <w:rsid w:val="000268AF"/>
    <w:rsid w:val="00026931"/>
    <w:rsid w:val="00026BEC"/>
    <w:rsid w:val="00027110"/>
    <w:rsid w:val="0002720C"/>
    <w:rsid w:val="00027A76"/>
    <w:rsid w:val="00027B57"/>
    <w:rsid w:val="00027D54"/>
    <w:rsid w:val="00027E3E"/>
    <w:rsid w:val="0003011C"/>
    <w:rsid w:val="000301D7"/>
    <w:rsid w:val="00031122"/>
    <w:rsid w:val="00031659"/>
    <w:rsid w:val="00031DE1"/>
    <w:rsid w:val="0003222B"/>
    <w:rsid w:val="0003268B"/>
    <w:rsid w:val="000327A4"/>
    <w:rsid w:val="00032AD8"/>
    <w:rsid w:val="00033042"/>
    <w:rsid w:val="000334C8"/>
    <w:rsid w:val="00033A69"/>
    <w:rsid w:val="00034808"/>
    <w:rsid w:val="00034E09"/>
    <w:rsid w:val="0003581D"/>
    <w:rsid w:val="00036958"/>
    <w:rsid w:val="00036DBD"/>
    <w:rsid w:val="000373D2"/>
    <w:rsid w:val="000378E4"/>
    <w:rsid w:val="000379A5"/>
    <w:rsid w:val="00037A60"/>
    <w:rsid w:val="00037BDB"/>
    <w:rsid w:val="000402A0"/>
    <w:rsid w:val="00040868"/>
    <w:rsid w:val="00040C42"/>
    <w:rsid w:val="0004184B"/>
    <w:rsid w:val="000419C9"/>
    <w:rsid w:val="00042542"/>
    <w:rsid w:val="0004326C"/>
    <w:rsid w:val="00043352"/>
    <w:rsid w:val="00043590"/>
    <w:rsid w:val="000437C8"/>
    <w:rsid w:val="0004382A"/>
    <w:rsid w:val="00043F95"/>
    <w:rsid w:val="00044715"/>
    <w:rsid w:val="0004623E"/>
    <w:rsid w:val="00046339"/>
    <w:rsid w:val="000463D8"/>
    <w:rsid w:val="00046594"/>
    <w:rsid w:val="000470E0"/>
    <w:rsid w:val="00047E2A"/>
    <w:rsid w:val="0005169D"/>
    <w:rsid w:val="00052555"/>
    <w:rsid w:val="0005264D"/>
    <w:rsid w:val="000528FF"/>
    <w:rsid w:val="00052E7E"/>
    <w:rsid w:val="00053755"/>
    <w:rsid w:val="00054555"/>
    <w:rsid w:val="000545CD"/>
    <w:rsid w:val="0005470F"/>
    <w:rsid w:val="00054D79"/>
    <w:rsid w:val="00055997"/>
    <w:rsid w:val="000559E4"/>
    <w:rsid w:val="00055D52"/>
    <w:rsid w:val="00055DCF"/>
    <w:rsid w:val="0005607B"/>
    <w:rsid w:val="000563C7"/>
    <w:rsid w:val="00056E11"/>
    <w:rsid w:val="00056F31"/>
    <w:rsid w:val="00057354"/>
    <w:rsid w:val="000606C7"/>
    <w:rsid w:val="00060AE6"/>
    <w:rsid w:val="00060B82"/>
    <w:rsid w:val="00060E36"/>
    <w:rsid w:val="00061A94"/>
    <w:rsid w:val="00061EAE"/>
    <w:rsid w:val="000632BE"/>
    <w:rsid w:val="0006343C"/>
    <w:rsid w:val="000641A5"/>
    <w:rsid w:val="00064F58"/>
    <w:rsid w:val="0006535B"/>
    <w:rsid w:val="00065542"/>
    <w:rsid w:val="0006559E"/>
    <w:rsid w:val="0006570A"/>
    <w:rsid w:val="000662E0"/>
    <w:rsid w:val="00066E94"/>
    <w:rsid w:val="000672CA"/>
    <w:rsid w:val="00067A10"/>
    <w:rsid w:val="00067B81"/>
    <w:rsid w:val="00067E34"/>
    <w:rsid w:val="00070C4D"/>
    <w:rsid w:val="00070FD2"/>
    <w:rsid w:val="0007112A"/>
    <w:rsid w:val="000724B5"/>
    <w:rsid w:val="000727B9"/>
    <w:rsid w:val="00072890"/>
    <w:rsid w:val="00072A78"/>
    <w:rsid w:val="00072E74"/>
    <w:rsid w:val="000730C2"/>
    <w:rsid w:val="0007338B"/>
    <w:rsid w:val="000735EB"/>
    <w:rsid w:val="00073849"/>
    <w:rsid w:val="00073A6A"/>
    <w:rsid w:val="00073ED9"/>
    <w:rsid w:val="00073FBA"/>
    <w:rsid w:val="0007465A"/>
    <w:rsid w:val="0007488A"/>
    <w:rsid w:val="00074B93"/>
    <w:rsid w:val="000754B7"/>
    <w:rsid w:val="0007634C"/>
    <w:rsid w:val="0007639D"/>
    <w:rsid w:val="000766AA"/>
    <w:rsid w:val="00076E50"/>
    <w:rsid w:val="00076F4B"/>
    <w:rsid w:val="000801D2"/>
    <w:rsid w:val="00080864"/>
    <w:rsid w:val="00080FFF"/>
    <w:rsid w:val="00082A31"/>
    <w:rsid w:val="000846CE"/>
    <w:rsid w:val="00084898"/>
    <w:rsid w:val="00084BE1"/>
    <w:rsid w:val="00084D64"/>
    <w:rsid w:val="000855FA"/>
    <w:rsid w:val="00085901"/>
    <w:rsid w:val="00086741"/>
    <w:rsid w:val="00086F58"/>
    <w:rsid w:val="000870AB"/>
    <w:rsid w:val="000878E7"/>
    <w:rsid w:val="00087ADD"/>
    <w:rsid w:val="00087F6E"/>
    <w:rsid w:val="00090979"/>
    <w:rsid w:val="00090D1C"/>
    <w:rsid w:val="000910F1"/>
    <w:rsid w:val="000910F3"/>
    <w:rsid w:val="0009149E"/>
    <w:rsid w:val="00091582"/>
    <w:rsid w:val="0009199E"/>
    <w:rsid w:val="00092AEE"/>
    <w:rsid w:val="00092B81"/>
    <w:rsid w:val="00092BF0"/>
    <w:rsid w:val="00092E24"/>
    <w:rsid w:val="000936E6"/>
    <w:rsid w:val="00093BDB"/>
    <w:rsid w:val="00093DB6"/>
    <w:rsid w:val="00094061"/>
    <w:rsid w:val="00094B10"/>
    <w:rsid w:val="0009641E"/>
    <w:rsid w:val="000966AA"/>
    <w:rsid w:val="00096BE6"/>
    <w:rsid w:val="00096C7E"/>
    <w:rsid w:val="00097392"/>
    <w:rsid w:val="00097797"/>
    <w:rsid w:val="000A07F7"/>
    <w:rsid w:val="000A0A4A"/>
    <w:rsid w:val="000A0F1C"/>
    <w:rsid w:val="000A17D9"/>
    <w:rsid w:val="000A26CF"/>
    <w:rsid w:val="000A29B0"/>
    <w:rsid w:val="000A2F26"/>
    <w:rsid w:val="000A358C"/>
    <w:rsid w:val="000A35B2"/>
    <w:rsid w:val="000A386B"/>
    <w:rsid w:val="000A3B30"/>
    <w:rsid w:val="000A41F6"/>
    <w:rsid w:val="000A4527"/>
    <w:rsid w:val="000A48F9"/>
    <w:rsid w:val="000A4937"/>
    <w:rsid w:val="000A4BC9"/>
    <w:rsid w:val="000A5002"/>
    <w:rsid w:val="000A57E7"/>
    <w:rsid w:val="000A674D"/>
    <w:rsid w:val="000A6766"/>
    <w:rsid w:val="000A766E"/>
    <w:rsid w:val="000A7A2B"/>
    <w:rsid w:val="000A7DFB"/>
    <w:rsid w:val="000B1FD1"/>
    <w:rsid w:val="000B35AD"/>
    <w:rsid w:val="000B4266"/>
    <w:rsid w:val="000B4790"/>
    <w:rsid w:val="000B4E32"/>
    <w:rsid w:val="000B5442"/>
    <w:rsid w:val="000B550A"/>
    <w:rsid w:val="000B57DD"/>
    <w:rsid w:val="000B5955"/>
    <w:rsid w:val="000B60A3"/>
    <w:rsid w:val="000B650D"/>
    <w:rsid w:val="000B6AB5"/>
    <w:rsid w:val="000B6F0E"/>
    <w:rsid w:val="000B7ABF"/>
    <w:rsid w:val="000C051C"/>
    <w:rsid w:val="000C0779"/>
    <w:rsid w:val="000C0A6B"/>
    <w:rsid w:val="000C1083"/>
    <w:rsid w:val="000C16A5"/>
    <w:rsid w:val="000C18F9"/>
    <w:rsid w:val="000C1DFD"/>
    <w:rsid w:val="000C1E77"/>
    <w:rsid w:val="000C22DC"/>
    <w:rsid w:val="000C2370"/>
    <w:rsid w:val="000C2B15"/>
    <w:rsid w:val="000C343B"/>
    <w:rsid w:val="000C3B4B"/>
    <w:rsid w:val="000C444C"/>
    <w:rsid w:val="000C49E4"/>
    <w:rsid w:val="000C4FEB"/>
    <w:rsid w:val="000C52F3"/>
    <w:rsid w:val="000C5943"/>
    <w:rsid w:val="000C6F8C"/>
    <w:rsid w:val="000C78BE"/>
    <w:rsid w:val="000C7E47"/>
    <w:rsid w:val="000D06AD"/>
    <w:rsid w:val="000D0A6F"/>
    <w:rsid w:val="000D14EC"/>
    <w:rsid w:val="000D1557"/>
    <w:rsid w:val="000D1599"/>
    <w:rsid w:val="000D1ADB"/>
    <w:rsid w:val="000D2248"/>
    <w:rsid w:val="000D2406"/>
    <w:rsid w:val="000D27A8"/>
    <w:rsid w:val="000D361E"/>
    <w:rsid w:val="000D3DFA"/>
    <w:rsid w:val="000D497A"/>
    <w:rsid w:val="000D6287"/>
    <w:rsid w:val="000D63D6"/>
    <w:rsid w:val="000D677C"/>
    <w:rsid w:val="000D6A2A"/>
    <w:rsid w:val="000D716A"/>
    <w:rsid w:val="000D71E5"/>
    <w:rsid w:val="000E063C"/>
    <w:rsid w:val="000E0DF0"/>
    <w:rsid w:val="000E0F6C"/>
    <w:rsid w:val="000E16C3"/>
    <w:rsid w:val="000E1E27"/>
    <w:rsid w:val="000E25ED"/>
    <w:rsid w:val="000E332C"/>
    <w:rsid w:val="000E3680"/>
    <w:rsid w:val="000E3EE8"/>
    <w:rsid w:val="000E420E"/>
    <w:rsid w:val="000E4567"/>
    <w:rsid w:val="000E4950"/>
    <w:rsid w:val="000E499B"/>
    <w:rsid w:val="000E59A1"/>
    <w:rsid w:val="000E5D70"/>
    <w:rsid w:val="000E64BB"/>
    <w:rsid w:val="000E65E7"/>
    <w:rsid w:val="000E6B2B"/>
    <w:rsid w:val="000E6C23"/>
    <w:rsid w:val="000E6CB0"/>
    <w:rsid w:val="000F01CC"/>
    <w:rsid w:val="000F03A4"/>
    <w:rsid w:val="000F0479"/>
    <w:rsid w:val="000F13AD"/>
    <w:rsid w:val="000F172C"/>
    <w:rsid w:val="000F1D0C"/>
    <w:rsid w:val="000F26C6"/>
    <w:rsid w:val="000F3640"/>
    <w:rsid w:val="000F3852"/>
    <w:rsid w:val="000F3B6E"/>
    <w:rsid w:val="000F4448"/>
    <w:rsid w:val="000F4610"/>
    <w:rsid w:val="000F4A56"/>
    <w:rsid w:val="000F4F78"/>
    <w:rsid w:val="000F5036"/>
    <w:rsid w:val="000F5314"/>
    <w:rsid w:val="000F574F"/>
    <w:rsid w:val="000F598F"/>
    <w:rsid w:val="000F5BFC"/>
    <w:rsid w:val="000F6990"/>
    <w:rsid w:val="000F6B03"/>
    <w:rsid w:val="000F6CA8"/>
    <w:rsid w:val="000F6D16"/>
    <w:rsid w:val="000F74A0"/>
    <w:rsid w:val="000F7515"/>
    <w:rsid w:val="000F77C3"/>
    <w:rsid w:val="000F7905"/>
    <w:rsid w:val="000F7DC3"/>
    <w:rsid w:val="001005E6"/>
    <w:rsid w:val="001008A4"/>
    <w:rsid w:val="00102013"/>
    <w:rsid w:val="001021E3"/>
    <w:rsid w:val="001036EA"/>
    <w:rsid w:val="00103A80"/>
    <w:rsid w:val="00103B58"/>
    <w:rsid w:val="00103D65"/>
    <w:rsid w:val="00103EC1"/>
    <w:rsid w:val="001043D3"/>
    <w:rsid w:val="0010527F"/>
    <w:rsid w:val="0010569E"/>
    <w:rsid w:val="00105748"/>
    <w:rsid w:val="00105D59"/>
    <w:rsid w:val="00105F81"/>
    <w:rsid w:val="001064C4"/>
    <w:rsid w:val="001064FA"/>
    <w:rsid w:val="00107995"/>
    <w:rsid w:val="00110132"/>
    <w:rsid w:val="0011013B"/>
    <w:rsid w:val="001108BC"/>
    <w:rsid w:val="001110CC"/>
    <w:rsid w:val="00111B04"/>
    <w:rsid w:val="00111B2A"/>
    <w:rsid w:val="001122F1"/>
    <w:rsid w:val="0011234D"/>
    <w:rsid w:val="001126F1"/>
    <w:rsid w:val="0011312D"/>
    <w:rsid w:val="00113849"/>
    <w:rsid w:val="00113ACD"/>
    <w:rsid w:val="00113B82"/>
    <w:rsid w:val="001142D4"/>
    <w:rsid w:val="00114455"/>
    <w:rsid w:val="001145D9"/>
    <w:rsid w:val="001147C6"/>
    <w:rsid w:val="001157C1"/>
    <w:rsid w:val="00116326"/>
    <w:rsid w:val="00116666"/>
    <w:rsid w:val="00116A64"/>
    <w:rsid w:val="00116CD8"/>
    <w:rsid w:val="0012068A"/>
    <w:rsid w:val="00120D8D"/>
    <w:rsid w:val="00120DBF"/>
    <w:rsid w:val="00120E5C"/>
    <w:rsid w:val="00121B4A"/>
    <w:rsid w:val="00121EF6"/>
    <w:rsid w:val="00122613"/>
    <w:rsid w:val="00122A68"/>
    <w:rsid w:val="00123894"/>
    <w:rsid w:val="00123DE7"/>
    <w:rsid w:val="00123E79"/>
    <w:rsid w:val="00124D5C"/>
    <w:rsid w:val="00125280"/>
    <w:rsid w:val="00125E71"/>
    <w:rsid w:val="00126837"/>
    <w:rsid w:val="00126B2B"/>
    <w:rsid w:val="00127B3E"/>
    <w:rsid w:val="00130070"/>
    <w:rsid w:val="00130C62"/>
    <w:rsid w:val="00130EFC"/>
    <w:rsid w:val="00131734"/>
    <w:rsid w:val="00131BD1"/>
    <w:rsid w:val="001322C9"/>
    <w:rsid w:val="00132360"/>
    <w:rsid w:val="0013268E"/>
    <w:rsid w:val="00132C86"/>
    <w:rsid w:val="0013324D"/>
    <w:rsid w:val="0013340D"/>
    <w:rsid w:val="00133A40"/>
    <w:rsid w:val="00134088"/>
    <w:rsid w:val="001357CC"/>
    <w:rsid w:val="00135929"/>
    <w:rsid w:val="00135B8E"/>
    <w:rsid w:val="00135C81"/>
    <w:rsid w:val="0013764E"/>
    <w:rsid w:val="00140374"/>
    <w:rsid w:val="0014059E"/>
    <w:rsid w:val="0014074E"/>
    <w:rsid w:val="0014102B"/>
    <w:rsid w:val="00141F82"/>
    <w:rsid w:val="00142D3B"/>
    <w:rsid w:val="00144CAF"/>
    <w:rsid w:val="00145220"/>
    <w:rsid w:val="00145ACD"/>
    <w:rsid w:val="0014634B"/>
    <w:rsid w:val="00146CB8"/>
    <w:rsid w:val="001472D3"/>
    <w:rsid w:val="0014743E"/>
    <w:rsid w:val="001475F1"/>
    <w:rsid w:val="001478F8"/>
    <w:rsid w:val="00147F4F"/>
    <w:rsid w:val="001501B8"/>
    <w:rsid w:val="001504AB"/>
    <w:rsid w:val="001506F3"/>
    <w:rsid w:val="00150721"/>
    <w:rsid w:val="00150FF0"/>
    <w:rsid w:val="001516A4"/>
    <w:rsid w:val="00151B81"/>
    <w:rsid w:val="00152015"/>
    <w:rsid w:val="00152A38"/>
    <w:rsid w:val="00152D8B"/>
    <w:rsid w:val="001533B0"/>
    <w:rsid w:val="001541C1"/>
    <w:rsid w:val="001543CA"/>
    <w:rsid w:val="0015479C"/>
    <w:rsid w:val="00154CC8"/>
    <w:rsid w:val="00154D60"/>
    <w:rsid w:val="001553AD"/>
    <w:rsid w:val="001561A3"/>
    <w:rsid w:val="00156346"/>
    <w:rsid w:val="001564EF"/>
    <w:rsid w:val="00157558"/>
    <w:rsid w:val="00160357"/>
    <w:rsid w:val="00160A40"/>
    <w:rsid w:val="00160F61"/>
    <w:rsid w:val="001616DC"/>
    <w:rsid w:val="0016188B"/>
    <w:rsid w:val="0016241C"/>
    <w:rsid w:val="00162BCE"/>
    <w:rsid w:val="001642D0"/>
    <w:rsid w:val="001644A3"/>
    <w:rsid w:val="00164861"/>
    <w:rsid w:val="001649B0"/>
    <w:rsid w:val="00164A44"/>
    <w:rsid w:val="00164A4E"/>
    <w:rsid w:val="00164C44"/>
    <w:rsid w:val="001650AA"/>
    <w:rsid w:val="001670E0"/>
    <w:rsid w:val="00167443"/>
    <w:rsid w:val="00167E67"/>
    <w:rsid w:val="00167FE0"/>
    <w:rsid w:val="00170197"/>
    <w:rsid w:val="00170702"/>
    <w:rsid w:val="001708AB"/>
    <w:rsid w:val="00170CB5"/>
    <w:rsid w:val="00170CC1"/>
    <w:rsid w:val="00171A8E"/>
    <w:rsid w:val="0017254E"/>
    <w:rsid w:val="001725E6"/>
    <w:rsid w:val="001726FE"/>
    <w:rsid w:val="00173927"/>
    <w:rsid w:val="00173A8A"/>
    <w:rsid w:val="00175150"/>
    <w:rsid w:val="0017564C"/>
    <w:rsid w:val="00175C15"/>
    <w:rsid w:val="0017610E"/>
    <w:rsid w:val="001766DD"/>
    <w:rsid w:val="00176907"/>
    <w:rsid w:val="00176C00"/>
    <w:rsid w:val="00176D28"/>
    <w:rsid w:val="001776D8"/>
    <w:rsid w:val="001801EF"/>
    <w:rsid w:val="0018049D"/>
    <w:rsid w:val="00180E91"/>
    <w:rsid w:val="00181258"/>
    <w:rsid w:val="00181C4A"/>
    <w:rsid w:val="00182E91"/>
    <w:rsid w:val="001833A3"/>
    <w:rsid w:val="00183F99"/>
    <w:rsid w:val="0018401A"/>
    <w:rsid w:val="00184C7C"/>
    <w:rsid w:val="00184FC5"/>
    <w:rsid w:val="001855D0"/>
    <w:rsid w:val="00185874"/>
    <w:rsid w:val="0018591B"/>
    <w:rsid w:val="00185D2B"/>
    <w:rsid w:val="0018625A"/>
    <w:rsid w:val="001870B2"/>
    <w:rsid w:val="0018734D"/>
    <w:rsid w:val="0018782E"/>
    <w:rsid w:val="00187E1F"/>
    <w:rsid w:val="00187F91"/>
    <w:rsid w:val="00190CB0"/>
    <w:rsid w:val="00191337"/>
    <w:rsid w:val="00191B52"/>
    <w:rsid w:val="001920F5"/>
    <w:rsid w:val="00192536"/>
    <w:rsid w:val="00193143"/>
    <w:rsid w:val="00193494"/>
    <w:rsid w:val="00193653"/>
    <w:rsid w:val="001938CA"/>
    <w:rsid w:val="00193C69"/>
    <w:rsid w:val="00193FF1"/>
    <w:rsid w:val="001959EB"/>
    <w:rsid w:val="00195B00"/>
    <w:rsid w:val="001968B3"/>
    <w:rsid w:val="00196DE9"/>
    <w:rsid w:val="00196E1A"/>
    <w:rsid w:val="00196E59"/>
    <w:rsid w:val="00197991"/>
    <w:rsid w:val="001979AD"/>
    <w:rsid w:val="001A041A"/>
    <w:rsid w:val="001A1930"/>
    <w:rsid w:val="001A1C13"/>
    <w:rsid w:val="001A1E1B"/>
    <w:rsid w:val="001A20DA"/>
    <w:rsid w:val="001A21F4"/>
    <w:rsid w:val="001A2767"/>
    <w:rsid w:val="001A2936"/>
    <w:rsid w:val="001A2B3D"/>
    <w:rsid w:val="001A2F7A"/>
    <w:rsid w:val="001A324F"/>
    <w:rsid w:val="001A398D"/>
    <w:rsid w:val="001A4B02"/>
    <w:rsid w:val="001A4D0B"/>
    <w:rsid w:val="001A4DA8"/>
    <w:rsid w:val="001A539F"/>
    <w:rsid w:val="001A53B1"/>
    <w:rsid w:val="001A5963"/>
    <w:rsid w:val="001A5B6B"/>
    <w:rsid w:val="001A634F"/>
    <w:rsid w:val="001A6403"/>
    <w:rsid w:val="001A65ED"/>
    <w:rsid w:val="001A6FDA"/>
    <w:rsid w:val="001A7583"/>
    <w:rsid w:val="001A7B0F"/>
    <w:rsid w:val="001A7B31"/>
    <w:rsid w:val="001B005C"/>
    <w:rsid w:val="001B0705"/>
    <w:rsid w:val="001B0CFA"/>
    <w:rsid w:val="001B0F04"/>
    <w:rsid w:val="001B0F79"/>
    <w:rsid w:val="001B0FFA"/>
    <w:rsid w:val="001B199D"/>
    <w:rsid w:val="001B1AE5"/>
    <w:rsid w:val="001B2461"/>
    <w:rsid w:val="001B26E3"/>
    <w:rsid w:val="001B2746"/>
    <w:rsid w:val="001B3491"/>
    <w:rsid w:val="001B36EF"/>
    <w:rsid w:val="001B376F"/>
    <w:rsid w:val="001B410A"/>
    <w:rsid w:val="001B4830"/>
    <w:rsid w:val="001B4CBC"/>
    <w:rsid w:val="001B566B"/>
    <w:rsid w:val="001B6806"/>
    <w:rsid w:val="001B7531"/>
    <w:rsid w:val="001B7637"/>
    <w:rsid w:val="001B7963"/>
    <w:rsid w:val="001C0544"/>
    <w:rsid w:val="001C07F3"/>
    <w:rsid w:val="001C0D73"/>
    <w:rsid w:val="001C0E44"/>
    <w:rsid w:val="001C1131"/>
    <w:rsid w:val="001C1B40"/>
    <w:rsid w:val="001C2712"/>
    <w:rsid w:val="001C31C3"/>
    <w:rsid w:val="001C4F3B"/>
    <w:rsid w:val="001C5053"/>
    <w:rsid w:val="001C513B"/>
    <w:rsid w:val="001C5BCA"/>
    <w:rsid w:val="001C64F7"/>
    <w:rsid w:val="001C78E9"/>
    <w:rsid w:val="001C79CC"/>
    <w:rsid w:val="001D011D"/>
    <w:rsid w:val="001D087C"/>
    <w:rsid w:val="001D0F19"/>
    <w:rsid w:val="001D207D"/>
    <w:rsid w:val="001D24DA"/>
    <w:rsid w:val="001D2DF5"/>
    <w:rsid w:val="001D3642"/>
    <w:rsid w:val="001D4055"/>
    <w:rsid w:val="001D41D7"/>
    <w:rsid w:val="001D4522"/>
    <w:rsid w:val="001D5647"/>
    <w:rsid w:val="001D576B"/>
    <w:rsid w:val="001D65C0"/>
    <w:rsid w:val="001D6761"/>
    <w:rsid w:val="001D6C37"/>
    <w:rsid w:val="001D7435"/>
    <w:rsid w:val="001D7602"/>
    <w:rsid w:val="001D7607"/>
    <w:rsid w:val="001E0299"/>
    <w:rsid w:val="001E0434"/>
    <w:rsid w:val="001E0746"/>
    <w:rsid w:val="001E0859"/>
    <w:rsid w:val="001E0F62"/>
    <w:rsid w:val="001E128B"/>
    <w:rsid w:val="001E19E4"/>
    <w:rsid w:val="001E1F87"/>
    <w:rsid w:val="001E219D"/>
    <w:rsid w:val="001E24E2"/>
    <w:rsid w:val="001E30C7"/>
    <w:rsid w:val="001E3117"/>
    <w:rsid w:val="001E3464"/>
    <w:rsid w:val="001E3A77"/>
    <w:rsid w:val="001E4C72"/>
    <w:rsid w:val="001E4DC5"/>
    <w:rsid w:val="001E548B"/>
    <w:rsid w:val="001E57E3"/>
    <w:rsid w:val="001E5946"/>
    <w:rsid w:val="001E5A84"/>
    <w:rsid w:val="001E5D64"/>
    <w:rsid w:val="001E5DA0"/>
    <w:rsid w:val="001E5F31"/>
    <w:rsid w:val="001E65D1"/>
    <w:rsid w:val="001E6E0D"/>
    <w:rsid w:val="001E7D6A"/>
    <w:rsid w:val="001F06A7"/>
    <w:rsid w:val="001F1145"/>
    <w:rsid w:val="001F15D5"/>
    <w:rsid w:val="001F1910"/>
    <w:rsid w:val="001F1BFA"/>
    <w:rsid w:val="001F25E1"/>
    <w:rsid w:val="001F3F03"/>
    <w:rsid w:val="001F3F5D"/>
    <w:rsid w:val="001F4378"/>
    <w:rsid w:val="001F4503"/>
    <w:rsid w:val="001F4511"/>
    <w:rsid w:val="001F5375"/>
    <w:rsid w:val="001F5408"/>
    <w:rsid w:val="001F5B4F"/>
    <w:rsid w:val="001F7C39"/>
    <w:rsid w:val="0020007E"/>
    <w:rsid w:val="00200102"/>
    <w:rsid w:val="002007FC"/>
    <w:rsid w:val="00200D50"/>
    <w:rsid w:val="00201C51"/>
    <w:rsid w:val="00201D60"/>
    <w:rsid w:val="00201DAA"/>
    <w:rsid w:val="00201F71"/>
    <w:rsid w:val="0020320A"/>
    <w:rsid w:val="0020541B"/>
    <w:rsid w:val="00205E93"/>
    <w:rsid w:val="00206869"/>
    <w:rsid w:val="00206B18"/>
    <w:rsid w:val="00207015"/>
    <w:rsid w:val="002071B7"/>
    <w:rsid w:val="00207382"/>
    <w:rsid w:val="0020778D"/>
    <w:rsid w:val="002078C8"/>
    <w:rsid w:val="00210AE4"/>
    <w:rsid w:val="00211DBB"/>
    <w:rsid w:val="00211DF6"/>
    <w:rsid w:val="00212BA4"/>
    <w:rsid w:val="00213FE6"/>
    <w:rsid w:val="00214058"/>
    <w:rsid w:val="002151A6"/>
    <w:rsid w:val="002154D4"/>
    <w:rsid w:val="00215A1A"/>
    <w:rsid w:val="00215DFE"/>
    <w:rsid w:val="00215EED"/>
    <w:rsid w:val="002167DD"/>
    <w:rsid w:val="00216A9E"/>
    <w:rsid w:val="0021715D"/>
    <w:rsid w:val="00220EAA"/>
    <w:rsid w:val="002213CF"/>
    <w:rsid w:val="002215B9"/>
    <w:rsid w:val="00222EFF"/>
    <w:rsid w:val="0022365E"/>
    <w:rsid w:val="00224162"/>
    <w:rsid w:val="00224812"/>
    <w:rsid w:val="0022492A"/>
    <w:rsid w:val="00224A7C"/>
    <w:rsid w:val="00224A82"/>
    <w:rsid w:val="00224E4D"/>
    <w:rsid w:val="00225D6A"/>
    <w:rsid w:val="00225E37"/>
    <w:rsid w:val="00225F14"/>
    <w:rsid w:val="002264B9"/>
    <w:rsid w:val="00226C09"/>
    <w:rsid w:val="00230F37"/>
    <w:rsid w:val="00231AB9"/>
    <w:rsid w:val="002326A4"/>
    <w:rsid w:val="0023292B"/>
    <w:rsid w:val="00233353"/>
    <w:rsid w:val="00233A8D"/>
    <w:rsid w:val="002346AB"/>
    <w:rsid w:val="00234840"/>
    <w:rsid w:val="00234ADC"/>
    <w:rsid w:val="00234F6B"/>
    <w:rsid w:val="00235A5C"/>
    <w:rsid w:val="00236A40"/>
    <w:rsid w:val="00237276"/>
    <w:rsid w:val="0024086A"/>
    <w:rsid w:val="00241313"/>
    <w:rsid w:val="002416BE"/>
    <w:rsid w:val="0024185B"/>
    <w:rsid w:val="00241BDA"/>
    <w:rsid w:val="00241EF1"/>
    <w:rsid w:val="00241F89"/>
    <w:rsid w:val="002420A7"/>
    <w:rsid w:val="0024216A"/>
    <w:rsid w:val="00242BD2"/>
    <w:rsid w:val="00242DBD"/>
    <w:rsid w:val="0024313C"/>
    <w:rsid w:val="0024321D"/>
    <w:rsid w:val="00244180"/>
    <w:rsid w:val="00244D1B"/>
    <w:rsid w:val="00244EAD"/>
    <w:rsid w:val="00245980"/>
    <w:rsid w:val="002467AF"/>
    <w:rsid w:val="00247037"/>
    <w:rsid w:val="00247291"/>
    <w:rsid w:val="002476E2"/>
    <w:rsid w:val="00247757"/>
    <w:rsid w:val="00247ACD"/>
    <w:rsid w:val="00247BAB"/>
    <w:rsid w:val="00250715"/>
    <w:rsid w:val="00251889"/>
    <w:rsid w:val="00251D96"/>
    <w:rsid w:val="0025208E"/>
    <w:rsid w:val="00253C40"/>
    <w:rsid w:val="002540B3"/>
    <w:rsid w:val="00254105"/>
    <w:rsid w:val="00254829"/>
    <w:rsid w:val="00254D35"/>
    <w:rsid w:val="0025539C"/>
    <w:rsid w:val="002555CE"/>
    <w:rsid w:val="00255F53"/>
    <w:rsid w:val="002563ED"/>
    <w:rsid w:val="00256A1F"/>
    <w:rsid w:val="00256AC6"/>
    <w:rsid w:val="00256C82"/>
    <w:rsid w:val="00260CFA"/>
    <w:rsid w:val="00261077"/>
    <w:rsid w:val="00261356"/>
    <w:rsid w:val="002613D7"/>
    <w:rsid w:val="00261598"/>
    <w:rsid w:val="00261957"/>
    <w:rsid w:val="002629E8"/>
    <w:rsid w:val="002640AE"/>
    <w:rsid w:val="00264B0C"/>
    <w:rsid w:val="00265A06"/>
    <w:rsid w:val="00265DD2"/>
    <w:rsid w:val="00265E89"/>
    <w:rsid w:val="00266037"/>
    <w:rsid w:val="002665D5"/>
    <w:rsid w:val="00266E3A"/>
    <w:rsid w:val="00267611"/>
    <w:rsid w:val="00267C66"/>
    <w:rsid w:val="0027032C"/>
    <w:rsid w:val="002703CE"/>
    <w:rsid w:val="0027040D"/>
    <w:rsid w:val="00270A75"/>
    <w:rsid w:val="00270B51"/>
    <w:rsid w:val="00271340"/>
    <w:rsid w:val="00272145"/>
    <w:rsid w:val="0027237D"/>
    <w:rsid w:val="0027242D"/>
    <w:rsid w:val="002724B0"/>
    <w:rsid w:val="00272C52"/>
    <w:rsid w:val="002733BD"/>
    <w:rsid w:val="002733F8"/>
    <w:rsid w:val="00274097"/>
    <w:rsid w:val="0027464E"/>
    <w:rsid w:val="002757FA"/>
    <w:rsid w:val="00275F55"/>
    <w:rsid w:val="0027625F"/>
    <w:rsid w:val="002768AA"/>
    <w:rsid w:val="00276BCE"/>
    <w:rsid w:val="00276E97"/>
    <w:rsid w:val="00277431"/>
    <w:rsid w:val="00277894"/>
    <w:rsid w:val="00277F92"/>
    <w:rsid w:val="00280941"/>
    <w:rsid w:val="00280AE1"/>
    <w:rsid w:val="00280C39"/>
    <w:rsid w:val="00280DBB"/>
    <w:rsid w:val="00281737"/>
    <w:rsid w:val="00281B1A"/>
    <w:rsid w:val="00281CAC"/>
    <w:rsid w:val="00281FEC"/>
    <w:rsid w:val="00282A42"/>
    <w:rsid w:val="00283129"/>
    <w:rsid w:val="00283596"/>
    <w:rsid w:val="00283869"/>
    <w:rsid w:val="00283FB6"/>
    <w:rsid w:val="002855D8"/>
    <w:rsid w:val="002857D3"/>
    <w:rsid w:val="00285BD6"/>
    <w:rsid w:val="00285DF4"/>
    <w:rsid w:val="0028695F"/>
    <w:rsid w:val="00287430"/>
    <w:rsid w:val="0028747D"/>
    <w:rsid w:val="0028798C"/>
    <w:rsid w:val="002903EE"/>
    <w:rsid w:val="00290BA6"/>
    <w:rsid w:val="00290E8D"/>
    <w:rsid w:val="00291050"/>
    <w:rsid w:val="00291340"/>
    <w:rsid w:val="00291679"/>
    <w:rsid w:val="0029199B"/>
    <w:rsid w:val="002922CF"/>
    <w:rsid w:val="00292F83"/>
    <w:rsid w:val="00292FA6"/>
    <w:rsid w:val="00293307"/>
    <w:rsid w:val="00293440"/>
    <w:rsid w:val="00293C8D"/>
    <w:rsid w:val="00293E50"/>
    <w:rsid w:val="00293EFF"/>
    <w:rsid w:val="0029420D"/>
    <w:rsid w:val="002942EF"/>
    <w:rsid w:val="002947C2"/>
    <w:rsid w:val="0029488F"/>
    <w:rsid w:val="00294E5A"/>
    <w:rsid w:val="00294EBC"/>
    <w:rsid w:val="00294F77"/>
    <w:rsid w:val="00294FD8"/>
    <w:rsid w:val="0029597D"/>
    <w:rsid w:val="00295AAD"/>
    <w:rsid w:val="00295C3D"/>
    <w:rsid w:val="00295C83"/>
    <w:rsid w:val="00295D49"/>
    <w:rsid w:val="00295E39"/>
    <w:rsid w:val="0029600C"/>
    <w:rsid w:val="002963FE"/>
    <w:rsid w:val="00297AF5"/>
    <w:rsid w:val="00297C54"/>
    <w:rsid w:val="002A0376"/>
    <w:rsid w:val="002A0481"/>
    <w:rsid w:val="002A068F"/>
    <w:rsid w:val="002A06F8"/>
    <w:rsid w:val="002A1F53"/>
    <w:rsid w:val="002A26A3"/>
    <w:rsid w:val="002A26DE"/>
    <w:rsid w:val="002A3FE7"/>
    <w:rsid w:val="002A433D"/>
    <w:rsid w:val="002A4458"/>
    <w:rsid w:val="002A519C"/>
    <w:rsid w:val="002A5ACB"/>
    <w:rsid w:val="002A5D19"/>
    <w:rsid w:val="002A5FBC"/>
    <w:rsid w:val="002A6A57"/>
    <w:rsid w:val="002A6CF7"/>
    <w:rsid w:val="002A6D34"/>
    <w:rsid w:val="002A6D7A"/>
    <w:rsid w:val="002A70E5"/>
    <w:rsid w:val="002A72E2"/>
    <w:rsid w:val="002A78A0"/>
    <w:rsid w:val="002A7D1C"/>
    <w:rsid w:val="002B1FBF"/>
    <w:rsid w:val="002B2E2E"/>
    <w:rsid w:val="002B2E83"/>
    <w:rsid w:val="002B33CF"/>
    <w:rsid w:val="002B3989"/>
    <w:rsid w:val="002B3C59"/>
    <w:rsid w:val="002B4D1A"/>
    <w:rsid w:val="002B4DC5"/>
    <w:rsid w:val="002B552D"/>
    <w:rsid w:val="002B5B4C"/>
    <w:rsid w:val="002B5CE6"/>
    <w:rsid w:val="002B6132"/>
    <w:rsid w:val="002B65BF"/>
    <w:rsid w:val="002B68B3"/>
    <w:rsid w:val="002C05C7"/>
    <w:rsid w:val="002C05C8"/>
    <w:rsid w:val="002C0C7D"/>
    <w:rsid w:val="002C10C7"/>
    <w:rsid w:val="002C14AF"/>
    <w:rsid w:val="002C16B9"/>
    <w:rsid w:val="002C1A58"/>
    <w:rsid w:val="002C1ADF"/>
    <w:rsid w:val="002C1E73"/>
    <w:rsid w:val="002C22A6"/>
    <w:rsid w:val="002C2826"/>
    <w:rsid w:val="002C2A85"/>
    <w:rsid w:val="002C3689"/>
    <w:rsid w:val="002C3A27"/>
    <w:rsid w:val="002C4112"/>
    <w:rsid w:val="002C4532"/>
    <w:rsid w:val="002C522A"/>
    <w:rsid w:val="002C5504"/>
    <w:rsid w:val="002C639C"/>
    <w:rsid w:val="002C761F"/>
    <w:rsid w:val="002C767B"/>
    <w:rsid w:val="002D173F"/>
    <w:rsid w:val="002D1C44"/>
    <w:rsid w:val="002D20B5"/>
    <w:rsid w:val="002D2791"/>
    <w:rsid w:val="002D2A54"/>
    <w:rsid w:val="002D357A"/>
    <w:rsid w:val="002D3604"/>
    <w:rsid w:val="002D4946"/>
    <w:rsid w:val="002D4A5E"/>
    <w:rsid w:val="002D4A74"/>
    <w:rsid w:val="002D52CB"/>
    <w:rsid w:val="002D5697"/>
    <w:rsid w:val="002D56F4"/>
    <w:rsid w:val="002D5FDC"/>
    <w:rsid w:val="002D61EA"/>
    <w:rsid w:val="002D6AEA"/>
    <w:rsid w:val="002D6DF7"/>
    <w:rsid w:val="002D74D2"/>
    <w:rsid w:val="002D7753"/>
    <w:rsid w:val="002D7798"/>
    <w:rsid w:val="002D7C83"/>
    <w:rsid w:val="002E03B5"/>
    <w:rsid w:val="002E06DC"/>
    <w:rsid w:val="002E0D32"/>
    <w:rsid w:val="002E1701"/>
    <w:rsid w:val="002E1B83"/>
    <w:rsid w:val="002E1CE9"/>
    <w:rsid w:val="002E1E2A"/>
    <w:rsid w:val="002E29C0"/>
    <w:rsid w:val="002E33C5"/>
    <w:rsid w:val="002E3E89"/>
    <w:rsid w:val="002E40BB"/>
    <w:rsid w:val="002E43C2"/>
    <w:rsid w:val="002E4CCD"/>
    <w:rsid w:val="002E4EDA"/>
    <w:rsid w:val="002E5918"/>
    <w:rsid w:val="002E5B04"/>
    <w:rsid w:val="002E5B40"/>
    <w:rsid w:val="002E5C95"/>
    <w:rsid w:val="002E5E4D"/>
    <w:rsid w:val="002E6190"/>
    <w:rsid w:val="002E7724"/>
    <w:rsid w:val="002E7749"/>
    <w:rsid w:val="002E7F3E"/>
    <w:rsid w:val="002F012B"/>
    <w:rsid w:val="002F051A"/>
    <w:rsid w:val="002F0F9D"/>
    <w:rsid w:val="002F126A"/>
    <w:rsid w:val="002F1624"/>
    <w:rsid w:val="002F17AE"/>
    <w:rsid w:val="002F17C3"/>
    <w:rsid w:val="002F208E"/>
    <w:rsid w:val="002F2391"/>
    <w:rsid w:val="002F25BA"/>
    <w:rsid w:val="002F2A9A"/>
    <w:rsid w:val="002F3078"/>
    <w:rsid w:val="002F3472"/>
    <w:rsid w:val="002F425C"/>
    <w:rsid w:val="002F436A"/>
    <w:rsid w:val="002F4896"/>
    <w:rsid w:val="002F5211"/>
    <w:rsid w:val="002F5A0C"/>
    <w:rsid w:val="002F6182"/>
    <w:rsid w:val="002F646F"/>
    <w:rsid w:val="002F6531"/>
    <w:rsid w:val="002F6626"/>
    <w:rsid w:val="002F7043"/>
    <w:rsid w:val="002F7961"/>
    <w:rsid w:val="00300A06"/>
    <w:rsid w:val="00300E78"/>
    <w:rsid w:val="00301A1F"/>
    <w:rsid w:val="003027E4"/>
    <w:rsid w:val="00304102"/>
    <w:rsid w:val="003042E9"/>
    <w:rsid w:val="0030431C"/>
    <w:rsid w:val="00304A40"/>
    <w:rsid w:val="003050BF"/>
    <w:rsid w:val="003059E3"/>
    <w:rsid w:val="00306775"/>
    <w:rsid w:val="0030727F"/>
    <w:rsid w:val="0030765F"/>
    <w:rsid w:val="00310762"/>
    <w:rsid w:val="00311B87"/>
    <w:rsid w:val="003120B4"/>
    <w:rsid w:val="003129B8"/>
    <w:rsid w:val="00312AAA"/>
    <w:rsid w:val="00312D39"/>
    <w:rsid w:val="00315D83"/>
    <w:rsid w:val="00315D8B"/>
    <w:rsid w:val="003168D3"/>
    <w:rsid w:val="003169AE"/>
    <w:rsid w:val="00316CB2"/>
    <w:rsid w:val="00317028"/>
    <w:rsid w:val="0032097E"/>
    <w:rsid w:val="00320E52"/>
    <w:rsid w:val="00320E7B"/>
    <w:rsid w:val="0032135F"/>
    <w:rsid w:val="00321A7B"/>
    <w:rsid w:val="00321C84"/>
    <w:rsid w:val="0032294E"/>
    <w:rsid w:val="00322995"/>
    <w:rsid w:val="00324305"/>
    <w:rsid w:val="003245EB"/>
    <w:rsid w:val="00324865"/>
    <w:rsid w:val="003249A7"/>
    <w:rsid w:val="00325346"/>
    <w:rsid w:val="00325822"/>
    <w:rsid w:val="003263A2"/>
    <w:rsid w:val="00326772"/>
    <w:rsid w:val="00327047"/>
    <w:rsid w:val="0032713A"/>
    <w:rsid w:val="003272C9"/>
    <w:rsid w:val="00327804"/>
    <w:rsid w:val="00327A42"/>
    <w:rsid w:val="00327D92"/>
    <w:rsid w:val="00327FC2"/>
    <w:rsid w:val="00330E7C"/>
    <w:rsid w:val="003312AB"/>
    <w:rsid w:val="003313CF"/>
    <w:rsid w:val="00331849"/>
    <w:rsid w:val="00331968"/>
    <w:rsid w:val="00331AED"/>
    <w:rsid w:val="00332BD5"/>
    <w:rsid w:val="003331D8"/>
    <w:rsid w:val="0033321F"/>
    <w:rsid w:val="00333FD5"/>
    <w:rsid w:val="00334CB5"/>
    <w:rsid w:val="003350A0"/>
    <w:rsid w:val="003351D8"/>
    <w:rsid w:val="00335A1B"/>
    <w:rsid w:val="00335AC4"/>
    <w:rsid w:val="00335BA4"/>
    <w:rsid w:val="00336313"/>
    <w:rsid w:val="00337242"/>
    <w:rsid w:val="00340345"/>
    <w:rsid w:val="0034111F"/>
    <w:rsid w:val="00342235"/>
    <w:rsid w:val="00342CF8"/>
    <w:rsid w:val="003430B0"/>
    <w:rsid w:val="00343622"/>
    <w:rsid w:val="003436EF"/>
    <w:rsid w:val="00344543"/>
    <w:rsid w:val="003447AA"/>
    <w:rsid w:val="003449BA"/>
    <w:rsid w:val="0034528F"/>
    <w:rsid w:val="003453B6"/>
    <w:rsid w:val="00345580"/>
    <w:rsid w:val="003458C8"/>
    <w:rsid w:val="00346349"/>
    <w:rsid w:val="00346925"/>
    <w:rsid w:val="0034737A"/>
    <w:rsid w:val="00347402"/>
    <w:rsid w:val="00347792"/>
    <w:rsid w:val="00350D2F"/>
    <w:rsid w:val="003513A1"/>
    <w:rsid w:val="00352224"/>
    <w:rsid w:val="003522ED"/>
    <w:rsid w:val="0035267A"/>
    <w:rsid w:val="00352682"/>
    <w:rsid w:val="003527FE"/>
    <w:rsid w:val="00352986"/>
    <w:rsid w:val="00353646"/>
    <w:rsid w:val="00353AC6"/>
    <w:rsid w:val="00354475"/>
    <w:rsid w:val="00354B6B"/>
    <w:rsid w:val="00354D16"/>
    <w:rsid w:val="0035593A"/>
    <w:rsid w:val="00355C88"/>
    <w:rsid w:val="00356722"/>
    <w:rsid w:val="00356DFB"/>
    <w:rsid w:val="00357555"/>
    <w:rsid w:val="00357670"/>
    <w:rsid w:val="0035773E"/>
    <w:rsid w:val="00357CC1"/>
    <w:rsid w:val="00357DAE"/>
    <w:rsid w:val="003607B5"/>
    <w:rsid w:val="00360A35"/>
    <w:rsid w:val="0036138F"/>
    <w:rsid w:val="003613A0"/>
    <w:rsid w:val="00361549"/>
    <w:rsid w:val="00361645"/>
    <w:rsid w:val="00361B76"/>
    <w:rsid w:val="00363423"/>
    <w:rsid w:val="00363CEA"/>
    <w:rsid w:val="00364416"/>
    <w:rsid w:val="00364522"/>
    <w:rsid w:val="0036475B"/>
    <w:rsid w:val="00364EDE"/>
    <w:rsid w:val="0036548A"/>
    <w:rsid w:val="00365B41"/>
    <w:rsid w:val="00366023"/>
    <w:rsid w:val="0036621F"/>
    <w:rsid w:val="00366504"/>
    <w:rsid w:val="003667D2"/>
    <w:rsid w:val="003668C2"/>
    <w:rsid w:val="00366A39"/>
    <w:rsid w:val="003670B6"/>
    <w:rsid w:val="0036715F"/>
    <w:rsid w:val="003672FD"/>
    <w:rsid w:val="003702ED"/>
    <w:rsid w:val="00370F99"/>
    <w:rsid w:val="003714A1"/>
    <w:rsid w:val="003719BB"/>
    <w:rsid w:val="00371E35"/>
    <w:rsid w:val="00372260"/>
    <w:rsid w:val="00372F84"/>
    <w:rsid w:val="00372F86"/>
    <w:rsid w:val="00373575"/>
    <w:rsid w:val="00375BCD"/>
    <w:rsid w:val="0037605E"/>
    <w:rsid w:val="00376DE7"/>
    <w:rsid w:val="0037728D"/>
    <w:rsid w:val="003776AE"/>
    <w:rsid w:val="00377A74"/>
    <w:rsid w:val="00377F64"/>
    <w:rsid w:val="003803D9"/>
    <w:rsid w:val="0038087C"/>
    <w:rsid w:val="003813CF"/>
    <w:rsid w:val="00382C05"/>
    <w:rsid w:val="00383064"/>
    <w:rsid w:val="0038366A"/>
    <w:rsid w:val="00383AE2"/>
    <w:rsid w:val="00383F3B"/>
    <w:rsid w:val="00384086"/>
    <w:rsid w:val="003840D2"/>
    <w:rsid w:val="0038496E"/>
    <w:rsid w:val="00384F2D"/>
    <w:rsid w:val="00386649"/>
    <w:rsid w:val="00386C5B"/>
    <w:rsid w:val="00386CEF"/>
    <w:rsid w:val="00386E95"/>
    <w:rsid w:val="003873EA"/>
    <w:rsid w:val="00387E20"/>
    <w:rsid w:val="003900B5"/>
    <w:rsid w:val="00390793"/>
    <w:rsid w:val="00390B3E"/>
    <w:rsid w:val="00390B5B"/>
    <w:rsid w:val="0039117D"/>
    <w:rsid w:val="00392132"/>
    <w:rsid w:val="0039406F"/>
    <w:rsid w:val="00394075"/>
    <w:rsid w:val="003944A9"/>
    <w:rsid w:val="00394C93"/>
    <w:rsid w:val="003953F5"/>
    <w:rsid w:val="0039599C"/>
    <w:rsid w:val="00396342"/>
    <w:rsid w:val="003978E4"/>
    <w:rsid w:val="00397A2B"/>
    <w:rsid w:val="003A08A8"/>
    <w:rsid w:val="003A090A"/>
    <w:rsid w:val="003A0C77"/>
    <w:rsid w:val="003A0D70"/>
    <w:rsid w:val="003A1796"/>
    <w:rsid w:val="003A2260"/>
    <w:rsid w:val="003A2958"/>
    <w:rsid w:val="003A3019"/>
    <w:rsid w:val="003A33AA"/>
    <w:rsid w:val="003A466F"/>
    <w:rsid w:val="003A4E77"/>
    <w:rsid w:val="003A4EDA"/>
    <w:rsid w:val="003A5345"/>
    <w:rsid w:val="003A5666"/>
    <w:rsid w:val="003A57B1"/>
    <w:rsid w:val="003A580A"/>
    <w:rsid w:val="003A6968"/>
    <w:rsid w:val="003A6AB6"/>
    <w:rsid w:val="003A6E90"/>
    <w:rsid w:val="003A7955"/>
    <w:rsid w:val="003A7B4F"/>
    <w:rsid w:val="003B15A3"/>
    <w:rsid w:val="003B1E1B"/>
    <w:rsid w:val="003B2F28"/>
    <w:rsid w:val="003B3561"/>
    <w:rsid w:val="003B41BB"/>
    <w:rsid w:val="003B4E5A"/>
    <w:rsid w:val="003B59FD"/>
    <w:rsid w:val="003B5A19"/>
    <w:rsid w:val="003B5C98"/>
    <w:rsid w:val="003B6D57"/>
    <w:rsid w:val="003B7015"/>
    <w:rsid w:val="003B7572"/>
    <w:rsid w:val="003B7885"/>
    <w:rsid w:val="003C0298"/>
    <w:rsid w:val="003C1855"/>
    <w:rsid w:val="003C1C26"/>
    <w:rsid w:val="003C1E36"/>
    <w:rsid w:val="003C2094"/>
    <w:rsid w:val="003C219D"/>
    <w:rsid w:val="003C27DD"/>
    <w:rsid w:val="003C28D1"/>
    <w:rsid w:val="003C2B89"/>
    <w:rsid w:val="003C3375"/>
    <w:rsid w:val="003C3656"/>
    <w:rsid w:val="003C45C6"/>
    <w:rsid w:val="003C4ABE"/>
    <w:rsid w:val="003C5306"/>
    <w:rsid w:val="003C5387"/>
    <w:rsid w:val="003C5BB9"/>
    <w:rsid w:val="003C60D9"/>
    <w:rsid w:val="003C6662"/>
    <w:rsid w:val="003C729A"/>
    <w:rsid w:val="003D0059"/>
    <w:rsid w:val="003D04D8"/>
    <w:rsid w:val="003D0B84"/>
    <w:rsid w:val="003D0D5B"/>
    <w:rsid w:val="003D13B4"/>
    <w:rsid w:val="003D16B6"/>
    <w:rsid w:val="003D1D4D"/>
    <w:rsid w:val="003D2109"/>
    <w:rsid w:val="003D3B55"/>
    <w:rsid w:val="003D42AF"/>
    <w:rsid w:val="003D5231"/>
    <w:rsid w:val="003D583E"/>
    <w:rsid w:val="003D5A1A"/>
    <w:rsid w:val="003D6ABC"/>
    <w:rsid w:val="003D75ED"/>
    <w:rsid w:val="003D7DC9"/>
    <w:rsid w:val="003E08EA"/>
    <w:rsid w:val="003E0D99"/>
    <w:rsid w:val="003E0F99"/>
    <w:rsid w:val="003E1358"/>
    <w:rsid w:val="003E1594"/>
    <w:rsid w:val="003E1753"/>
    <w:rsid w:val="003E1DC8"/>
    <w:rsid w:val="003E27D4"/>
    <w:rsid w:val="003E27D5"/>
    <w:rsid w:val="003E3495"/>
    <w:rsid w:val="003E3D32"/>
    <w:rsid w:val="003E409B"/>
    <w:rsid w:val="003E420C"/>
    <w:rsid w:val="003E554A"/>
    <w:rsid w:val="003E5630"/>
    <w:rsid w:val="003E56F5"/>
    <w:rsid w:val="003E5743"/>
    <w:rsid w:val="003E65B3"/>
    <w:rsid w:val="003E6CA5"/>
    <w:rsid w:val="003E70FF"/>
    <w:rsid w:val="003E7DF9"/>
    <w:rsid w:val="003F0087"/>
    <w:rsid w:val="003F03C3"/>
    <w:rsid w:val="003F04FA"/>
    <w:rsid w:val="003F10AA"/>
    <w:rsid w:val="003F172E"/>
    <w:rsid w:val="003F1A22"/>
    <w:rsid w:val="003F20B8"/>
    <w:rsid w:val="003F22F9"/>
    <w:rsid w:val="003F2DF2"/>
    <w:rsid w:val="003F3425"/>
    <w:rsid w:val="003F3A93"/>
    <w:rsid w:val="003F6A0B"/>
    <w:rsid w:val="003F742E"/>
    <w:rsid w:val="003F74ED"/>
    <w:rsid w:val="003F7A64"/>
    <w:rsid w:val="00400411"/>
    <w:rsid w:val="00400FD2"/>
    <w:rsid w:val="00401BFC"/>
    <w:rsid w:val="00402D8B"/>
    <w:rsid w:val="00402DD1"/>
    <w:rsid w:val="00403359"/>
    <w:rsid w:val="00403DA9"/>
    <w:rsid w:val="00404526"/>
    <w:rsid w:val="00404A86"/>
    <w:rsid w:val="00404CCE"/>
    <w:rsid w:val="00404F00"/>
    <w:rsid w:val="00405082"/>
    <w:rsid w:val="00405B6C"/>
    <w:rsid w:val="00405BD1"/>
    <w:rsid w:val="00405BFE"/>
    <w:rsid w:val="004060E1"/>
    <w:rsid w:val="004066C2"/>
    <w:rsid w:val="00406FFC"/>
    <w:rsid w:val="00407092"/>
    <w:rsid w:val="004074B4"/>
    <w:rsid w:val="00407CCD"/>
    <w:rsid w:val="004103F6"/>
    <w:rsid w:val="00410D21"/>
    <w:rsid w:val="004114A6"/>
    <w:rsid w:val="00412B9C"/>
    <w:rsid w:val="00413043"/>
    <w:rsid w:val="00413350"/>
    <w:rsid w:val="00413D13"/>
    <w:rsid w:val="004142E8"/>
    <w:rsid w:val="00414343"/>
    <w:rsid w:val="004146DD"/>
    <w:rsid w:val="004149FA"/>
    <w:rsid w:val="00414E79"/>
    <w:rsid w:val="00414F5B"/>
    <w:rsid w:val="004153D0"/>
    <w:rsid w:val="00415485"/>
    <w:rsid w:val="00415587"/>
    <w:rsid w:val="00415657"/>
    <w:rsid w:val="00415758"/>
    <w:rsid w:val="0041642E"/>
    <w:rsid w:val="0041719E"/>
    <w:rsid w:val="00417357"/>
    <w:rsid w:val="0041737B"/>
    <w:rsid w:val="004203FC"/>
    <w:rsid w:val="00421141"/>
    <w:rsid w:val="004216F9"/>
    <w:rsid w:val="004217F9"/>
    <w:rsid w:val="00421DEC"/>
    <w:rsid w:val="0042253E"/>
    <w:rsid w:val="004227D7"/>
    <w:rsid w:val="0042369E"/>
    <w:rsid w:val="004238A1"/>
    <w:rsid w:val="00423C21"/>
    <w:rsid w:val="004259BC"/>
    <w:rsid w:val="00425A3F"/>
    <w:rsid w:val="00425AD3"/>
    <w:rsid w:val="0042600E"/>
    <w:rsid w:val="00427BC7"/>
    <w:rsid w:val="0043067C"/>
    <w:rsid w:val="00431ABE"/>
    <w:rsid w:val="004320A2"/>
    <w:rsid w:val="004321BC"/>
    <w:rsid w:val="004332C8"/>
    <w:rsid w:val="004333E8"/>
    <w:rsid w:val="0043346C"/>
    <w:rsid w:val="004336EC"/>
    <w:rsid w:val="004346E3"/>
    <w:rsid w:val="00434BCD"/>
    <w:rsid w:val="0043535F"/>
    <w:rsid w:val="004354CB"/>
    <w:rsid w:val="004358D9"/>
    <w:rsid w:val="00435905"/>
    <w:rsid w:val="00435ACA"/>
    <w:rsid w:val="00435BC7"/>
    <w:rsid w:val="00436109"/>
    <w:rsid w:val="004371B7"/>
    <w:rsid w:val="004376C9"/>
    <w:rsid w:val="00437F55"/>
    <w:rsid w:val="00440109"/>
    <w:rsid w:val="004408DC"/>
    <w:rsid w:val="004409A9"/>
    <w:rsid w:val="00440A2C"/>
    <w:rsid w:val="00441377"/>
    <w:rsid w:val="004416B7"/>
    <w:rsid w:val="00441860"/>
    <w:rsid w:val="00441ECB"/>
    <w:rsid w:val="00442362"/>
    <w:rsid w:val="00442387"/>
    <w:rsid w:val="004429EC"/>
    <w:rsid w:val="00442B3F"/>
    <w:rsid w:val="00442E2B"/>
    <w:rsid w:val="004432E1"/>
    <w:rsid w:val="00443FB2"/>
    <w:rsid w:val="00444D84"/>
    <w:rsid w:val="00444EF3"/>
    <w:rsid w:val="0044519E"/>
    <w:rsid w:val="00445BEF"/>
    <w:rsid w:val="00446BEC"/>
    <w:rsid w:val="00446E3D"/>
    <w:rsid w:val="004470EE"/>
    <w:rsid w:val="004471E3"/>
    <w:rsid w:val="004478CB"/>
    <w:rsid w:val="00447C37"/>
    <w:rsid w:val="0045021D"/>
    <w:rsid w:val="00450EA0"/>
    <w:rsid w:val="004510D6"/>
    <w:rsid w:val="00451538"/>
    <w:rsid w:val="00451717"/>
    <w:rsid w:val="00451EA3"/>
    <w:rsid w:val="00452445"/>
    <w:rsid w:val="00452BD2"/>
    <w:rsid w:val="0045306C"/>
    <w:rsid w:val="00453E9C"/>
    <w:rsid w:val="004548FF"/>
    <w:rsid w:val="00454A12"/>
    <w:rsid w:val="00454C87"/>
    <w:rsid w:val="00455963"/>
    <w:rsid w:val="00455AB5"/>
    <w:rsid w:val="00455E39"/>
    <w:rsid w:val="004566DC"/>
    <w:rsid w:val="00456CE6"/>
    <w:rsid w:val="00457236"/>
    <w:rsid w:val="004573FD"/>
    <w:rsid w:val="00457B1E"/>
    <w:rsid w:val="00460047"/>
    <w:rsid w:val="0046008A"/>
    <w:rsid w:val="00460143"/>
    <w:rsid w:val="00460753"/>
    <w:rsid w:val="00460AF0"/>
    <w:rsid w:val="00460BD1"/>
    <w:rsid w:val="00461801"/>
    <w:rsid w:val="00462168"/>
    <w:rsid w:val="00462D8B"/>
    <w:rsid w:val="00463566"/>
    <w:rsid w:val="00463CB7"/>
    <w:rsid w:val="00463DA6"/>
    <w:rsid w:val="00464C6A"/>
    <w:rsid w:val="00464F5D"/>
    <w:rsid w:val="00465946"/>
    <w:rsid w:val="00465D61"/>
    <w:rsid w:val="00465E9A"/>
    <w:rsid w:val="00465FC3"/>
    <w:rsid w:val="00466034"/>
    <w:rsid w:val="0046625E"/>
    <w:rsid w:val="00466868"/>
    <w:rsid w:val="00466D61"/>
    <w:rsid w:val="0046771D"/>
    <w:rsid w:val="00467C31"/>
    <w:rsid w:val="004704BC"/>
    <w:rsid w:val="00470F48"/>
    <w:rsid w:val="00471810"/>
    <w:rsid w:val="00471C59"/>
    <w:rsid w:val="00471EA5"/>
    <w:rsid w:val="004720A0"/>
    <w:rsid w:val="00474272"/>
    <w:rsid w:val="00474C4D"/>
    <w:rsid w:val="00474C75"/>
    <w:rsid w:val="00474F21"/>
    <w:rsid w:val="004754D3"/>
    <w:rsid w:val="00475C96"/>
    <w:rsid w:val="00476514"/>
    <w:rsid w:val="00477352"/>
    <w:rsid w:val="0047798F"/>
    <w:rsid w:val="004805A5"/>
    <w:rsid w:val="00482179"/>
    <w:rsid w:val="00482DA3"/>
    <w:rsid w:val="0048331B"/>
    <w:rsid w:val="004846F6"/>
    <w:rsid w:val="00484F49"/>
    <w:rsid w:val="00485D61"/>
    <w:rsid w:val="00485FB8"/>
    <w:rsid w:val="00487962"/>
    <w:rsid w:val="0048796C"/>
    <w:rsid w:val="00490B3C"/>
    <w:rsid w:val="00490D81"/>
    <w:rsid w:val="00491643"/>
    <w:rsid w:val="004920BD"/>
    <w:rsid w:val="0049286F"/>
    <w:rsid w:val="00492BAD"/>
    <w:rsid w:val="00493786"/>
    <w:rsid w:val="00493BDA"/>
    <w:rsid w:val="00494996"/>
    <w:rsid w:val="004952CD"/>
    <w:rsid w:val="0049540D"/>
    <w:rsid w:val="00496932"/>
    <w:rsid w:val="00497207"/>
    <w:rsid w:val="00497AC5"/>
    <w:rsid w:val="00497D12"/>
    <w:rsid w:val="004A00E3"/>
    <w:rsid w:val="004A0884"/>
    <w:rsid w:val="004A0ED4"/>
    <w:rsid w:val="004A19B6"/>
    <w:rsid w:val="004A24A2"/>
    <w:rsid w:val="004A3740"/>
    <w:rsid w:val="004A37D8"/>
    <w:rsid w:val="004A4F54"/>
    <w:rsid w:val="004A536C"/>
    <w:rsid w:val="004A662A"/>
    <w:rsid w:val="004A685F"/>
    <w:rsid w:val="004A6BE8"/>
    <w:rsid w:val="004A6C4E"/>
    <w:rsid w:val="004B07FC"/>
    <w:rsid w:val="004B0E01"/>
    <w:rsid w:val="004B1168"/>
    <w:rsid w:val="004B177A"/>
    <w:rsid w:val="004B19CA"/>
    <w:rsid w:val="004B2234"/>
    <w:rsid w:val="004B2871"/>
    <w:rsid w:val="004B3289"/>
    <w:rsid w:val="004B355B"/>
    <w:rsid w:val="004B3568"/>
    <w:rsid w:val="004B4776"/>
    <w:rsid w:val="004B4832"/>
    <w:rsid w:val="004B487F"/>
    <w:rsid w:val="004B4DB6"/>
    <w:rsid w:val="004B52CF"/>
    <w:rsid w:val="004B61AE"/>
    <w:rsid w:val="004B6441"/>
    <w:rsid w:val="004B6806"/>
    <w:rsid w:val="004B698C"/>
    <w:rsid w:val="004B6BDA"/>
    <w:rsid w:val="004B73C4"/>
    <w:rsid w:val="004B7576"/>
    <w:rsid w:val="004B76AB"/>
    <w:rsid w:val="004B79E8"/>
    <w:rsid w:val="004B7AC2"/>
    <w:rsid w:val="004B7BF4"/>
    <w:rsid w:val="004C0244"/>
    <w:rsid w:val="004C06C6"/>
    <w:rsid w:val="004C06FC"/>
    <w:rsid w:val="004C0BC9"/>
    <w:rsid w:val="004C120B"/>
    <w:rsid w:val="004C2467"/>
    <w:rsid w:val="004C2737"/>
    <w:rsid w:val="004C29D8"/>
    <w:rsid w:val="004C4157"/>
    <w:rsid w:val="004C46E8"/>
    <w:rsid w:val="004C47E3"/>
    <w:rsid w:val="004C4D1C"/>
    <w:rsid w:val="004C4DD6"/>
    <w:rsid w:val="004C5582"/>
    <w:rsid w:val="004C55D7"/>
    <w:rsid w:val="004C5A61"/>
    <w:rsid w:val="004C5F60"/>
    <w:rsid w:val="004C67E7"/>
    <w:rsid w:val="004C6BD9"/>
    <w:rsid w:val="004C763C"/>
    <w:rsid w:val="004D01E9"/>
    <w:rsid w:val="004D04A8"/>
    <w:rsid w:val="004D0847"/>
    <w:rsid w:val="004D2210"/>
    <w:rsid w:val="004D2341"/>
    <w:rsid w:val="004D3236"/>
    <w:rsid w:val="004D365D"/>
    <w:rsid w:val="004D38B7"/>
    <w:rsid w:val="004D402C"/>
    <w:rsid w:val="004D42EE"/>
    <w:rsid w:val="004D471B"/>
    <w:rsid w:val="004D480E"/>
    <w:rsid w:val="004D5117"/>
    <w:rsid w:val="004D53AE"/>
    <w:rsid w:val="004D56F4"/>
    <w:rsid w:val="004D6145"/>
    <w:rsid w:val="004E05F5"/>
    <w:rsid w:val="004E0A46"/>
    <w:rsid w:val="004E0AB4"/>
    <w:rsid w:val="004E1218"/>
    <w:rsid w:val="004E1AE5"/>
    <w:rsid w:val="004E1C68"/>
    <w:rsid w:val="004E2219"/>
    <w:rsid w:val="004E25F5"/>
    <w:rsid w:val="004E2DA5"/>
    <w:rsid w:val="004E2FFF"/>
    <w:rsid w:val="004E32F7"/>
    <w:rsid w:val="004E3A2B"/>
    <w:rsid w:val="004E3D75"/>
    <w:rsid w:val="004E3D88"/>
    <w:rsid w:val="004E3E92"/>
    <w:rsid w:val="004E50B9"/>
    <w:rsid w:val="004E561D"/>
    <w:rsid w:val="004E5CB1"/>
    <w:rsid w:val="004E6A6E"/>
    <w:rsid w:val="004F07A6"/>
    <w:rsid w:val="004F1330"/>
    <w:rsid w:val="004F25E1"/>
    <w:rsid w:val="004F2A83"/>
    <w:rsid w:val="004F2FC3"/>
    <w:rsid w:val="004F2FCE"/>
    <w:rsid w:val="004F3751"/>
    <w:rsid w:val="004F38D0"/>
    <w:rsid w:val="004F4038"/>
    <w:rsid w:val="004F4192"/>
    <w:rsid w:val="004F4308"/>
    <w:rsid w:val="004F4701"/>
    <w:rsid w:val="004F4AE5"/>
    <w:rsid w:val="004F596F"/>
    <w:rsid w:val="004F5AB2"/>
    <w:rsid w:val="004F5B88"/>
    <w:rsid w:val="004F61A7"/>
    <w:rsid w:val="004F689C"/>
    <w:rsid w:val="004F69EF"/>
    <w:rsid w:val="004F6BBA"/>
    <w:rsid w:val="004F6DCD"/>
    <w:rsid w:val="004F6F2A"/>
    <w:rsid w:val="004F73AA"/>
    <w:rsid w:val="004F75F9"/>
    <w:rsid w:val="004F7CCC"/>
    <w:rsid w:val="005008B5"/>
    <w:rsid w:val="00500B14"/>
    <w:rsid w:val="00500D76"/>
    <w:rsid w:val="00500EAC"/>
    <w:rsid w:val="00500EED"/>
    <w:rsid w:val="00501117"/>
    <w:rsid w:val="00501CD2"/>
    <w:rsid w:val="00502525"/>
    <w:rsid w:val="00503EB2"/>
    <w:rsid w:val="00504330"/>
    <w:rsid w:val="0050589E"/>
    <w:rsid w:val="00506C6F"/>
    <w:rsid w:val="005070DB"/>
    <w:rsid w:val="005108A6"/>
    <w:rsid w:val="00510B41"/>
    <w:rsid w:val="00511335"/>
    <w:rsid w:val="00511B48"/>
    <w:rsid w:val="00511BF6"/>
    <w:rsid w:val="00511D35"/>
    <w:rsid w:val="00513676"/>
    <w:rsid w:val="005136CF"/>
    <w:rsid w:val="00513B25"/>
    <w:rsid w:val="00514AF7"/>
    <w:rsid w:val="00514BB1"/>
    <w:rsid w:val="00515A33"/>
    <w:rsid w:val="00515B07"/>
    <w:rsid w:val="00516617"/>
    <w:rsid w:val="00517100"/>
    <w:rsid w:val="00517276"/>
    <w:rsid w:val="00517458"/>
    <w:rsid w:val="005175AC"/>
    <w:rsid w:val="0052004B"/>
    <w:rsid w:val="0052018C"/>
    <w:rsid w:val="00520550"/>
    <w:rsid w:val="005206CF"/>
    <w:rsid w:val="00520AA8"/>
    <w:rsid w:val="00520ED6"/>
    <w:rsid w:val="00521A49"/>
    <w:rsid w:val="00521E1E"/>
    <w:rsid w:val="00522199"/>
    <w:rsid w:val="005229CA"/>
    <w:rsid w:val="00522A9A"/>
    <w:rsid w:val="00522EB4"/>
    <w:rsid w:val="00522F97"/>
    <w:rsid w:val="005234DA"/>
    <w:rsid w:val="005240D6"/>
    <w:rsid w:val="00524151"/>
    <w:rsid w:val="0052464F"/>
    <w:rsid w:val="00524A68"/>
    <w:rsid w:val="00524A78"/>
    <w:rsid w:val="00524AF1"/>
    <w:rsid w:val="00525A40"/>
    <w:rsid w:val="00525CA3"/>
    <w:rsid w:val="00526401"/>
    <w:rsid w:val="00526869"/>
    <w:rsid w:val="00526A18"/>
    <w:rsid w:val="005276BF"/>
    <w:rsid w:val="00527B50"/>
    <w:rsid w:val="00527BAF"/>
    <w:rsid w:val="00527D5F"/>
    <w:rsid w:val="005302A2"/>
    <w:rsid w:val="00530999"/>
    <w:rsid w:val="00530B5F"/>
    <w:rsid w:val="00530B7E"/>
    <w:rsid w:val="00530E2C"/>
    <w:rsid w:val="00530E31"/>
    <w:rsid w:val="0053199C"/>
    <w:rsid w:val="00532E9C"/>
    <w:rsid w:val="0053300F"/>
    <w:rsid w:val="0053378D"/>
    <w:rsid w:val="005337E7"/>
    <w:rsid w:val="005338B2"/>
    <w:rsid w:val="00533984"/>
    <w:rsid w:val="00533AF0"/>
    <w:rsid w:val="00533FBD"/>
    <w:rsid w:val="00534508"/>
    <w:rsid w:val="005346B9"/>
    <w:rsid w:val="00534837"/>
    <w:rsid w:val="00534B99"/>
    <w:rsid w:val="00534C19"/>
    <w:rsid w:val="00534DCE"/>
    <w:rsid w:val="005353AA"/>
    <w:rsid w:val="00535CA0"/>
    <w:rsid w:val="00536319"/>
    <w:rsid w:val="00536541"/>
    <w:rsid w:val="00536562"/>
    <w:rsid w:val="0053685D"/>
    <w:rsid w:val="00536E69"/>
    <w:rsid w:val="00536F6F"/>
    <w:rsid w:val="00537131"/>
    <w:rsid w:val="00537568"/>
    <w:rsid w:val="00537830"/>
    <w:rsid w:val="005379E6"/>
    <w:rsid w:val="00540BFF"/>
    <w:rsid w:val="00540F7F"/>
    <w:rsid w:val="005420A0"/>
    <w:rsid w:val="00543C29"/>
    <w:rsid w:val="0054416B"/>
    <w:rsid w:val="00544347"/>
    <w:rsid w:val="0054570E"/>
    <w:rsid w:val="00545AFF"/>
    <w:rsid w:val="00546256"/>
    <w:rsid w:val="005462FC"/>
    <w:rsid w:val="00546750"/>
    <w:rsid w:val="005469E9"/>
    <w:rsid w:val="005474EE"/>
    <w:rsid w:val="00547BD8"/>
    <w:rsid w:val="005507EE"/>
    <w:rsid w:val="00550DA0"/>
    <w:rsid w:val="00550FC0"/>
    <w:rsid w:val="00551641"/>
    <w:rsid w:val="00551F82"/>
    <w:rsid w:val="00553891"/>
    <w:rsid w:val="00554554"/>
    <w:rsid w:val="005545B5"/>
    <w:rsid w:val="00554EAC"/>
    <w:rsid w:val="00555010"/>
    <w:rsid w:val="00555133"/>
    <w:rsid w:val="005554C0"/>
    <w:rsid w:val="00556C3F"/>
    <w:rsid w:val="00556CF5"/>
    <w:rsid w:val="005573F7"/>
    <w:rsid w:val="005574A7"/>
    <w:rsid w:val="00560337"/>
    <w:rsid w:val="00560E39"/>
    <w:rsid w:val="005610C1"/>
    <w:rsid w:val="00561D3A"/>
    <w:rsid w:val="00562C09"/>
    <w:rsid w:val="00562C15"/>
    <w:rsid w:val="00562FA9"/>
    <w:rsid w:val="00564076"/>
    <w:rsid w:val="005640D8"/>
    <w:rsid w:val="00564B89"/>
    <w:rsid w:val="005653EA"/>
    <w:rsid w:val="00565414"/>
    <w:rsid w:val="00565CCA"/>
    <w:rsid w:val="00565F0E"/>
    <w:rsid w:val="00566221"/>
    <w:rsid w:val="00566324"/>
    <w:rsid w:val="00566E44"/>
    <w:rsid w:val="00567334"/>
    <w:rsid w:val="00570230"/>
    <w:rsid w:val="00570536"/>
    <w:rsid w:val="00570AC1"/>
    <w:rsid w:val="005713B8"/>
    <w:rsid w:val="00571937"/>
    <w:rsid w:val="00571E71"/>
    <w:rsid w:val="00572178"/>
    <w:rsid w:val="005721F3"/>
    <w:rsid w:val="00572305"/>
    <w:rsid w:val="00572A2A"/>
    <w:rsid w:val="005731EC"/>
    <w:rsid w:val="00573BA4"/>
    <w:rsid w:val="00574A70"/>
    <w:rsid w:val="00574AF0"/>
    <w:rsid w:val="00574B8B"/>
    <w:rsid w:val="00574CB8"/>
    <w:rsid w:val="005764E4"/>
    <w:rsid w:val="00576ACA"/>
    <w:rsid w:val="00576D9C"/>
    <w:rsid w:val="00576DBF"/>
    <w:rsid w:val="00576E4E"/>
    <w:rsid w:val="00580344"/>
    <w:rsid w:val="0058071A"/>
    <w:rsid w:val="00580A15"/>
    <w:rsid w:val="00581075"/>
    <w:rsid w:val="005811A2"/>
    <w:rsid w:val="005813B4"/>
    <w:rsid w:val="0058149B"/>
    <w:rsid w:val="00581BA6"/>
    <w:rsid w:val="00581C40"/>
    <w:rsid w:val="00582A6F"/>
    <w:rsid w:val="0058398D"/>
    <w:rsid w:val="0058404E"/>
    <w:rsid w:val="00584127"/>
    <w:rsid w:val="005842CB"/>
    <w:rsid w:val="005864EE"/>
    <w:rsid w:val="00586E02"/>
    <w:rsid w:val="0058726F"/>
    <w:rsid w:val="005873A4"/>
    <w:rsid w:val="00587BCD"/>
    <w:rsid w:val="00587FDF"/>
    <w:rsid w:val="005904B7"/>
    <w:rsid w:val="0059054D"/>
    <w:rsid w:val="00591B86"/>
    <w:rsid w:val="005923B8"/>
    <w:rsid w:val="00592E9B"/>
    <w:rsid w:val="00592FC8"/>
    <w:rsid w:val="00593238"/>
    <w:rsid w:val="0059337E"/>
    <w:rsid w:val="005934F7"/>
    <w:rsid w:val="00593906"/>
    <w:rsid w:val="00593BF8"/>
    <w:rsid w:val="00593F2E"/>
    <w:rsid w:val="00593FC2"/>
    <w:rsid w:val="0059415B"/>
    <w:rsid w:val="005945FF"/>
    <w:rsid w:val="00594996"/>
    <w:rsid w:val="00594C41"/>
    <w:rsid w:val="00594DF7"/>
    <w:rsid w:val="0059670E"/>
    <w:rsid w:val="00596BCC"/>
    <w:rsid w:val="00596E48"/>
    <w:rsid w:val="00597429"/>
    <w:rsid w:val="0059758C"/>
    <w:rsid w:val="005A05D8"/>
    <w:rsid w:val="005A151C"/>
    <w:rsid w:val="005A1CD2"/>
    <w:rsid w:val="005A269A"/>
    <w:rsid w:val="005A3509"/>
    <w:rsid w:val="005A37ED"/>
    <w:rsid w:val="005A3E2D"/>
    <w:rsid w:val="005A4564"/>
    <w:rsid w:val="005A4C69"/>
    <w:rsid w:val="005A4EB9"/>
    <w:rsid w:val="005A50A8"/>
    <w:rsid w:val="005A55F2"/>
    <w:rsid w:val="005A5B9F"/>
    <w:rsid w:val="005A7715"/>
    <w:rsid w:val="005A784D"/>
    <w:rsid w:val="005B075F"/>
    <w:rsid w:val="005B0889"/>
    <w:rsid w:val="005B0D78"/>
    <w:rsid w:val="005B12DB"/>
    <w:rsid w:val="005B174F"/>
    <w:rsid w:val="005B25C0"/>
    <w:rsid w:val="005B26D9"/>
    <w:rsid w:val="005B2AA7"/>
    <w:rsid w:val="005B317D"/>
    <w:rsid w:val="005B48B8"/>
    <w:rsid w:val="005B57C6"/>
    <w:rsid w:val="005B58E5"/>
    <w:rsid w:val="005B61E6"/>
    <w:rsid w:val="005B6200"/>
    <w:rsid w:val="005B6D6D"/>
    <w:rsid w:val="005B7242"/>
    <w:rsid w:val="005B771F"/>
    <w:rsid w:val="005B7D8D"/>
    <w:rsid w:val="005C07D8"/>
    <w:rsid w:val="005C0977"/>
    <w:rsid w:val="005C09A0"/>
    <w:rsid w:val="005C0F1A"/>
    <w:rsid w:val="005C11C4"/>
    <w:rsid w:val="005C136D"/>
    <w:rsid w:val="005C20BC"/>
    <w:rsid w:val="005C259B"/>
    <w:rsid w:val="005C357A"/>
    <w:rsid w:val="005C3774"/>
    <w:rsid w:val="005C3C39"/>
    <w:rsid w:val="005C40C8"/>
    <w:rsid w:val="005C5F9C"/>
    <w:rsid w:val="005C635C"/>
    <w:rsid w:val="005C639F"/>
    <w:rsid w:val="005C6A24"/>
    <w:rsid w:val="005C7140"/>
    <w:rsid w:val="005C7AE0"/>
    <w:rsid w:val="005C7BE8"/>
    <w:rsid w:val="005C7DB9"/>
    <w:rsid w:val="005D0060"/>
    <w:rsid w:val="005D0182"/>
    <w:rsid w:val="005D0CD6"/>
    <w:rsid w:val="005D150A"/>
    <w:rsid w:val="005D166B"/>
    <w:rsid w:val="005D1AA7"/>
    <w:rsid w:val="005D1BCB"/>
    <w:rsid w:val="005D2404"/>
    <w:rsid w:val="005D2947"/>
    <w:rsid w:val="005D36F5"/>
    <w:rsid w:val="005D3900"/>
    <w:rsid w:val="005D3E11"/>
    <w:rsid w:val="005D4D54"/>
    <w:rsid w:val="005D5920"/>
    <w:rsid w:val="005D5AAC"/>
    <w:rsid w:val="005D5ED8"/>
    <w:rsid w:val="005D61D3"/>
    <w:rsid w:val="005D61E2"/>
    <w:rsid w:val="005D6DFC"/>
    <w:rsid w:val="005D7FE0"/>
    <w:rsid w:val="005E0217"/>
    <w:rsid w:val="005E0B46"/>
    <w:rsid w:val="005E1328"/>
    <w:rsid w:val="005E1B70"/>
    <w:rsid w:val="005E2552"/>
    <w:rsid w:val="005E35B2"/>
    <w:rsid w:val="005E46F5"/>
    <w:rsid w:val="005E532E"/>
    <w:rsid w:val="005E588A"/>
    <w:rsid w:val="005E5EE3"/>
    <w:rsid w:val="005E60BC"/>
    <w:rsid w:val="005E621E"/>
    <w:rsid w:val="005E67E6"/>
    <w:rsid w:val="005E6E82"/>
    <w:rsid w:val="005E7206"/>
    <w:rsid w:val="005E7303"/>
    <w:rsid w:val="005E7B79"/>
    <w:rsid w:val="005F084B"/>
    <w:rsid w:val="005F08F3"/>
    <w:rsid w:val="005F09AA"/>
    <w:rsid w:val="005F15E2"/>
    <w:rsid w:val="005F2A28"/>
    <w:rsid w:val="005F2E54"/>
    <w:rsid w:val="005F3562"/>
    <w:rsid w:val="005F3A26"/>
    <w:rsid w:val="005F404A"/>
    <w:rsid w:val="005F4BCA"/>
    <w:rsid w:val="005F527F"/>
    <w:rsid w:val="005F5511"/>
    <w:rsid w:val="005F555C"/>
    <w:rsid w:val="005F591D"/>
    <w:rsid w:val="005F5B35"/>
    <w:rsid w:val="005F6D6E"/>
    <w:rsid w:val="005F7236"/>
    <w:rsid w:val="005F74C3"/>
    <w:rsid w:val="005F7597"/>
    <w:rsid w:val="005F761A"/>
    <w:rsid w:val="005F7780"/>
    <w:rsid w:val="005F7E4E"/>
    <w:rsid w:val="005F7F73"/>
    <w:rsid w:val="0060063B"/>
    <w:rsid w:val="00600C07"/>
    <w:rsid w:val="00601156"/>
    <w:rsid w:val="0060127B"/>
    <w:rsid w:val="006012D6"/>
    <w:rsid w:val="006016AA"/>
    <w:rsid w:val="006020B1"/>
    <w:rsid w:val="006021AC"/>
    <w:rsid w:val="0060238C"/>
    <w:rsid w:val="00602B43"/>
    <w:rsid w:val="00602B9F"/>
    <w:rsid w:val="0060395F"/>
    <w:rsid w:val="00603C0A"/>
    <w:rsid w:val="00603D3F"/>
    <w:rsid w:val="00603FE1"/>
    <w:rsid w:val="006049D5"/>
    <w:rsid w:val="00604AD5"/>
    <w:rsid w:val="006056A8"/>
    <w:rsid w:val="00605737"/>
    <w:rsid w:val="006058ED"/>
    <w:rsid w:val="00605A42"/>
    <w:rsid w:val="00605E3F"/>
    <w:rsid w:val="00606759"/>
    <w:rsid w:val="00606DBD"/>
    <w:rsid w:val="00606FD1"/>
    <w:rsid w:val="0060724D"/>
    <w:rsid w:val="00607A44"/>
    <w:rsid w:val="00610B40"/>
    <w:rsid w:val="00610B8B"/>
    <w:rsid w:val="006110BE"/>
    <w:rsid w:val="00611DB6"/>
    <w:rsid w:val="00611EE5"/>
    <w:rsid w:val="00612149"/>
    <w:rsid w:val="00612537"/>
    <w:rsid w:val="0061276B"/>
    <w:rsid w:val="00612D59"/>
    <w:rsid w:val="0061342E"/>
    <w:rsid w:val="00613CBB"/>
    <w:rsid w:val="00614DFD"/>
    <w:rsid w:val="00615596"/>
    <w:rsid w:val="00615984"/>
    <w:rsid w:val="00615C2D"/>
    <w:rsid w:val="00615E38"/>
    <w:rsid w:val="00617225"/>
    <w:rsid w:val="006179CF"/>
    <w:rsid w:val="006200FA"/>
    <w:rsid w:val="00621873"/>
    <w:rsid w:val="00621A0E"/>
    <w:rsid w:val="00622518"/>
    <w:rsid w:val="006238CD"/>
    <w:rsid w:val="00623C6E"/>
    <w:rsid w:val="0062420F"/>
    <w:rsid w:val="00624651"/>
    <w:rsid w:val="006255B5"/>
    <w:rsid w:val="00626E4E"/>
    <w:rsid w:val="00630074"/>
    <w:rsid w:val="00630224"/>
    <w:rsid w:val="006303D8"/>
    <w:rsid w:val="00630848"/>
    <w:rsid w:val="00630867"/>
    <w:rsid w:val="006313F2"/>
    <w:rsid w:val="00631470"/>
    <w:rsid w:val="00632079"/>
    <w:rsid w:val="00632C10"/>
    <w:rsid w:val="00633B93"/>
    <w:rsid w:val="00634630"/>
    <w:rsid w:val="006348E3"/>
    <w:rsid w:val="00634A17"/>
    <w:rsid w:val="00634F99"/>
    <w:rsid w:val="0063549F"/>
    <w:rsid w:val="0063610D"/>
    <w:rsid w:val="006363FC"/>
    <w:rsid w:val="00636656"/>
    <w:rsid w:val="00637533"/>
    <w:rsid w:val="00637A3D"/>
    <w:rsid w:val="0064023E"/>
    <w:rsid w:val="0064062D"/>
    <w:rsid w:val="00640A91"/>
    <w:rsid w:val="00640B17"/>
    <w:rsid w:val="00640EC7"/>
    <w:rsid w:val="00641CF9"/>
    <w:rsid w:val="006426FB"/>
    <w:rsid w:val="006433F8"/>
    <w:rsid w:val="006434F6"/>
    <w:rsid w:val="006443F9"/>
    <w:rsid w:val="00644B28"/>
    <w:rsid w:val="006462CE"/>
    <w:rsid w:val="00646421"/>
    <w:rsid w:val="00646744"/>
    <w:rsid w:val="00646989"/>
    <w:rsid w:val="00647467"/>
    <w:rsid w:val="00647D84"/>
    <w:rsid w:val="00650A75"/>
    <w:rsid w:val="00650FD0"/>
    <w:rsid w:val="006516B2"/>
    <w:rsid w:val="006522E1"/>
    <w:rsid w:val="00652BD3"/>
    <w:rsid w:val="00652D80"/>
    <w:rsid w:val="00652ED8"/>
    <w:rsid w:val="006530A5"/>
    <w:rsid w:val="00653343"/>
    <w:rsid w:val="0065370B"/>
    <w:rsid w:val="00654178"/>
    <w:rsid w:val="0065458E"/>
    <w:rsid w:val="0065509C"/>
    <w:rsid w:val="00655816"/>
    <w:rsid w:val="0065612D"/>
    <w:rsid w:val="0065704D"/>
    <w:rsid w:val="006571B7"/>
    <w:rsid w:val="0065735F"/>
    <w:rsid w:val="006579B5"/>
    <w:rsid w:val="00657C10"/>
    <w:rsid w:val="00660164"/>
    <w:rsid w:val="006603C9"/>
    <w:rsid w:val="0066227F"/>
    <w:rsid w:val="00662A5B"/>
    <w:rsid w:val="00662C9F"/>
    <w:rsid w:val="00662D21"/>
    <w:rsid w:val="006635BF"/>
    <w:rsid w:val="0066384A"/>
    <w:rsid w:val="00663C0C"/>
    <w:rsid w:val="006641AD"/>
    <w:rsid w:val="006643D5"/>
    <w:rsid w:val="00664AEC"/>
    <w:rsid w:val="00664D59"/>
    <w:rsid w:val="00664D88"/>
    <w:rsid w:val="00665F23"/>
    <w:rsid w:val="00666C7E"/>
    <w:rsid w:val="0066742D"/>
    <w:rsid w:val="006700A4"/>
    <w:rsid w:val="006710E4"/>
    <w:rsid w:val="00671496"/>
    <w:rsid w:val="00671B13"/>
    <w:rsid w:val="00671B21"/>
    <w:rsid w:val="00672C50"/>
    <w:rsid w:val="00672D07"/>
    <w:rsid w:val="00673122"/>
    <w:rsid w:val="006732B2"/>
    <w:rsid w:val="006739BA"/>
    <w:rsid w:val="00673CD2"/>
    <w:rsid w:val="006742A1"/>
    <w:rsid w:val="0067457C"/>
    <w:rsid w:val="006750E7"/>
    <w:rsid w:val="006758FD"/>
    <w:rsid w:val="00675A07"/>
    <w:rsid w:val="00675F31"/>
    <w:rsid w:val="00676583"/>
    <w:rsid w:val="006765E7"/>
    <w:rsid w:val="0067682D"/>
    <w:rsid w:val="00676887"/>
    <w:rsid w:val="00676E19"/>
    <w:rsid w:val="0067733F"/>
    <w:rsid w:val="006773EF"/>
    <w:rsid w:val="006778DB"/>
    <w:rsid w:val="00677B0A"/>
    <w:rsid w:val="00680325"/>
    <w:rsid w:val="0068090F"/>
    <w:rsid w:val="006809F5"/>
    <w:rsid w:val="006820F3"/>
    <w:rsid w:val="00682B35"/>
    <w:rsid w:val="006833D9"/>
    <w:rsid w:val="006840CE"/>
    <w:rsid w:val="0068426A"/>
    <w:rsid w:val="00684A06"/>
    <w:rsid w:val="00684BA1"/>
    <w:rsid w:val="00684EA4"/>
    <w:rsid w:val="006853A1"/>
    <w:rsid w:val="00685B28"/>
    <w:rsid w:val="00685BF3"/>
    <w:rsid w:val="00686111"/>
    <w:rsid w:val="00686467"/>
    <w:rsid w:val="006873E2"/>
    <w:rsid w:val="00687681"/>
    <w:rsid w:val="00691853"/>
    <w:rsid w:val="00691C88"/>
    <w:rsid w:val="00691E67"/>
    <w:rsid w:val="00691E7D"/>
    <w:rsid w:val="00692943"/>
    <w:rsid w:val="00692D64"/>
    <w:rsid w:val="00693248"/>
    <w:rsid w:val="00693329"/>
    <w:rsid w:val="00693E2E"/>
    <w:rsid w:val="0069421F"/>
    <w:rsid w:val="006942B7"/>
    <w:rsid w:val="00694684"/>
    <w:rsid w:val="00694C77"/>
    <w:rsid w:val="00694E30"/>
    <w:rsid w:val="00695737"/>
    <w:rsid w:val="00695D02"/>
    <w:rsid w:val="00695E41"/>
    <w:rsid w:val="00696956"/>
    <w:rsid w:val="00696FE4"/>
    <w:rsid w:val="006972AB"/>
    <w:rsid w:val="0069767A"/>
    <w:rsid w:val="006A1590"/>
    <w:rsid w:val="006A1943"/>
    <w:rsid w:val="006A1ADE"/>
    <w:rsid w:val="006A2B76"/>
    <w:rsid w:val="006A3A63"/>
    <w:rsid w:val="006A3D8A"/>
    <w:rsid w:val="006A3DBC"/>
    <w:rsid w:val="006A4902"/>
    <w:rsid w:val="006A4CBF"/>
    <w:rsid w:val="006A50A8"/>
    <w:rsid w:val="006A550E"/>
    <w:rsid w:val="006A592E"/>
    <w:rsid w:val="006A6162"/>
    <w:rsid w:val="006A6687"/>
    <w:rsid w:val="006A684D"/>
    <w:rsid w:val="006A6E8D"/>
    <w:rsid w:val="006A700B"/>
    <w:rsid w:val="006A730A"/>
    <w:rsid w:val="006B07EA"/>
    <w:rsid w:val="006B0BCC"/>
    <w:rsid w:val="006B0D98"/>
    <w:rsid w:val="006B11C3"/>
    <w:rsid w:val="006B1B2A"/>
    <w:rsid w:val="006B1E67"/>
    <w:rsid w:val="006B23E7"/>
    <w:rsid w:val="006B27C4"/>
    <w:rsid w:val="006B321D"/>
    <w:rsid w:val="006B3350"/>
    <w:rsid w:val="006B34E8"/>
    <w:rsid w:val="006B3C3C"/>
    <w:rsid w:val="006B4870"/>
    <w:rsid w:val="006B4E79"/>
    <w:rsid w:val="006B5048"/>
    <w:rsid w:val="006B53F7"/>
    <w:rsid w:val="006B5919"/>
    <w:rsid w:val="006B71A8"/>
    <w:rsid w:val="006B72DB"/>
    <w:rsid w:val="006B7385"/>
    <w:rsid w:val="006B7387"/>
    <w:rsid w:val="006B7829"/>
    <w:rsid w:val="006C0899"/>
    <w:rsid w:val="006C11B7"/>
    <w:rsid w:val="006C1B1E"/>
    <w:rsid w:val="006C1B31"/>
    <w:rsid w:val="006C21C3"/>
    <w:rsid w:val="006C2BDF"/>
    <w:rsid w:val="006C3CA6"/>
    <w:rsid w:val="006C490E"/>
    <w:rsid w:val="006C5211"/>
    <w:rsid w:val="006C623E"/>
    <w:rsid w:val="006C6AB6"/>
    <w:rsid w:val="006C6AEF"/>
    <w:rsid w:val="006C6B53"/>
    <w:rsid w:val="006C7124"/>
    <w:rsid w:val="006C7BAB"/>
    <w:rsid w:val="006D03E5"/>
    <w:rsid w:val="006D1176"/>
    <w:rsid w:val="006D184D"/>
    <w:rsid w:val="006D2064"/>
    <w:rsid w:val="006D214D"/>
    <w:rsid w:val="006D2982"/>
    <w:rsid w:val="006D2987"/>
    <w:rsid w:val="006D3352"/>
    <w:rsid w:val="006D3480"/>
    <w:rsid w:val="006D3697"/>
    <w:rsid w:val="006D3742"/>
    <w:rsid w:val="006D439A"/>
    <w:rsid w:val="006D4421"/>
    <w:rsid w:val="006D47FE"/>
    <w:rsid w:val="006D553A"/>
    <w:rsid w:val="006D62CE"/>
    <w:rsid w:val="006D6AD6"/>
    <w:rsid w:val="006D6D30"/>
    <w:rsid w:val="006E042D"/>
    <w:rsid w:val="006E0E56"/>
    <w:rsid w:val="006E1525"/>
    <w:rsid w:val="006E191C"/>
    <w:rsid w:val="006E19B5"/>
    <w:rsid w:val="006E1ABF"/>
    <w:rsid w:val="006E31C4"/>
    <w:rsid w:val="006E3716"/>
    <w:rsid w:val="006E3941"/>
    <w:rsid w:val="006E3B73"/>
    <w:rsid w:val="006E4BC7"/>
    <w:rsid w:val="006E5719"/>
    <w:rsid w:val="006E5FB3"/>
    <w:rsid w:val="006E73BA"/>
    <w:rsid w:val="006E7740"/>
    <w:rsid w:val="006E77E0"/>
    <w:rsid w:val="006E797D"/>
    <w:rsid w:val="006E79EE"/>
    <w:rsid w:val="006E7C58"/>
    <w:rsid w:val="006E7EC2"/>
    <w:rsid w:val="006F15A2"/>
    <w:rsid w:val="006F1D15"/>
    <w:rsid w:val="006F1D8B"/>
    <w:rsid w:val="006F33D1"/>
    <w:rsid w:val="006F3426"/>
    <w:rsid w:val="006F39EB"/>
    <w:rsid w:val="006F3CCF"/>
    <w:rsid w:val="006F4367"/>
    <w:rsid w:val="006F52AD"/>
    <w:rsid w:val="006F5396"/>
    <w:rsid w:val="006F5645"/>
    <w:rsid w:val="006F5A64"/>
    <w:rsid w:val="006F5E5E"/>
    <w:rsid w:val="006F6394"/>
    <w:rsid w:val="006F748D"/>
    <w:rsid w:val="006F7531"/>
    <w:rsid w:val="006F790D"/>
    <w:rsid w:val="007004B3"/>
    <w:rsid w:val="0070128D"/>
    <w:rsid w:val="0070147F"/>
    <w:rsid w:val="00701AEE"/>
    <w:rsid w:val="00701DD2"/>
    <w:rsid w:val="00702526"/>
    <w:rsid w:val="00702D35"/>
    <w:rsid w:val="00703098"/>
    <w:rsid w:val="00703377"/>
    <w:rsid w:val="00705007"/>
    <w:rsid w:val="00706026"/>
    <w:rsid w:val="0070611B"/>
    <w:rsid w:val="007066CF"/>
    <w:rsid w:val="00706DF7"/>
    <w:rsid w:val="00707A89"/>
    <w:rsid w:val="00707C55"/>
    <w:rsid w:val="00707D8E"/>
    <w:rsid w:val="00710389"/>
    <w:rsid w:val="00710536"/>
    <w:rsid w:val="0071089A"/>
    <w:rsid w:val="00711281"/>
    <w:rsid w:val="0071170D"/>
    <w:rsid w:val="0071186D"/>
    <w:rsid w:val="007118AF"/>
    <w:rsid w:val="00711E29"/>
    <w:rsid w:val="00711E98"/>
    <w:rsid w:val="00711FBE"/>
    <w:rsid w:val="007127CB"/>
    <w:rsid w:val="00712AD8"/>
    <w:rsid w:val="00713571"/>
    <w:rsid w:val="007138CD"/>
    <w:rsid w:val="007138F5"/>
    <w:rsid w:val="00713A42"/>
    <w:rsid w:val="0071416A"/>
    <w:rsid w:val="00714421"/>
    <w:rsid w:val="00714609"/>
    <w:rsid w:val="00714630"/>
    <w:rsid w:val="007149C4"/>
    <w:rsid w:val="00714B4B"/>
    <w:rsid w:val="007159A2"/>
    <w:rsid w:val="007159D4"/>
    <w:rsid w:val="00717BB9"/>
    <w:rsid w:val="00717E82"/>
    <w:rsid w:val="00721822"/>
    <w:rsid w:val="00721DF9"/>
    <w:rsid w:val="0072257E"/>
    <w:rsid w:val="0072291C"/>
    <w:rsid w:val="00722BD9"/>
    <w:rsid w:val="00722D72"/>
    <w:rsid w:val="007233A3"/>
    <w:rsid w:val="0072349E"/>
    <w:rsid w:val="00723C82"/>
    <w:rsid w:val="00723FE5"/>
    <w:rsid w:val="007240D3"/>
    <w:rsid w:val="007246E5"/>
    <w:rsid w:val="0072477F"/>
    <w:rsid w:val="0072535E"/>
    <w:rsid w:val="00726896"/>
    <w:rsid w:val="00726E8F"/>
    <w:rsid w:val="00727213"/>
    <w:rsid w:val="00727E4D"/>
    <w:rsid w:val="007304BD"/>
    <w:rsid w:val="0073054D"/>
    <w:rsid w:val="0073058E"/>
    <w:rsid w:val="00730968"/>
    <w:rsid w:val="00730BFA"/>
    <w:rsid w:val="007311F8"/>
    <w:rsid w:val="00731258"/>
    <w:rsid w:val="007316F3"/>
    <w:rsid w:val="00731933"/>
    <w:rsid w:val="00731EBF"/>
    <w:rsid w:val="00731F07"/>
    <w:rsid w:val="007324F6"/>
    <w:rsid w:val="00732551"/>
    <w:rsid w:val="0073266E"/>
    <w:rsid w:val="007328C5"/>
    <w:rsid w:val="00732E82"/>
    <w:rsid w:val="0073371F"/>
    <w:rsid w:val="007349EC"/>
    <w:rsid w:val="0073525C"/>
    <w:rsid w:val="007355C5"/>
    <w:rsid w:val="007356AB"/>
    <w:rsid w:val="007366D0"/>
    <w:rsid w:val="0073694E"/>
    <w:rsid w:val="0073696E"/>
    <w:rsid w:val="007369AF"/>
    <w:rsid w:val="00736C73"/>
    <w:rsid w:val="00737287"/>
    <w:rsid w:val="00737A49"/>
    <w:rsid w:val="00737B12"/>
    <w:rsid w:val="00740BA6"/>
    <w:rsid w:val="00740F1B"/>
    <w:rsid w:val="0074114D"/>
    <w:rsid w:val="00741CD3"/>
    <w:rsid w:val="00742115"/>
    <w:rsid w:val="007421CD"/>
    <w:rsid w:val="00742213"/>
    <w:rsid w:val="0074227B"/>
    <w:rsid w:val="0074271A"/>
    <w:rsid w:val="00742820"/>
    <w:rsid w:val="00742F41"/>
    <w:rsid w:val="00742F8D"/>
    <w:rsid w:val="007439C5"/>
    <w:rsid w:val="00743FF2"/>
    <w:rsid w:val="00744890"/>
    <w:rsid w:val="007467EE"/>
    <w:rsid w:val="00747326"/>
    <w:rsid w:val="00747360"/>
    <w:rsid w:val="007475CB"/>
    <w:rsid w:val="0074773A"/>
    <w:rsid w:val="0074780E"/>
    <w:rsid w:val="00747A85"/>
    <w:rsid w:val="00747F9E"/>
    <w:rsid w:val="007508BE"/>
    <w:rsid w:val="00750B26"/>
    <w:rsid w:val="00750E3B"/>
    <w:rsid w:val="00750EBE"/>
    <w:rsid w:val="0075125E"/>
    <w:rsid w:val="0075127E"/>
    <w:rsid w:val="007512D2"/>
    <w:rsid w:val="00751749"/>
    <w:rsid w:val="00751912"/>
    <w:rsid w:val="00751DC4"/>
    <w:rsid w:val="0075295A"/>
    <w:rsid w:val="00752BB3"/>
    <w:rsid w:val="00752DF8"/>
    <w:rsid w:val="007531EB"/>
    <w:rsid w:val="0075337E"/>
    <w:rsid w:val="00754E92"/>
    <w:rsid w:val="007554E3"/>
    <w:rsid w:val="007556D4"/>
    <w:rsid w:val="00755BF0"/>
    <w:rsid w:val="007561C4"/>
    <w:rsid w:val="00756542"/>
    <w:rsid w:val="007568D5"/>
    <w:rsid w:val="00756C3D"/>
    <w:rsid w:val="00756CE4"/>
    <w:rsid w:val="00757623"/>
    <w:rsid w:val="00757BE5"/>
    <w:rsid w:val="00760295"/>
    <w:rsid w:val="007605C0"/>
    <w:rsid w:val="00760FD5"/>
    <w:rsid w:val="0076186F"/>
    <w:rsid w:val="00761D4D"/>
    <w:rsid w:val="007623F9"/>
    <w:rsid w:val="007625DE"/>
    <w:rsid w:val="0076294F"/>
    <w:rsid w:val="00762D73"/>
    <w:rsid w:val="007635E0"/>
    <w:rsid w:val="00763BBB"/>
    <w:rsid w:val="00764298"/>
    <w:rsid w:val="00764732"/>
    <w:rsid w:val="00764C17"/>
    <w:rsid w:val="00765BF5"/>
    <w:rsid w:val="007660C9"/>
    <w:rsid w:val="007665BD"/>
    <w:rsid w:val="0076677F"/>
    <w:rsid w:val="00766DEC"/>
    <w:rsid w:val="00767E30"/>
    <w:rsid w:val="007711FE"/>
    <w:rsid w:val="0077183B"/>
    <w:rsid w:val="00771AB6"/>
    <w:rsid w:val="00772005"/>
    <w:rsid w:val="00772AD4"/>
    <w:rsid w:val="007739F6"/>
    <w:rsid w:val="00773E9C"/>
    <w:rsid w:val="0077452B"/>
    <w:rsid w:val="00774891"/>
    <w:rsid w:val="00774F04"/>
    <w:rsid w:val="00775CFA"/>
    <w:rsid w:val="00775FA8"/>
    <w:rsid w:val="007761AF"/>
    <w:rsid w:val="0077749B"/>
    <w:rsid w:val="00780E1E"/>
    <w:rsid w:val="007811A2"/>
    <w:rsid w:val="007837F8"/>
    <w:rsid w:val="007838C8"/>
    <w:rsid w:val="00783DCF"/>
    <w:rsid w:val="007845EA"/>
    <w:rsid w:val="00784919"/>
    <w:rsid w:val="0078555B"/>
    <w:rsid w:val="00786105"/>
    <w:rsid w:val="007866F1"/>
    <w:rsid w:val="00786B6D"/>
    <w:rsid w:val="007900C6"/>
    <w:rsid w:val="00790D4B"/>
    <w:rsid w:val="007916BA"/>
    <w:rsid w:val="007919C0"/>
    <w:rsid w:val="00792A52"/>
    <w:rsid w:val="00792BD8"/>
    <w:rsid w:val="007934A0"/>
    <w:rsid w:val="00793718"/>
    <w:rsid w:val="00793C5E"/>
    <w:rsid w:val="007944EC"/>
    <w:rsid w:val="0079474C"/>
    <w:rsid w:val="007948F6"/>
    <w:rsid w:val="00794E4E"/>
    <w:rsid w:val="00795622"/>
    <w:rsid w:val="00795645"/>
    <w:rsid w:val="007956F7"/>
    <w:rsid w:val="00795A7A"/>
    <w:rsid w:val="00795D06"/>
    <w:rsid w:val="00795D7D"/>
    <w:rsid w:val="0079679A"/>
    <w:rsid w:val="007968F5"/>
    <w:rsid w:val="00796FA1"/>
    <w:rsid w:val="00797469"/>
    <w:rsid w:val="007976ED"/>
    <w:rsid w:val="007978C2"/>
    <w:rsid w:val="00797E2B"/>
    <w:rsid w:val="00797E57"/>
    <w:rsid w:val="00797ECF"/>
    <w:rsid w:val="007A00C5"/>
    <w:rsid w:val="007A0C80"/>
    <w:rsid w:val="007A0D2D"/>
    <w:rsid w:val="007A150B"/>
    <w:rsid w:val="007A21A5"/>
    <w:rsid w:val="007A21CB"/>
    <w:rsid w:val="007A2DE5"/>
    <w:rsid w:val="007A31AF"/>
    <w:rsid w:val="007A3254"/>
    <w:rsid w:val="007A36B7"/>
    <w:rsid w:val="007A3CBE"/>
    <w:rsid w:val="007A3D6D"/>
    <w:rsid w:val="007A4777"/>
    <w:rsid w:val="007A4CD6"/>
    <w:rsid w:val="007A5435"/>
    <w:rsid w:val="007A5DE7"/>
    <w:rsid w:val="007A5F7B"/>
    <w:rsid w:val="007A67A2"/>
    <w:rsid w:val="007A735F"/>
    <w:rsid w:val="007B0440"/>
    <w:rsid w:val="007B07CC"/>
    <w:rsid w:val="007B0859"/>
    <w:rsid w:val="007B0972"/>
    <w:rsid w:val="007B1249"/>
    <w:rsid w:val="007B14B9"/>
    <w:rsid w:val="007B15AD"/>
    <w:rsid w:val="007B1A9C"/>
    <w:rsid w:val="007B1BCF"/>
    <w:rsid w:val="007B2648"/>
    <w:rsid w:val="007B2D54"/>
    <w:rsid w:val="007B2F82"/>
    <w:rsid w:val="007B38B6"/>
    <w:rsid w:val="007B3CF6"/>
    <w:rsid w:val="007B4058"/>
    <w:rsid w:val="007B4156"/>
    <w:rsid w:val="007B42E5"/>
    <w:rsid w:val="007B44E0"/>
    <w:rsid w:val="007B4C8E"/>
    <w:rsid w:val="007B5035"/>
    <w:rsid w:val="007B5871"/>
    <w:rsid w:val="007B5CB3"/>
    <w:rsid w:val="007B5D9C"/>
    <w:rsid w:val="007B5DA3"/>
    <w:rsid w:val="007B62F6"/>
    <w:rsid w:val="007B657A"/>
    <w:rsid w:val="007B70F7"/>
    <w:rsid w:val="007B729D"/>
    <w:rsid w:val="007B76D4"/>
    <w:rsid w:val="007B7E12"/>
    <w:rsid w:val="007C158A"/>
    <w:rsid w:val="007C18A9"/>
    <w:rsid w:val="007C1995"/>
    <w:rsid w:val="007C248E"/>
    <w:rsid w:val="007C34D8"/>
    <w:rsid w:val="007C3E9A"/>
    <w:rsid w:val="007C4B9E"/>
    <w:rsid w:val="007C50FD"/>
    <w:rsid w:val="007C5C3F"/>
    <w:rsid w:val="007C61EE"/>
    <w:rsid w:val="007C639C"/>
    <w:rsid w:val="007C6F43"/>
    <w:rsid w:val="007C7553"/>
    <w:rsid w:val="007C7AE9"/>
    <w:rsid w:val="007C7B16"/>
    <w:rsid w:val="007C7CA6"/>
    <w:rsid w:val="007D1791"/>
    <w:rsid w:val="007D1E0E"/>
    <w:rsid w:val="007D2E57"/>
    <w:rsid w:val="007D30E9"/>
    <w:rsid w:val="007D4276"/>
    <w:rsid w:val="007D4360"/>
    <w:rsid w:val="007D550F"/>
    <w:rsid w:val="007D5709"/>
    <w:rsid w:val="007D7A1B"/>
    <w:rsid w:val="007D7DD2"/>
    <w:rsid w:val="007E04AD"/>
    <w:rsid w:val="007E0510"/>
    <w:rsid w:val="007E06B5"/>
    <w:rsid w:val="007E0A25"/>
    <w:rsid w:val="007E0CB0"/>
    <w:rsid w:val="007E0DB9"/>
    <w:rsid w:val="007E1115"/>
    <w:rsid w:val="007E1ACE"/>
    <w:rsid w:val="007E1C3D"/>
    <w:rsid w:val="007E1DFA"/>
    <w:rsid w:val="007E20BA"/>
    <w:rsid w:val="007E298F"/>
    <w:rsid w:val="007E2B32"/>
    <w:rsid w:val="007E2FA9"/>
    <w:rsid w:val="007E30F6"/>
    <w:rsid w:val="007E329B"/>
    <w:rsid w:val="007E3807"/>
    <w:rsid w:val="007E3E11"/>
    <w:rsid w:val="007E44BD"/>
    <w:rsid w:val="007E48B0"/>
    <w:rsid w:val="007E4908"/>
    <w:rsid w:val="007E4B22"/>
    <w:rsid w:val="007E587D"/>
    <w:rsid w:val="007E5B88"/>
    <w:rsid w:val="007E63B6"/>
    <w:rsid w:val="007E6405"/>
    <w:rsid w:val="007E64BA"/>
    <w:rsid w:val="007E6D8F"/>
    <w:rsid w:val="007E700F"/>
    <w:rsid w:val="007E7183"/>
    <w:rsid w:val="007E759B"/>
    <w:rsid w:val="007E7DE5"/>
    <w:rsid w:val="007F0FC4"/>
    <w:rsid w:val="007F129F"/>
    <w:rsid w:val="007F1396"/>
    <w:rsid w:val="007F1650"/>
    <w:rsid w:val="007F20A5"/>
    <w:rsid w:val="007F2523"/>
    <w:rsid w:val="007F3197"/>
    <w:rsid w:val="007F31C8"/>
    <w:rsid w:val="007F345A"/>
    <w:rsid w:val="007F4A77"/>
    <w:rsid w:val="007F4D59"/>
    <w:rsid w:val="007F539D"/>
    <w:rsid w:val="007F5CB9"/>
    <w:rsid w:val="007F60AC"/>
    <w:rsid w:val="007F614A"/>
    <w:rsid w:val="007F6427"/>
    <w:rsid w:val="007F6B8F"/>
    <w:rsid w:val="007F6E22"/>
    <w:rsid w:val="007F7262"/>
    <w:rsid w:val="00800663"/>
    <w:rsid w:val="00800824"/>
    <w:rsid w:val="00800FCD"/>
    <w:rsid w:val="00801122"/>
    <w:rsid w:val="008013B3"/>
    <w:rsid w:val="0080140E"/>
    <w:rsid w:val="00801B97"/>
    <w:rsid w:val="0080233C"/>
    <w:rsid w:val="008027DA"/>
    <w:rsid w:val="00802883"/>
    <w:rsid w:val="00802E84"/>
    <w:rsid w:val="0080342A"/>
    <w:rsid w:val="00803634"/>
    <w:rsid w:val="008037BB"/>
    <w:rsid w:val="0080404A"/>
    <w:rsid w:val="008041F8"/>
    <w:rsid w:val="0080521B"/>
    <w:rsid w:val="0080576A"/>
    <w:rsid w:val="008064B9"/>
    <w:rsid w:val="0080687A"/>
    <w:rsid w:val="0080695D"/>
    <w:rsid w:val="00806DE1"/>
    <w:rsid w:val="00807A28"/>
    <w:rsid w:val="00811618"/>
    <w:rsid w:val="008116D3"/>
    <w:rsid w:val="0081178C"/>
    <w:rsid w:val="00811F95"/>
    <w:rsid w:val="00812B2D"/>
    <w:rsid w:val="00813389"/>
    <w:rsid w:val="008147B4"/>
    <w:rsid w:val="00814B3E"/>
    <w:rsid w:val="00814DEC"/>
    <w:rsid w:val="00814F27"/>
    <w:rsid w:val="00814FF9"/>
    <w:rsid w:val="00815D7F"/>
    <w:rsid w:val="00815F68"/>
    <w:rsid w:val="008161B6"/>
    <w:rsid w:val="0081660F"/>
    <w:rsid w:val="0081684C"/>
    <w:rsid w:val="00816BDA"/>
    <w:rsid w:val="0081739B"/>
    <w:rsid w:val="008173C5"/>
    <w:rsid w:val="0081777F"/>
    <w:rsid w:val="0081784A"/>
    <w:rsid w:val="00817E63"/>
    <w:rsid w:val="00820560"/>
    <w:rsid w:val="00820B4B"/>
    <w:rsid w:val="00820C94"/>
    <w:rsid w:val="008218F9"/>
    <w:rsid w:val="00821CA6"/>
    <w:rsid w:val="00822D92"/>
    <w:rsid w:val="00823313"/>
    <w:rsid w:val="00823489"/>
    <w:rsid w:val="008234DD"/>
    <w:rsid w:val="0082357E"/>
    <w:rsid w:val="00823BB9"/>
    <w:rsid w:val="00823E89"/>
    <w:rsid w:val="00824347"/>
    <w:rsid w:val="00824393"/>
    <w:rsid w:val="00824783"/>
    <w:rsid w:val="0082508D"/>
    <w:rsid w:val="00825209"/>
    <w:rsid w:val="008259CE"/>
    <w:rsid w:val="00825B10"/>
    <w:rsid w:val="00825FCA"/>
    <w:rsid w:val="008264B3"/>
    <w:rsid w:val="008265DD"/>
    <w:rsid w:val="00826725"/>
    <w:rsid w:val="00826BAC"/>
    <w:rsid w:val="00826F42"/>
    <w:rsid w:val="0082754E"/>
    <w:rsid w:val="00827CA7"/>
    <w:rsid w:val="00827F52"/>
    <w:rsid w:val="008301F2"/>
    <w:rsid w:val="00830225"/>
    <w:rsid w:val="008305D4"/>
    <w:rsid w:val="00831B28"/>
    <w:rsid w:val="00831DFC"/>
    <w:rsid w:val="0083200B"/>
    <w:rsid w:val="0083242E"/>
    <w:rsid w:val="0083251D"/>
    <w:rsid w:val="0083312C"/>
    <w:rsid w:val="0083349A"/>
    <w:rsid w:val="00833C88"/>
    <w:rsid w:val="00834198"/>
    <w:rsid w:val="008344D3"/>
    <w:rsid w:val="008347A2"/>
    <w:rsid w:val="00834981"/>
    <w:rsid w:val="00834EEE"/>
    <w:rsid w:val="0083505C"/>
    <w:rsid w:val="0083551B"/>
    <w:rsid w:val="00835CC6"/>
    <w:rsid w:val="00836C4F"/>
    <w:rsid w:val="00836F1A"/>
    <w:rsid w:val="008375B5"/>
    <w:rsid w:val="00837CC5"/>
    <w:rsid w:val="00840020"/>
    <w:rsid w:val="00840659"/>
    <w:rsid w:val="00840A7E"/>
    <w:rsid w:val="00840D6B"/>
    <w:rsid w:val="00841691"/>
    <w:rsid w:val="008418CB"/>
    <w:rsid w:val="00841A9A"/>
    <w:rsid w:val="00841BBD"/>
    <w:rsid w:val="00841E1B"/>
    <w:rsid w:val="00842124"/>
    <w:rsid w:val="0084316E"/>
    <w:rsid w:val="00843438"/>
    <w:rsid w:val="00843472"/>
    <w:rsid w:val="00843A04"/>
    <w:rsid w:val="00843FC3"/>
    <w:rsid w:val="0084404A"/>
    <w:rsid w:val="0084437A"/>
    <w:rsid w:val="00844963"/>
    <w:rsid w:val="00844FE8"/>
    <w:rsid w:val="00846548"/>
    <w:rsid w:val="00846B1C"/>
    <w:rsid w:val="00846D8B"/>
    <w:rsid w:val="0084701B"/>
    <w:rsid w:val="00847310"/>
    <w:rsid w:val="0085073E"/>
    <w:rsid w:val="0085106E"/>
    <w:rsid w:val="008518E9"/>
    <w:rsid w:val="00851B29"/>
    <w:rsid w:val="00852E4E"/>
    <w:rsid w:val="0085352F"/>
    <w:rsid w:val="00853AF2"/>
    <w:rsid w:val="008540EC"/>
    <w:rsid w:val="00854250"/>
    <w:rsid w:val="008542A1"/>
    <w:rsid w:val="00854400"/>
    <w:rsid w:val="008557D6"/>
    <w:rsid w:val="00855A22"/>
    <w:rsid w:val="00855B21"/>
    <w:rsid w:val="008560D4"/>
    <w:rsid w:val="00856103"/>
    <w:rsid w:val="00856485"/>
    <w:rsid w:val="00857023"/>
    <w:rsid w:val="008571F0"/>
    <w:rsid w:val="00857987"/>
    <w:rsid w:val="00857F34"/>
    <w:rsid w:val="00860759"/>
    <w:rsid w:val="008607AC"/>
    <w:rsid w:val="00860F49"/>
    <w:rsid w:val="008617D4"/>
    <w:rsid w:val="00862507"/>
    <w:rsid w:val="00862669"/>
    <w:rsid w:val="00862DFF"/>
    <w:rsid w:val="00863030"/>
    <w:rsid w:val="00863143"/>
    <w:rsid w:val="0086499D"/>
    <w:rsid w:val="00864D0D"/>
    <w:rsid w:val="00865220"/>
    <w:rsid w:val="0086551D"/>
    <w:rsid w:val="00865954"/>
    <w:rsid w:val="00865A8F"/>
    <w:rsid w:val="00865BB3"/>
    <w:rsid w:val="00866145"/>
    <w:rsid w:val="00866361"/>
    <w:rsid w:val="00866455"/>
    <w:rsid w:val="00867156"/>
    <w:rsid w:val="00867364"/>
    <w:rsid w:val="00867471"/>
    <w:rsid w:val="00867972"/>
    <w:rsid w:val="0086798C"/>
    <w:rsid w:val="0087030B"/>
    <w:rsid w:val="00870F11"/>
    <w:rsid w:val="00871350"/>
    <w:rsid w:val="00871728"/>
    <w:rsid w:val="00871EBF"/>
    <w:rsid w:val="008721C9"/>
    <w:rsid w:val="00872EC2"/>
    <w:rsid w:val="00873BD6"/>
    <w:rsid w:val="00873D21"/>
    <w:rsid w:val="0087404F"/>
    <w:rsid w:val="00874965"/>
    <w:rsid w:val="00875508"/>
    <w:rsid w:val="00875DC5"/>
    <w:rsid w:val="00875E80"/>
    <w:rsid w:val="00876256"/>
    <w:rsid w:val="0087675B"/>
    <w:rsid w:val="00876763"/>
    <w:rsid w:val="00877258"/>
    <w:rsid w:val="0087758B"/>
    <w:rsid w:val="00877D3C"/>
    <w:rsid w:val="00880284"/>
    <w:rsid w:val="0088043C"/>
    <w:rsid w:val="0088051D"/>
    <w:rsid w:val="00880555"/>
    <w:rsid w:val="0088167D"/>
    <w:rsid w:val="00882153"/>
    <w:rsid w:val="0088242C"/>
    <w:rsid w:val="008826D4"/>
    <w:rsid w:val="008826FB"/>
    <w:rsid w:val="00883B2C"/>
    <w:rsid w:val="00884873"/>
    <w:rsid w:val="00884BB5"/>
    <w:rsid w:val="00884C74"/>
    <w:rsid w:val="008855B1"/>
    <w:rsid w:val="008861EA"/>
    <w:rsid w:val="00886214"/>
    <w:rsid w:val="00886AAA"/>
    <w:rsid w:val="00886B27"/>
    <w:rsid w:val="0088765C"/>
    <w:rsid w:val="00887A2D"/>
    <w:rsid w:val="00887CCF"/>
    <w:rsid w:val="008912BD"/>
    <w:rsid w:val="008917B1"/>
    <w:rsid w:val="0089188A"/>
    <w:rsid w:val="0089203C"/>
    <w:rsid w:val="00892CBC"/>
    <w:rsid w:val="008931F1"/>
    <w:rsid w:val="00894582"/>
    <w:rsid w:val="00895169"/>
    <w:rsid w:val="008953DD"/>
    <w:rsid w:val="00895962"/>
    <w:rsid w:val="00896E7C"/>
    <w:rsid w:val="00897AEC"/>
    <w:rsid w:val="00897B12"/>
    <w:rsid w:val="008A01D1"/>
    <w:rsid w:val="008A0700"/>
    <w:rsid w:val="008A0D74"/>
    <w:rsid w:val="008A25A8"/>
    <w:rsid w:val="008A3123"/>
    <w:rsid w:val="008A3A03"/>
    <w:rsid w:val="008A3E2B"/>
    <w:rsid w:val="008A4A95"/>
    <w:rsid w:val="008A4DE3"/>
    <w:rsid w:val="008A54AF"/>
    <w:rsid w:val="008A5537"/>
    <w:rsid w:val="008A583D"/>
    <w:rsid w:val="008A62D0"/>
    <w:rsid w:val="008A76B6"/>
    <w:rsid w:val="008B07D3"/>
    <w:rsid w:val="008B08E3"/>
    <w:rsid w:val="008B09E8"/>
    <w:rsid w:val="008B0C5F"/>
    <w:rsid w:val="008B0FA0"/>
    <w:rsid w:val="008B2237"/>
    <w:rsid w:val="008B2A66"/>
    <w:rsid w:val="008B2B85"/>
    <w:rsid w:val="008B3597"/>
    <w:rsid w:val="008B4316"/>
    <w:rsid w:val="008B44B6"/>
    <w:rsid w:val="008B45E6"/>
    <w:rsid w:val="008B4D2F"/>
    <w:rsid w:val="008B5EAC"/>
    <w:rsid w:val="008B63B8"/>
    <w:rsid w:val="008B66B4"/>
    <w:rsid w:val="008B6756"/>
    <w:rsid w:val="008B731A"/>
    <w:rsid w:val="008B732E"/>
    <w:rsid w:val="008B782A"/>
    <w:rsid w:val="008C019B"/>
    <w:rsid w:val="008C1220"/>
    <w:rsid w:val="008C19FE"/>
    <w:rsid w:val="008C1B03"/>
    <w:rsid w:val="008C29CA"/>
    <w:rsid w:val="008C2B53"/>
    <w:rsid w:val="008C3468"/>
    <w:rsid w:val="008C3566"/>
    <w:rsid w:val="008C3EE2"/>
    <w:rsid w:val="008C42A0"/>
    <w:rsid w:val="008C566E"/>
    <w:rsid w:val="008C67D7"/>
    <w:rsid w:val="008C6BC0"/>
    <w:rsid w:val="008C6D81"/>
    <w:rsid w:val="008C71E3"/>
    <w:rsid w:val="008C7C79"/>
    <w:rsid w:val="008D0809"/>
    <w:rsid w:val="008D0890"/>
    <w:rsid w:val="008D0EFB"/>
    <w:rsid w:val="008D1306"/>
    <w:rsid w:val="008D166D"/>
    <w:rsid w:val="008D19E8"/>
    <w:rsid w:val="008D1B40"/>
    <w:rsid w:val="008D22B0"/>
    <w:rsid w:val="008D291A"/>
    <w:rsid w:val="008D4F99"/>
    <w:rsid w:val="008D4FF8"/>
    <w:rsid w:val="008D5301"/>
    <w:rsid w:val="008D56D3"/>
    <w:rsid w:val="008D5D61"/>
    <w:rsid w:val="008D5D81"/>
    <w:rsid w:val="008D5FB7"/>
    <w:rsid w:val="008D626E"/>
    <w:rsid w:val="008E005A"/>
    <w:rsid w:val="008E00E8"/>
    <w:rsid w:val="008E0715"/>
    <w:rsid w:val="008E088C"/>
    <w:rsid w:val="008E19FC"/>
    <w:rsid w:val="008E25CC"/>
    <w:rsid w:val="008E2AEE"/>
    <w:rsid w:val="008E40B2"/>
    <w:rsid w:val="008E4393"/>
    <w:rsid w:val="008E459C"/>
    <w:rsid w:val="008E4B0B"/>
    <w:rsid w:val="008E6C65"/>
    <w:rsid w:val="008F023A"/>
    <w:rsid w:val="008F038C"/>
    <w:rsid w:val="008F05E6"/>
    <w:rsid w:val="008F18E9"/>
    <w:rsid w:val="008F19EB"/>
    <w:rsid w:val="008F1AFA"/>
    <w:rsid w:val="008F1B3F"/>
    <w:rsid w:val="008F25F5"/>
    <w:rsid w:val="008F2A63"/>
    <w:rsid w:val="008F2FC0"/>
    <w:rsid w:val="008F324D"/>
    <w:rsid w:val="008F347C"/>
    <w:rsid w:val="008F3CE7"/>
    <w:rsid w:val="008F4398"/>
    <w:rsid w:val="008F43C6"/>
    <w:rsid w:val="008F466E"/>
    <w:rsid w:val="008F4A62"/>
    <w:rsid w:val="008F52CE"/>
    <w:rsid w:val="008F5370"/>
    <w:rsid w:val="008F557C"/>
    <w:rsid w:val="008F5E6D"/>
    <w:rsid w:val="008F61AE"/>
    <w:rsid w:val="008F710A"/>
    <w:rsid w:val="008F72CB"/>
    <w:rsid w:val="0090030E"/>
    <w:rsid w:val="00900386"/>
    <w:rsid w:val="00900631"/>
    <w:rsid w:val="009011D8"/>
    <w:rsid w:val="009011F4"/>
    <w:rsid w:val="009017F7"/>
    <w:rsid w:val="00901857"/>
    <w:rsid w:val="00901BFE"/>
    <w:rsid w:val="00902C28"/>
    <w:rsid w:val="00903AE1"/>
    <w:rsid w:val="00903E5D"/>
    <w:rsid w:val="00904386"/>
    <w:rsid w:val="009047FD"/>
    <w:rsid w:val="0090489E"/>
    <w:rsid w:val="009048CB"/>
    <w:rsid w:val="0090507D"/>
    <w:rsid w:val="00905752"/>
    <w:rsid w:val="00905AF3"/>
    <w:rsid w:val="00906327"/>
    <w:rsid w:val="009063A5"/>
    <w:rsid w:val="00906565"/>
    <w:rsid w:val="00906A3E"/>
    <w:rsid w:val="00906CE0"/>
    <w:rsid w:val="009073AD"/>
    <w:rsid w:val="00907D6A"/>
    <w:rsid w:val="00910569"/>
    <w:rsid w:val="009109ED"/>
    <w:rsid w:val="0091123F"/>
    <w:rsid w:val="00911482"/>
    <w:rsid w:val="009120EC"/>
    <w:rsid w:val="00912AD1"/>
    <w:rsid w:val="00912DAA"/>
    <w:rsid w:val="0091366A"/>
    <w:rsid w:val="0091398B"/>
    <w:rsid w:val="00913DB8"/>
    <w:rsid w:val="009143ED"/>
    <w:rsid w:val="00914713"/>
    <w:rsid w:val="009157DE"/>
    <w:rsid w:val="00915F7E"/>
    <w:rsid w:val="00916671"/>
    <w:rsid w:val="00916F76"/>
    <w:rsid w:val="009177F2"/>
    <w:rsid w:val="00917DB2"/>
    <w:rsid w:val="00920097"/>
    <w:rsid w:val="00920352"/>
    <w:rsid w:val="00920E89"/>
    <w:rsid w:val="00921EB3"/>
    <w:rsid w:val="00922430"/>
    <w:rsid w:val="009229BC"/>
    <w:rsid w:val="00922A43"/>
    <w:rsid w:val="00922D58"/>
    <w:rsid w:val="00924349"/>
    <w:rsid w:val="0092489B"/>
    <w:rsid w:val="00925307"/>
    <w:rsid w:val="00925DA1"/>
    <w:rsid w:val="00926E60"/>
    <w:rsid w:val="00927113"/>
    <w:rsid w:val="00927860"/>
    <w:rsid w:val="00927965"/>
    <w:rsid w:val="00927EFD"/>
    <w:rsid w:val="00930135"/>
    <w:rsid w:val="009305DE"/>
    <w:rsid w:val="00930C5E"/>
    <w:rsid w:val="00930D54"/>
    <w:rsid w:val="009316EA"/>
    <w:rsid w:val="00932697"/>
    <w:rsid w:val="00932CD3"/>
    <w:rsid w:val="00933532"/>
    <w:rsid w:val="0093355F"/>
    <w:rsid w:val="00933D1F"/>
    <w:rsid w:val="00933EAD"/>
    <w:rsid w:val="0093406A"/>
    <w:rsid w:val="009340EE"/>
    <w:rsid w:val="009343E1"/>
    <w:rsid w:val="00934517"/>
    <w:rsid w:val="009349FF"/>
    <w:rsid w:val="00934AA4"/>
    <w:rsid w:val="00935193"/>
    <w:rsid w:val="00936482"/>
    <w:rsid w:val="009368AF"/>
    <w:rsid w:val="00936E19"/>
    <w:rsid w:val="00936F8B"/>
    <w:rsid w:val="00937162"/>
    <w:rsid w:val="009374B6"/>
    <w:rsid w:val="009377ED"/>
    <w:rsid w:val="00937C9E"/>
    <w:rsid w:val="009404F6"/>
    <w:rsid w:val="00940BF1"/>
    <w:rsid w:val="0094169F"/>
    <w:rsid w:val="00941BD6"/>
    <w:rsid w:val="00941CE0"/>
    <w:rsid w:val="00941E7A"/>
    <w:rsid w:val="00941F1A"/>
    <w:rsid w:val="009426B5"/>
    <w:rsid w:val="009426C8"/>
    <w:rsid w:val="0094274F"/>
    <w:rsid w:val="009429C0"/>
    <w:rsid w:val="00942A90"/>
    <w:rsid w:val="00942DB5"/>
    <w:rsid w:val="00942DD8"/>
    <w:rsid w:val="00942F0F"/>
    <w:rsid w:val="00943412"/>
    <w:rsid w:val="00944E8A"/>
    <w:rsid w:val="00944FF0"/>
    <w:rsid w:val="00945294"/>
    <w:rsid w:val="00945296"/>
    <w:rsid w:val="00945A94"/>
    <w:rsid w:val="0094647F"/>
    <w:rsid w:val="0094653D"/>
    <w:rsid w:val="0094677B"/>
    <w:rsid w:val="00946833"/>
    <w:rsid w:val="009503C5"/>
    <w:rsid w:val="0095097D"/>
    <w:rsid w:val="0095123F"/>
    <w:rsid w:val="00951B82"/>
    <w:rsid w:val="00951C39"/>
    <w:rsid w:val="00951F19"/>
    <w:rsid w:val="00952D74"/>
    <w:rsid w:val="0095362B"/>
    <w:rsid w:val="00953854"/>
    <w:rsid w:val="00953B06"/>
    <w:rsid w:val="00953ECB"/>
    <w:rsid w:val="00953FAC"/>
    <w:rsid w:val="0095403C"/>
    <w:rsid w:val="009540BB"/>
    <w:rsid w:val="00954455"/>
    <w:rsid w:val="009549A1"/>
    <w:rsid w:val="00954D44"/>
    <w:rsid w:val="0095554E"/>
    <w:rsid w:val="009555E0"/>
    <w:rsid w:val="009557C7"/>
    <w:rsid w:val="00955811"/>
    <w:rsid w:val="00955D10"/>
    <w:rsid w:val="0095672A"/>
    <w:rsid w:val="009567E2"/>
    <w:rsid w:val="009569FE"/>
    <w:rsid w:val="00956C5E"/>
    <w:rsid w:val="00956CB6"/>
    <w:rsid w:val="00956FFC"/>
    <w:rsid w:val="009571E6"/>
    <w:rsid w:val="009600D5"/>
    <w:rsid w:val="00960526"/>
    <w:rsid w:val="009607DB"/>
    <w:rsid w:val="00960858"/>
    <w:rsid w:val="00960B20"/>
    <w:rsid w:val="00961EA1"/>
    <w:rsid w:val="00963360"/>
    <w:rsid w:val="00963879"/>
    <w:rsid w:val="009641E2"/>
    <w:rsid w:val="00964F8C"/>
    <w:rsid w:val="009650E1"/>
    <w:rsid w:val="009654AF"/>
    <w:rsid w:val="0096583F"/>
    <w:rsid w:val="0096640D"/>
    <w:rsid w:val="009669DA"/>
    <w:rsid w:val="00966BBA"/>
    <w:rsid w:val="00967831"/>
    <w:rsid w:val="00970A12"/>
    <w:rsid w:val="00971067"/>
    <w:rsid w:val="009717EA"/>
    <w:rsid w:val="009719B0"/>
    <w:rsid w:val="00971D59"/>
    <w:rsid w:val="00972585"/>
    <w:rsid w:val="00972BAD"/>
    <w:rsid w:val="009730EC"/>
    <w:rsid w:val="00973547"/>
    <w:rsid w:val="00973555"/>
    <w:rsid w:val="00973C36"/>
    <w:rsid w:val="00973F60"/>
    <w:rsid w:val="009742C7"/>
    <w:rsid w:val="00974897"/>
    <w:rsid w:val="00974EAE"/>
    <w:rsid w:val="009755EF"/>
    <w:rsid w:val="00975745"/>
    <w:rsid w:val="00975C7F"/>
    <w:rsid w:val="009767C5"/>
    <w:rsid w:val="00976B33"/>
    <w:rsid w:val="00976EEB"/>
    <w:rsid w:val="009773F6"/>
    <w:rsid w:val="009777A3"/>
    <w:rsid w:val="00977807"/>
    <w:rsid w:val="00977AA1"/>
    <w:rsid w:val="0098000E"/>
    <w:rsid w:val="009805FC"/>
    <w:rsid w:val="009807FA"/>
    <w:rsid w:val="00980FA7"/>
    <w:rsid w:val="00980FF7"/>
    <w:rsid w:val="00981618"/>
    <w:rsid w:val="00981635"/>
    <w:rsid w:val="00981B26"/>
    <w:rsid w:val="00981C31"/>
    <w:rsid w:val="00983066"/>
    <w:rsid w:val="00983540"/>
    <w:rsid w:val="00983C29"/>
    <w:rsid w:val="00984723"/>
    <w:rsid w:val="009851AC"/>
    <w:rsid w:val="00985FF6"/>
    <w:rsid w:val="0098636B"/>
    <w:rsid w:val="00986839"/>
    <w:rsid w:val="00986CE5"/>
    <w:rsid w:val="00987E3C"/>
    <w:rsid w:val="00987EAF"/>
    <w:rsid w:val="00987FA2"/>
    <w:rsid w:val="00990449"/>
    <w:rsid w:val="0099089F"/>
    <w:rsid w:val="00990BED"/>
    <w:rsid w:val="00990C47"/>
    <w:rsid w:val="00990C52"/>
    <w:rsid w:val="00991FE5"/>
    <w:rsid w:val="0099249D"/>
    <w:rsid w:val="00992ACE"/>
    <w:rsid w:val="009938D6"/>
    <w:rsid w:val="00993B64"/>
    <w:rsid w:val="0099489B"/>
    <w:rsid w:val="00994C29"/>
    <w:rsid w:val="00995B1D"/>
    <w:rsid w:val="00997DC6"/>
    <w:rsid w:val="009A18E1"/>
    <w:rsid w:val="009A2366"/>
    <w:rsid w:val="009A249E"/>
    <w:rsid w:val="009A25B3"/>
    <w:rsid w:val="009A2EF3"/>
    <w:rsid w:val="009A3A49"/>
    <w:rsid w:val="009A3AB6"/>
    <w:rsid w:val="009A41C0"/>
    <w:rsid w:val="009A424E"/>
    <w:rsid w:val="009A4729"/>
    <w:rsid w:val="009A4AB5"/>
    <w:rsid w:val="009A5698"/>
    <w:rsid w:val="009A6527"/>
    <w:rsid w:val="009A689B"/>
    <w:rsid w:val="009A6FA0"/>
    <w:rsid w:val="009A72ED"/>
    <w:rsid w:val="009A788D"/>
    <w:rsid w:val="009A7FF5"/>
    <w:rsid w:val="009B03C2"/>
    <w:rsid w:val="009B0433"/>
    <w:rsid w:val="009B0E37"/>
    <w:rsid w:val="009B113B"/>
    <w:rsid w:val="009B1952"/>
    <w:rsid w:val="009B19C2"/>
    <w:rsid w:val="009B390C"/>
    <w:rsid w:val="009B41E4"/>
    <w:rsid w:val="009B4C32"/>
    <w:rsid w:val="009B4EEB"/>
    <w:rsid w:val="009B4F2E"/>
    <w:rsid w:val="009B50EB"/>
    <w:rsid w:val="009B57D3"/>
    <w:rsid w:val="009B5836"/>
    <w:rsid w:val="009B5A97"/>
    <w:rsid w:val="009B5B93"/>
    <w:rsid w:val="009B5BE6"/>
    <w:rsid w:val="009B5FB1"/>
    <w:rsid w:val="009B642E"/>
    <w:rsid w:val="009B6701"/>
    <w:rsid w:val="009B6E52"/>
    <w:rsid w:val="009B77F2"/>
    <w:rsid w:val="009B7AC8"/>
    <w:rsid w:val="009B7E8D"/>
    <w:rsid w:val="009C0F47"/>
    <w:rsid w:val="009C12E8"/>
    <w:rsid w:val="009C1FBC"/>
    <w:rsid w:val="009C220E"/>
    <w:rsid w:val="009C33A2"/>
    <w:rsid w:val="009C3761"/>
    <w:rsid w:val="009C3FA6"/>
    <w:rsid w:val="009C44E3"/>
    <w:rsid w:val="009C4F02"/>
    <w:rsid w:val="009C631F"/>
    <w:rsid w:val="009C638E"/>
    <w:rsid w:val="009C66FB"/>
    <w:rsid w:val="009C677A"/>
    <w:rsid w:val="009C6A77"/>
    <w:rsid w:val="009C6BF2"/>
    <w:rsid w:val="009C70AB"/>
    <w:rsid w:val="009C77AF"/>
    <w:rsid w:val="009C78A8"/>
    <w:rsid w:val="009C7BDB"/>
    <w:rsid w:val="009D0412"/>
    <w:rsid w:val="009D0D46"/>
    <w:rsid w:val="009D1085"/>
    <w:rsid w:val="009D11D0"/>
    <w:rsid w:val="009D11F8"/>
    <w:rsid w:val="009D17B4"/>
    <w:rsid w:val="009D1CB4"/>
    <w:rsid w:val="009D22E2"/>
    <w:rsid w:val="009D26CD"/>
    <w:rsid w:val="009D3014"/>
    <w:rsid w:val="009D36D3"/>
    <w:rsid w:val="009D3E7E"/>
    <w:rsid w:val="009D3FA0"/>
    <w:rsid w:val="009D4033"/>
    <w:rsid w:val="009D40B9"/>
    <w:rsid w:val="009D436A"/>
    <w:rsid w:val="009D47BB"/>
    <w:rsid w:val="009D5887"/>
    <w:rsid w:val="009D5B2B"/>
    <w:rsid w:val="009D5C1F"/>
    <w:rsid w:val="009D5ED5"/>
    <w:rsid w:val="009D5F53"/>
    <w:rsid w:val="009D70FB"/>
    <w:rsid w:val="009D77BC"/>
    <w:rsid w:val="009E0417"/>
    <w:rsid w:val="009E04C9"/>
    <w:rsid w:val="009E0739"/>
    <w:rsid w:val="009E075E"/>
    <w:rsid w:val="009E1D90"/>
    <w:rsid w:val="009E2011"/>
    <w:rsid w:val="009E23E6"/>
    <w:rsid w:val="009E2663"/>
    <w:rsid w:val="009E2810"/>
    <w:rsid w:val="009E2FB0"/>
    <w:rsid w:val="009E3214"/>
    <w:rsid w:val="009E3497"/>
    <w:rsid w:val="009E37C1"/>
    <w:rsid w:val="009E39F7"/>
    <w:rsid w:val="009E3B2E"/>
    <w:rsid w:val="009E4077"/>
    <w:rsid w:val="009E4852"/>
    <w:rsid w:val="009E49E4"/>
    <w:rsid w:val="009E4AB5"/>
    <w:rsid w:val="009E4D95"/>
    <w:rsid w:val="009E56E3"/>
    <w:rsid w:val="009E5761"/>
    <w:rsid w:val="009E5999"/>
    <w:rsid w:val="009E5B61"/>
    <w:rsid w:val="009E5E20"/>
    <w:rsid w:val="009E6E9E"/>
    <w:rsid w:val="009E70D3"/>
    <w:rsid w:val="009E70FA"/>
    <w:rsid w:val="009E7141"/>
    <w:rsid w:val="009E74CF"/>
    <w:rsid w:val="009E7540"/>
    <w:rsid w:val="009F004E"/>
    <w:rsid w:val="009F0425"/>
    <w:rsid w:val="009F0617"/>
    <w:rsid w:val="009F0B0C"/>
    <w:rsid w:val="009F0EF2"/>
    <w:rsid w:val="009F18F9"/>
    <w:rsid w:val="009F1B54"/>
    <w:rsid w:val="009F1BC3"/>
    <w:rsid w:val="009F1DA1"/>
    <w:rsid w:val="009F1F03"/>
    <w:rsid w:val="009F225E"/>
    <w:rsid w:val="009F22CC"/>
    <w:rsid w:val="009F244C"/>
    <w:rsid w:val="009F2A9C"/>
    <w:rsid w:val="009F2F7E"/>
    <w:rsid w:val="009F38B0"/>
    <w:rsid w:val="009F3EAD"/>
    <w:rsid w:val="009F3EB9"/>
    <w:rsid w:val="009F4577"/>
    <w:rsid w:val="009F527A"/>
    <w:rsid w:val="009F5604"/>
    <w:rsid w:val="009F594B"/>
    <w:rsid w:val="009F5BF6"/>
    <w:rsid w:val="009F6572"/>
    <w:rsid w:val="009F6665"/>
    <w:rsid w:val="009F67CD"/>
    <w:rsid w:val="009F6E9D"/>
    <w:rsid w:val="009F7D5E"/>
    <w:rsid w:val="009F7E7D"/>
    <w:rsid w:val="00A006F5"/>
    <w:rsid w:val="00A01478"/>
    <w:rsid w:val="00A0175A"/>
    <w:rsid w:val="00A01BC5"/>
    <w:rsid w:val="00A01C90"/>
    <w:rsid w:val="00A021A5"/>
    <w:rsid w:val="00A02311"/>
    <w:rsid w:val="00A023E9"/>
    <w:rsid w:val="00A025CF"/>
    <w:rsid w:val="00A02772"/>
    <w:rsid w:val="00A0293D"/>
    <w:rsid w:val="00A02CA3"/>
    <w:rsid w:val="00A02F80"/>
    <w:rsid w:val="00A03B01"/>
    <w:rsid w:val="00A0420E"/>
    <w:rsid w:val="00A05687"/>
    <w:rsid w:val="00A06FE0"/>
    <w:rsid w:val="00A0786F"/>
    <w:rsid w:val="00A10B2B"/>
    <w:rsid w:val="00A12FD9"/>
    <w:rsid w:val="00A13B22"/>
    <w:rsid w:val="00A146A7"/>
    <w:rsid w:val="00A15575"/>
    <w:rsid w:val="00A15AE0"/>
    <w:rsid w:val="00A160B5"/>
    <w:rsid w:val="00A16A51"/>
    <w:rsid w:val="00A1714B"/>
    <w:rsid w:val="00A17453"/>
    <w:rsid w:val="00A17646"/>
    <w:rsid w:val="00A17C88"/>
    <w:rsid w:val="00A17DB9"/>
    <w:rsid w:val="00A2034F"/>
    <w:rsid w:val="00A204E2"/>
    <w:rsid w:val="00A20768"/>
    <w:rsid w:val="00A20B90"/>
    <w:rsid w:val="00A216A3"/>
    <w:rsid w:val="00A219D5"/>
    <w:rsid w:val="00A220D8"/>
    <w:rsid w:val="00A2271D"/>
    <w:rsid w:val="00A22BA8"/>
    <w:rsid w:val="00A22EC0"/>
    <w:rsid w:val="00A22F9C"/>
    <w:rsid w:val="00A231E5"/>
    <w:rsid w:val="00A23392"/>
    <w:rsid w:val="00A2344C"/>
    <w:rsid w:val="00A23F71"/>
    <w:rsid w:val="00A24C20"/>
    <w:rsid w:val="00A25AEA"/>
    <w:rsid w:val="00A25EC1"/>
    <w:rsid w:val="00A2638F"/>
    <w:rsid w:val="00A2646C"/>
    <w:rsid w:val="00A26562"/>
    <w:rsid w:val="00A268D5"/>
    <w:rsid w:val="00A2690E"/>
    <w:rsid w:val="00A26FF9"/>
    <w:rsid w:val="00A27132"/>
    <w:rsid w:val="00A277B8"/>
    <w:rsid w:val="00A27CF8"/>
    <w:rsid w:val="00A30095"/>
    <w:rsid w:val="00A308AE"/>
    <w:rsid w:val="00A30908"/>
    <w:rsid w:val="00A31003"/>
    <w:rsid w:val="00A316F8"/>
    <w:rsid w:val="00A35198"/>
    <w:rsid w:val="00A351CE"/>
    <w:rsid w:val="00A353D1"/>
    <w:rsid w:val="00A35432"/>
    <w:rsid w:val="00A358A6"/>
    <w:rsid w:val="00A35EE4"/>
    <w:rsid w:val="00A3608D"/>
    <w:rsid w:val="00A36257"/>
    <w:rsid w:val="00A36D7D"/>
    <w:rsid w:val="00A36EE7"/>
    <w:rsid w:val="00A37397"/>
    <w:rsid w:val="00A37BC7"/>
    <w:rsid w:val="00A37DD6"/>
    <w:rsid w:val="00A41395"/>
    <w:rsid w:val="00A423B0"/>
    <w:rsid w:val="00A423FE"/>
    <w:rsid w:val="00A42EFB"/>
    <w:rsid w:val="00A4334E"/>
    <w:rsid w:val="00A43A01"/>
    <w:rsid w:val="00A44777"/>
    <w:rsid w:val="00A44B23"/>
    <w:rsid w:val="00A44BD5"/>
    <w:rsid w:val="00A45115"/>
    <w:rsid w:val="00A45BB6"/>
    <w:rsid w:val="00A45DF8"/>
    <w:rsid w:val="00A45E4D"/>
    <w:rsid w:val="00A45EE5"/>
    <w:rsid w:val="00A46027"/>
    <w:rsid w:val="00A4649F"/>
    <w:rsid w:val="00A464BD"/>
    <w:rsid w:val="00A468D8"/>
    <w:rsid w:val="00A47204"/>
    <w:rsid w:val="00A47A09"/>
    <w:rsid w:val="00A47B28"/>
    <w:rsid w:val="00A500E1"/>
    <w:rsid w:val="00A50590"/>
    <w:rsid w:val="00A5118E"/>
    <w:rsid w:val="00A515D6"/>
    <w:rsid w:val="00A521A6"/>
    <w:rsid w:val="00A5263B"/>
    <w:rsid w:val="00A52911"/>
    <w:rsid w:val="00A52943"/>
    <w:rsid w:val="00A52998"/>
    <w:rsid w:val="00A529E1"/>
    <w:rsid w:val="00A531CE"/>
    <w:rsid w:val="00A53394"/>
    <w:rsid w:val="00A533E0"/>
    <w:rsid w:val="00A5344D"/>
    <w:rsid w:val="00A53686"/>
    <w:rsid w:val="00A537E4"/>
    <w:rsid w:val="00A54BC6"/>
    <w:rsid w:val="00A5682C"/>
    <w:rsid w:val="00A5693A"/>
    <w:rsid w:val="00A57342"/>
    <w:rsid w:val="00A57489"/>
    <w:rsid w:val="00A576FD"/>
    <w:rsid w:val="00A57945"/>
    <w:rsid w:val="00A57D34"/>
    <w:rsid w:val="00A57DAE"/>
    <w:rsid w:val="00A60960"/>
    <w:rsid w:val="00A614EE"/>
    <w:rsid w:val="00A618C1"/>
    <w:rsid w:val="00A61F1F"/>
    <w:rsid w:val="00A61F3D"/>
    <w:rsid w:val="00A622FD"/>
    <w:rsid w:val="00A62454"/>
    <w:rsid w:val="00A62FC0"/>
    <w:rsid w:val="00A62FF2"/>
    <w:rsid w:val="00A63B1F"/>
    <w:rsid w:val="00A63CB2"/>
    <w:rsid w:val="00A659CB"/>
    <w:rsid w:val="00A65A35"/>
    <w:rsid w:val="00A666A5"/>
    <w:rsid w:val="00A666B4"/>
    <w:rsid w:val="00A66FAA"/>
    <w:rsid w:val="00A67348"/>
    <w:rsid w:val="00A678BB"/>
    <w:rsid w:val="00A67DE2"/>
    <w:rsid w:val="00A70B16"/>
    <w:rsid w:val="00A70B60"/>
    <w:rsid w:val="00A71390"/>
    <w:rsid w:val="00A728C1"/>
    <w:rsid w:val="00A729D9"/>
    <w:rsid w:val="00A731C6"/>
    <w:rsid w:val="00A7363C"/>
    <w:rsid w:val="00A7371C"/>
    <w:rsid w:val="00A74980"/>
    <w:rsid w:val="00A756CD"/>
    <w:rsid w:val="00A7594E"/>
    <w:rsid w:val="00A75E1A"/>
    <w:rsid w:val="00A763AD"/>
    <w:rsid w:val="00A76AC9"/>
    <w:rsid w:val="00A76CC4"/>
    <w:rsid w:val="00A76E47"/>
    <w:rsid w:val="00A771F6"/>
    <w:rsid w:val="00A77635"/>
    <w:rsid w:val="00A77999"/>
    <w:rsid w:val="00A8099F"/>
    <w:rsid w:val="00A80CE9"/>
    <w:rsid w:val="00A80DFF"/>
    <w:rsid w:val="00A80FD6"/>
    <w:rsid w:val="00A81244"/>
    <w:rsid w:val="00A816B7"/>
    <w:rsid w:val="00A81A05"/>
    <w:rsid w:val="00A8271C"/>
    <w:rsid w:val="00A82746"/>
    <w:rsid w:val="00A82FF4"/>
    <w:rsid w:val="00A83490"/>
    <w:rsid w:val="00A836BC"/>
    <w:rsid w:val="00A83C45"/>
    <w:rsid w:val="00A8426D"/>
    <w:rsid w:val="00A86779"/>
    <w:rsid w:val="00A873C6"/>
    <w:rsid w:val="00A87E88"/>
    <w:rsid w:val="00A906F9"/>
    <w:rsid w:val="00A90FD2"/>
    <w:rsid w:val="00A91945"/>
    <w:rsid w:val="00A92262"/>
    <w:rsid w:val="00A92EBA"/>
    <w:rsid w:val="00A937DD"/>
    <w:rsid w:val="00A949EF"/>
    <w:rsid w:val="00A95200"/>
    <w:rsid w:val="00A95A5A"/>
    <w:rsid w:val="00A95AF7"/>
    <w:rsid w:val="00A9619A"/>
    <w:rsid w:val="00A963DD"/>
    <w:rsid w:val="00A963EB"/>
    <w:rsid w:val="00A965AC"/>
    <w:rsid w:val="00A96E64"/>
    <w:rsid w:val="00A96F98"/>
    <w:rsid w:val="00A97A9A"/>
    <w:rsid w:val="00AA07BF"/>
    <w:rsid w:val="00AA07CF"/>
    <w:rsid w:val="00AA0D95"/>
    <w:rsid w:val="00AA1579"/>
    <w:rsid w:val="00AA1A30"/>
    <w:rsid w:val="00AA1C97"/>
    <w:rsid w:val="00AA2084"/>
    <w:rsid w:val="00AA2843"/>
    <w:rsid w:val="00AA29C5"/>
    <w:rsid w:val="00AA2DF7"/>
    <w:rsid w:val="00AA396A"/>
    <w:rsid w:val="00AA3D97"/>
    <w:rsid w:val="00AA494B"/>
    <w:rsid w:val="00AA5C4D"/>
    <w:rsid w:val="00AA5E74"/>
    <w:rsid w:val="00AA6133"/>
    <w:rsid w:val="00AA628B"/>
    <w:rsid w:val="00AA6FD1"/>
    <w:rsid w:val="00AA72EA"/>
    <w:rsid w:val="00AA7ED5"/>
    <w:rsid w:val="00AB0B9C"/>
    <w:rsid w:val="00AB0E01"/>
    <w:rsid w:val="00AB168E"/>
    <w:rsid w:val="00AB2098"/>
    <w:rsid w:val="00AB25E5"/>
    <w:rsid w:val="00AB2D97"/>
    <w:rsid w:val="00AB2FEF"/>
    <w:rsid w:val="00AB3F81"/>
    <w:rsid w:val="00AB45E4"/>
    <w:rsid w:val="00AB48C0"/>
    <w:rsid w:val="00AB4941"/>
    <w:rsid w:val="00AB4FAB"/>
    <w:rsid w:val="00AB50FD"/>
    <w:rsid w:val="00AB65C1"/>
    <w:rsid w:val="00AB6914"/>
    <w:rsid w:val="00AB6921"/>
    <w:rsid w:val="00AB6C41"/>
    <w:rsid w:val="00AB6C91"/>
    <w:rsid w:val="00AB6D94"/>
    <w:rsid w:val="00AB7188"/>
    <w:rsid w:val="00AB7AD0"/>
    <w:rsid w:val="00AB7C93"/>
    <w:rsid w:val="00AB7EB9"/>
    <w:rsid w:val="00AC0DC1"/>
    <w:rsid w:val="00AC192E"/>
    <w:rsid w:val="00AC19B5"/>
    <w:rsid w:val="00AC1E8D"/>
    <w:rsid w:val="00AC24F9"/>
    <w:rsid w:val="00AC2D0B"/>
    <w:rsid w:val="00AC2ED7"/>
    <w:rsid w:val="00AC326C"/>
    <w:rsid w:val="00AC32E1"/>
    <w:rsid w:val="00AC3A95"/>
    <w:rsid w:val="00AC4591"/>
    <w:rsid w:val="00AC4708"/>
    <w:rsid w:val="00AC4759"/>
    <w:rsid w:val="00AC4B3A"/>
    <w:rsid w:val="00AC4E36"/>
    <w:rsid w:val="00AC4E94"/>
    <w:rsid w:val="00AC52B4"/>
    <w:rsid w:val="00AC57CA"/>
    <w:rsid w:val="00AC5917"/>
    <w:rsid w:val="00AC643A"/>
    <w:rsid w:val="00AD0229"/>
    <w:rsid w:val="00AD02DC"/>
    <w:rsid w:val="00AD0BA7"/>
    <w:rsid w:val="00AD0C81"/>
    <w:rsid w:val="00AD1C23"/>
    <w:rsid w:val="00AD1D7D"/>
    <w:rsid w:val="00AD20D1"/>
    <w:rsid w:val="00AD2E8B"/>
    <w:rsid w:val="00AD402F"/>
    <w:rsid w:val="00AD4D9A"/>
    <w:rsid w:val="00AD5301"/>
    <w:rsid w:val="00AD5368"/>
    <w:rsid w:val="00AD5863"/>
    <w:rsid w:val="00AD58F3"/>
    <w:rsid w:val="00AD654A"/>
    <w:rsid w:val="00AD6679"/>
    <w:rsid w:val="00AD66FA"/>
    <w:rsid w:val="00AD6784"/>
    <w:rsid w:val="00AE0027"/>
    <w:rsid w:val="00AE08B0"/>
    <w:rsid w:val="00AE0A32"/>
    <w:rsid w:val="00AE0C3C"/>
    <w:rsid w:val="00AE153A"/>
    <w:rsid w:val="00AE1D66"/>
    <w:rsid w:val="00AE1EE2"/>
    <w:rsid w:val="00AE24AD"/>
    <w:rsid w:val="00AE2783"/>
    <w:rsid w:val="00AE38D2"/>
    <w:rsid w:val="00AE3AC3"/>
    <w:rsid w:val="00AE3C39"/>
    <w:rsid w:val="00AE4406"/>
    <w:rsid w:val="00AE4C41"/>
    <w:rsid w:val="00AE51E7"/>
    <w:rsid w:val="00AE5759"/>
    <w:rsid w:val="00AE5E7D"/>
    <w:rsid w:val="00AE6532"/>
    <w:rsid w:val="00AF025C"/>
    <w:rsid w:val="00AF0A42"/>
    <w:rsid w:val="00AF0B05"/>
    <w:rsid w:val="00AF1743"/>
    <w:rsid w:val="00AF18DA"/>
    <w:rsid w:val="00AF20CF"/>
    <w:rsid w:val="00AF2392"/>
    <w:rsid w:val="00AF2394"/>
    <w:rsid w:val="00AF2415"/>
    <w:rsid w:val="00AF3657"/>
    <w:rsid w:val="00AF4589"/>
    <w:rsid w:val="00AF5DE9"/>
    <w:rsid w:val="00AF6A92"/>
    <w:rsid w:val="00AF709E"/>
    <w:rsid w:val="00AF7376"/>
    <w:rsid w:val="00AF76A4"/>
    <w:rsid w:val="00AF78F2"/>
    <w:rsid w:val="00B006A5"/>
    <w:rsid w:val="00B00B60"/>
    <w:rsid w:val="00B01854"/>
    <w:rsid w:val="00B01972"/>
    <w:rsid w:val="00B01B41"/>
    <w:rsid w:val="00B0207B"/>
    <w:rsid w:val="00B023C4"/>
    <w:rsid w:val="00B0287D"/>
    <w:rsid w:val="00B02D1C"/>
    <w:rsid w:val="00B0320E"/>
    <w:rsid w:val="00B033D3"/>
    <w:rsid w:val="00B03E62"/>
    <w:rsid w:val="00B04485"/>
    <w:rsid w:val="00B04552"/>
    <w:rsid w:val="00B04E34"/>
    <w:rsid w:val="00B05ACE"/>
    <w:rsid w:val="00B06FD5"/>
    <w:rsid w:val="00B10031"/>
    <w:rsid w:val="00B10278"/>
    <w:rsid w:val="00B1105D"/>
    <w:rsid w:val="00B11229"/>
    <w:rsid w:val="00B1122F"/>
    <w:rsid w:val="00B11973"/>
    <w:rsid w:val="00B11976"/>
    <w:rsid w:val="00B11B4C"/>
    <w:rsid w:val="00B11EFA"/>
    <w:rsid w:val="00B12363"/>
    <w:rsid w:val="00B12B8F"/>
    <w:rsid w:val="00B12C4C"/>
    <w:rsid w:val="00B13553"/>
    <w:rsid w:val="00B13C4A"/>
    <w:rsid w:val="00B148B4"/>
    <w:rsid w:val="00B14F6A"/>
    <w:rsid w:val="00B15389"/>
    <w:rsid w:val="00B15857"/>
    <w:rsid w:val="00B158F7"/>
    <w:rsid w:val="00B15FA5"/>
    <w:rsid w:val="00B168C6"/>
    <w:rsid w:val="00B1702C"/>
    <w:rsid w:val="00B178A3"/>
    <w:rsid w:val="00B17ED5"/>
    <w:rsid w:val="00B2007B"/>
    <w:rsid w:val="00B20AC6"/>
    <w:rsid w:val="00B21734"/>
    <w:rsid w:val="00B220B2"/>
    <w:rsid w:val="00B22390"/>
    <w:rsid w:val="00B226F8"/>
    <w:rsid w:val="00B22F14"/>
    <w:rsid w:val="00B237D9"/>
    <w:rsid w:val="00B2439D"/>
    <w:rsid w:val="00B251CA"/>
    <w:rsid w:val="00B251F7"/>
    <w:rsid w:val="00B258B0"/>
    <w:rsid w:val="00B25B6C"/>
    <w:rsid w:val="00B26230"/>
    <w:rsid w:val="00B26C09"/>
    <w:rsid w:val="00B27CE7"/>
    <w:rsid w:val="00B27E20"/>
    <w:rsid w:val="00B3035B"/>
    <w:rsid w:val="00B3050F"/>
    <w:rsid w:val="00B30642"/>
    <w:rsid w:val="00B30861"/>
    <w:rsid w:val="00B31ADF"/>
    <w:rsid w:val="00B31CC3"/>
    <w:rsid w:val="00B32555"/>
    <w:rsid w:val="00B325F1"/>
    <w:rsid w:val="00B32C05"/>
    <w:rsid w:val="00B333BC"/>
    <w:rsid w:val="00B33D3A"/>
    <w:rsid w:val="00B33F47"/>
    <w:rsid w:val="00B3448B"/>
    <w:rsid w:val="00B345E8"/>
    <w:rsid w:val="00B34728"/>
    <w:rsid w:val="00B35094"/>
    <w:rsid w:val="00B35519"/>
    <w:rsid w:val="00B35654"/>
    <w:rsid w:val="00B35D9E"/>
    <w:rsid w:val="00B36268"/>
    <w:rsid w:val="00B36461"/>
    <w:rsid w:val="00B371A9"/>
    <w:rsid w:val="00B400C3"/>
    <w:rsid w:val="00B402B4"/>
    <w:rsid w:val="00B4093F"/>
    <w:rsid w:val="00B41618"/>
    <w:rsid w:val="00B428E4"/>
    <w:rsid w:val="00B43130"/>
    <w:rsid w:val="00B4347A"/>
    <w:rsid w:val="00B436D3"/>
    <w:rsid w:val="00B44936"/>
    <w:rsid w:val="00B453C5"/>
    <w:rsid w:val="00B454FF"/>
    <w:rsid w:val="00B456CF"/>
    <w:rsid w:val="00B45BF3"/>
    <w:rsid w:val="00B45C15"/>
    <w:rsid w:val="00B46D80"/>
    <w:rsid w:val="00B46E50"/>
    <w:rsid w:val="00B46E78"/>
    <w:rsid w:val="00B47735"/>
    <w:rsid w:val="00B50211"/>
    <w:rsid w:val="00B50C98"/>
    <w:rsid w:val="00B50D20"/>
    <w:rsid w:val="00B5166F"/>
    <w:rsid w:val="00B51F3C"/>
    <w:rsid w:val="00B52B7A"/>
    <w:rsid w:val="00B537ED"/>
    <w:rsid w:val="00B54645"/>
    <w:rsid w:val="00B54677"/>
    <w:rsid w:val="00B547F6"/>
    <w:rsid w:val="00B55A5C"/>
    <w:rsid w:val="00B5623D"/>
    <w:rsid w:val="00B563E8"/>
    <w:rsid w:val="00B569AB"/>
    <w:rsid w:val="00B56A68"/>
    <w:rsid w:val="00B57724"/>
    <w:rsid w:val="00B57F6E"/>
    <w:rsid w:val="00B60124"/>
    <w:rsid w:val="00B605E8"/>
    <w:rsid w:val="00B60E83"/>
    <w:rsid w:val="00B613F2"/>
    <w:rsid w:val="00B61CE7"/>
    <w:rsid w:val="00B61F27"/>
    <w:rsid w:val="00B62133"/>
    <w:rsid w:val="00B62AFC"/>
    <w:rsid w:val="00B62F88"/>
    <w:rsid w:val="00B630BA"/>
    <w:rsid w:val="00B63C0B"/>
    <w:rsid w:val="00B64BE4"/>
    <w:rsid w:val="00B6518C"/>
    <w:rsid w:val="00B652C7"/>
    <w:rsid w:val="00B65D6B"/>
    <w:rsid w:val="00B65E3A"/>
    <w:rsid w:val="00B66896"/>
    <w:rsid w:val="00B66DF1"/>
    <w:rsid w:val="00B7218C"/>
    <w:rsid w:val="00B72930"/>
    <w:rsid w:val="00B729EE"/>
    <w:rsid w:val="00B72B51"/>
    <w:rsid w:val="00B739E8"/>
    <w:rsid w:val="00B73B72"/>
    <w:rsid w:val="00B7406E"/>
    <w:rsid w:val="00B7491D"/>
    <w:rsid w:val="00B756B5"/>
    <w:rsid w:val="00B76BFC"/>
    <w:rsid w:val="00B770AA"/>
    <w:rsid w:val="00B771E3"/>
    <w:rsid w:val="00B777A3"/>
    <w:rsid w:val="00B77EC3"/>
    <w:rsid w:val="00B77F91"/>
    <w:rsid w:val="00B8003C"/>
    <w:rsid w:val="00B807E4"/>
    <w:rsid w:val="00B811A5"/>
    <w:rsid w:val="00B81C4D"/>
    <w:rsid w:val="00B8253C"/>
    <w:rsid w:val="00B825D1"/>
    <w:rsid w:val="00B82809"/>
    <w:rsid w:val="00B8297D"/>
    <w:rsid w:val="00B833BE"/>
    <w:rsid w:val="00B8465A"/>
    <w:rsid w:val="00B846FA"/>
    <w:rsid w:val="00B847FB"/>
    <w:rsid w:val="00B85288"/>
    <w:rsid w:val="00B853CC"/>
    <w:rsid w:val="00B85820"/>
    <w:rsid w:val="00B85ABC"/>
    <w:rsid w:val="00B87B67"/>
    <w:rsid w:val="00B909A1"/>
    <w:rsid w:val="00B90EAB"/>
    <w:rsid w:val="00B91514"/>
    <w:rsid w:val="00B917CF"/>
    <w:rsid w:val="00B91E21"/>
    <w:rsid w:val="00B92036"/>
    <w:rsid w:val="00B920FF"/>
    <w:rsid w:val="00B92BBD"/>
    <w:rsid w:val="00B931E1"/>
    <w:rsid w:val="00B93805"/>
    <w:rsid w:val="00B93978"/>
    <w:rsid w:val="00B93A11"/>
    <w:rsid w:val="00B93D21"/>
    <w:rsid w:val="00B93F23"/>
    <w:rsid w:val="00B949D1"/>
    <w:rsid w:val="00B950D0"/>
    <w:rsid w:val="00B95276"/>
    <w:rsid w:val="00B95294"/>
    <w:rsid w:val="00B952C3"/>
    <w:rsid w:val="00B95F6F"/>
    <w:rsid w:val="00B96432"/>
    <w:rsid w:val="00B9768B"/>
    <w:rsid w:val="00B97D41"/>
    <w:rsid w:val="00BA02A8"/>
    <w:rsid w:val="00BA0FA4"/>
    <w:rsid w:val="00BA1ADC"/>
    <w:rsid w:val="00BA1D75"/>
    <w:rsid w:val="00BA22B1"/>
    <w:rsid w:val="00BA2E28"/>
    <w:rsid w:val="00BA30B3"/>
    <w:rsid w:val="00BA339E"/>
    <w:rsid w:val="00BA4005"/>
    <w:rsid w:val="00BA462F"/>
    <w:rsid w:val="00BA4A55"/>
    <w:rsid w:val="00BA4AA9"/>
    <w:rsid w:val="00BA4B80"/>
    <w:rsid w:val="00BA4E7D"/>
    <w:rsid w:val="00BA5D7B"/>
    <w:rsid w:val="00BA5DC6"/>
    <w:rsid w:val="00BA653C"/>
    <w:rsid w:val="00BA74DB"/>
    <w:rsid w:val="00BA74DE"/>
    <w:rsid w:val="00BB0465"/>
    <w:rsid w:val="00BB0E02"/>
    <w:rsid w:val="00BB124A"/>
    <w:rsid w:val="00BB17A8"/>
    <w:rsid w:val="00BB1C00"/>
    <w:rsid w:val="00BB2127"/>
    <w:rsid w:val="00BB2CC9"/>
    <w:rsid w:val="00BB30DD"/>
    <w:rsid w:val="00BB33AD"/>
    <w:rsid w:val="00BB3533"/>
    <w:rsid w:val="00BB3B90"/>
    <w:rsid w:val="00BB422A"/>
    <w:rsid w:val="00BB44AF"/>
    <w:rsid w:val="00BB45AD"/>
    <w:rsid w:val="00BB4A1F"/>
    <w:rsid w:val="00BB4B9F"/>
    <w:rsid w:val="00BB6193"/>
    <w:rsid w:val="00BB6309"/>
    <w:rsid w:val="00BB67A7"/>
    <w:rsid w:val="00BB68C9"/>
    <w:rsid w:val="00BB6D07"/>
    <w:rsid w:val="00BB6FF6"/>
    <w:rsid w:val="00BB77FC"/>
    <w:rsid w:val="00BC01E4"/>
    <w:rsid w:val="00BC0519"/>
    <w:rsid w:val="00BC0554"/>
    <w:rsid w:val="00BC0AF6"/>
    <w:rsid w:val="00BC1AD5"/>
    <w:rsid w:val="00BC1EFC"/>
    <w:rsid w:val="00BC26AE"/>
    <w:rsid w:val="00BC2BD9"/>
    <w:rsid w:val="00BC336B"/>
    <w:rsid w:val="00BC33B4"/>
    <w:rsid w:val="00BC3BF4"/>
    <w:rsid w:val="00BC450E"/>
    <w:rsid w:val="00BC4564"/>
    <w:rsid w:val="00BC4F07"/>
    <w:rsid w:val="00BC604F"/>
    <w:rsid w:val="00BC69F4"/>
    <w:rsid w:val="00BC6A2D"/>
    <w:rsid w:val="00BC6AD8"/>
    <w:rsid w:val="00BC6B3D"/>
    <w:rsid w:val="00BC6DA5"/>
    <w:rsid w:val="00BC7497"/>
    <w:rsid w:val="00BC7836"/>
    <w:rsid w:val="00BC7AB5"/>
    <w:rsid w:val="00BC7D1A"/>
    <w:rsid w:val="00BC7F8E"/>
    <w:rsid w:val="00BD00C8"/>
    <w:rsid w:val="00BD0795"/>
    <w:rsid w:val="00BD09FE"/>
    <w:rsid w:val="00BD0EAA"/>
    <w:rsid w:val="00BD1665"/>
    <w:rsid w:val="00BD1A19"/>
    <w:rsid w:val="00BD1AF8"/>
    <w:rsid w:val="00BD227D"/>
    <w:rsid w:val="00BD24E0"/>
    <w:rsid w:val="00BD2615"/>
    <w:rsid w:val="00BD27F9"/>
    <w:rsid w:val="00BD2C64"/>
    <w:rsid w:val="00BD306E"/>
    <w:rsid w:val="00BD307D"/>
    <w:rsid w:val="00BD30C9"/>
    <w:rsid w:val="00BD34CC"/>
    <w:rsid w:val="00BD42DF"/>
    <w:rsid w:val="00BD449D"/>
    <w:rsid w:val="00BD4D3C"/>
    <w:rsid w:val="00BD51BB"/>
    <w:rsid w:val="00BD5C56"/>
    <w:rsid w:val="00BD67B0"/>
    <w:rsid w:val="00BD68AF"/>
    <w:rsid w:val="00BD6A89"/>
    <w:rsid w:val="00BD7FC8"/>
    <w:rsid w:val="00BE0327"/>
    <w:rsid w:val="00BE0335"/>
    <w:rsid w:val="00BE03EE"/>
    <w:rsid w:val="00BE06A9"/>
    <w:rsid w:val="00BE117D"/>
    <w:rsid w:val="00BE1784"/>
    <w:rsid w:val="00BE1EC2"/>
    <w:rsid w:val="00BE225D"/>
    <w:rsid w:val="00BE22CA"/>
    <w:rsid w:val="00BE2F60"/>
    <w:rsid w:val="00BE4330"/>
    <w:rsid w:val="00BE478F"/>
    <w:rsid w:val="00BE4A58"/>
    <w:rsid w:val="00BE56A1"/>
    <w:rsid w:val="00BE5C50"/>
    <w:rsid w:val="00BE6D21"/>
    <w:rsid w:val="00BE6DF4"/>
    <w:rsid w:val="00BE6E09"/>
    <w:rsid w:val="00BE72F0"/>
    <w:rsid w:val="00BE77EF"/>
    <w:rsid w:val="00BE7BC3"/>
    <w:rsid w:val="00BE7C8E"/>
    <w:rsid w:val="00BE7CDF"/>
    <w:rsid w:val="00BF1AF3"/>
    <w:rsid w:val="00BF1E38"/>
    <w:rsid w:val="00BF1FF6"/>
    <w:rsid w:val="00BF254C"/>
    <w:rsid w:val="00BF2880"/>
    <w:rsid w:val="00BF43D2"/>
    <w:rsid w:val="00BF4D24"/>
    <w:rsid w:val="00BF4F38"/>
    <w:rsid w:val="00BF4F86"/>
    <w:rsid w:val="00BF526E"/>
    <w:rsid w:val="00BF6AB2"/>
    <w:rsid w:val="00BF6BFA"/>
    <w:rsid w:val="00BF7804"/>
    <w:rsid w:val="00BF7C92"/>
    <w:rsid w:val="00C00113"/>
    <w:rsid w:val="00C006A3"/>
    <w:rsid w:val="00C006CB"/>
    <w:rsid w:val="00C00739"/>
    <w:rsid w:val="00C007B7"/>
    <w:rsid w:val="00C007E7"/>
    <w:rsid w:val="00C00D76"/>
    <w:rsid w:val="00C0100C"/>
    <w:rsid w:val="00C011EC"/>
    <w:rsid w:val="00C022CC"/>
    <w:rsid w:val="00C03BE9"/>
    <w:rsid w:val="00C03D7C"/>
    <w:rsid w:val="00C04281"/>
    <w:rsid w:val="00C05405"/>
    <w:rsid w:val="00C054F2"/>
    <w:rsid w:val="00C05DC0"/>
    <w:rsid w:val="00C05E8F"/>
    <w:rsid w:val="00C0649D"/>
    <w:rsid w:val="00C07238"/>
    <w:rsid w:val="00C079CF"/>
    <w:rsid w:val="00C105C3"/>
    <w:rsid w:val="00C110F1"/>
    <w:rsid w:val="00C11142"/>
    <w:rsid w:val="00C112A7"/>
    <w:rsid w:val="00C11549"/>
    <w:rsid w:val="00C12725"/>
    <w:rsid w:val="00C128CB"/>
    <w:rsid w:val="00C12B04"/>
    <w:rsid w:val="00C13540"/>
    <w:rsid w:val="00C1394D"/>
    <w:rsid w:val="00C1547D"/>
    <w:rsid w:val="00C15842"/>
    <w:rsid w:val="00C159AD"/>
    <w:rsid w:val="00C15CF2"/>
    <w:rsid w:val="00C170D9"/>
    <w:rsid w:val="00C172A6"/>
    <w:rsid w:val="00C1732F"/>
    <w:rsid w:val="00C177A6"/>
    <w:rsid w:val="00C17DE3"/>
    <w:rsid w:val="00C17E33"/>
    <w:rsid w:val="00C20B11"/>
    <w:rsid w:val="00C20B77"/>
    <w:rsid w:val="00C21837"/>
    <w:rsid w:val="00C21A0E"/>
    <w:rsid w:val="00C23C95"/>
    <w:rsid w:val="00C249F8"/>
    <w:rsid w:val="00C24AD5"/>
    <w:rsid w:val="00C253AC"/>
    <w:rsid w:val="00C25625"/>
    <w:rsid w:val="00C2585A"/>
    <w:rsid w:val="00C26988"/>
    <w:rsid w:val="00C27233"/>
    <w:rsid w:val="00C27F04"/>
    <w:rsid w:val="00C30814"/>
    <w:rsid w:val="00C311A1"/>
    <w:rsid w:val="00C31EBB"/>
    <w:rsid w:val="00C32385"/>
    <w:rsid w:val="00C32508"/>
    <w:rsid w:val="00C3267A"/>
    <w:rsid w:val="00C32A7E"/>
    <w:rsid w:val="00C33139"/>
    <w:rsid w:val="00C34B47"/>
    <w:rsid w:val="00C34CF0"/>
    <w:rsid w:val="00C351CE"/>
    <w:rsid w:val="00C3526F"/>
    <w:rsid w:val="00C361A7"/>
    <w:rsid w:val="00C3630C"/>
    <w:rsid w:val="00C36564"/>
    <w:rsid w:val="00C374F9"/>
    <w:rsid w:val="00C37D1E"/>
    <w:rsid w:val="00C37D38"/>
    <w:rsid w:val="00C40CED"/>
    <w:rsid w:val="00C40E8B"/>
    <w:rsid w:val="00C41681"/>
    <w:rsid w:val="00C41B91"/>
    <w:rsid w:val="00C41F27"/>
    <w:rsid w:val="00C4201D"/>
    <w:rsid w:val="00C43000"/>
    <w:rsid w:val="00C4380C"/>
    <w:rsid w:val="00C43E6B"/>
    <w:rsid w:val="00C43F29"/>
    <w:rsid w:val="00C44612"/>
    <w:rsid w:val="00C44FB0"/>
    <w:rsid w:val="00C4520F"/>
    <w:rsid w:val="00C45441"/>
    <w:rsid w:val="00C4579C"/>
    <w:rsid w:val="00C46078"/>
    <w:rsid w:val="00C464BC"/>
    <w:rsid w:val="00C469D7"/>
    <w:rsid w:val="00C4756D"/>
    <w:rsid w:val="00C477AB"/>
    <w:rsid w:val="00C509D7"/>
    <w:rsid w:val="00C5121B"/>
    <w:rsid w:val="00C51526"/>
    <w:rsid w:val="00C52265"/>
    <w:rsid w:val="00C525CD"/>
    <w:rsid w:val="00C5269C"/>
    <w:rsid w:val="00C52C1A"/>
    <w:rsid w:val="00C53605"/>
    <w:rsid w:val="00C538EA"/>
    <w:rsid w:val="00C542F2"/>
    <w:rsid w:val="00C54A89"/>
    <w:rsid w:val="00C54DA5"/>
    <w:rsid w:val="00C5571D"/>
    <w:rsid w:val="00C557AC"/>
    <w:rsid w:val="00C55C12"/>
    <w:rsid w:val="00C55F36"/>
    <w:rsid w:val="00C56103"/>
    <w:rsid w:val="00C56202"/>
    <w:rsid w:val="00C57414"/>
    <w:rsid w:val="00C57DAB"/>
    <w:rsid w:val="00C57F50"/>
    <w:rsid w:val="00C61AF1"/>
    <w:rsid w:val="00C61D4A"/>
    <w:rsid w:val="00C61E07"/>
    <w:rsid w:val="00C62A0A"/>
    <w:rsid w:val="00C63085"/>
    <w:rsid w:val="00C6492D"/>
    <w:rsid w:val="00C658C9"/>
    <w:rsid w:val="00C664DA"/>
    <w:rsid w:val="00C66A47"/>
    <w:rsid w:val="00C66AA3"/>
    <w:rsid w:val="00C674E2"/>
    <w:rsid w:val="00C679E0"/>
    <w:rsid w:val="00C67C38"/>
    <w:rsid w:val="00C71AF3"/>
    <w:rsid w:val="00C729C0"/>
    <w:rsid w:val="00C737C4"/>
    <w:rsid w:val="00C738B2"/>
    <w:rsid w:val="00C7495F"/>
    <w:rsid w:val="00C74B90"/>
    <w:rsid w:val="00C74BE5"/>
    <w:rsid w:val="00C75541"/>
    <w:rsid w:val="00C76270"/>
    <w:rsid w:val="00C76548"/>
    <w:rsid w:val="00C76C1F"/>
    <w:rsid w:val="00C76E27"/>
    <w:rsid w:val="00C76E6E"/>
    <w:rsid w:val="00C7726C"/>
    <w:rsid w:val="00C77766"/>
    <w:rsid w:val="00C77B1B"/>
    <w:rsid w:val="00C77CFD"/>
    <w:rsid w:val="00C806BC"/>
    <w:rsid w:val="00C8076E"/>
    <w:rsid w:val="00C80CC9"/>
    <w:rsid w:val="00C80FBB"/>
    <w:rsid w:val="00C814D8"/>
    <w:rsid w:val="00C81943"/>
    <w:rsid w:val="00C81AE0"/>
    <w:rsid w:val="00C81D34"/>
    <w:rsid w:val="00C826EF"/>
    <w:rsid w:val="00C82A41"/>
    <w:rsid w:val="00C82E2C"/>
    <w:rsid w:val="00C82F97"/>
    <w:rsid w:val="00C84A1D"/>
    <w:rsid w:val="00C85BD1"/>
    <w:rsid w:val="00C85E09"/>
    <w:rsid w:val="00C8607C"/>
    <w:rsid w:val="00C8683B"/>
    <w:rsid w:val="00C86B48"/>
    <w:rsid w:val="00C86E9C"/>
    <w:rsid w:val="00C90A9B"/>
    <w:rsid w:val="00C90F61"/>
    <w:rsid w:val="00C91215"/>
    <w:rsid w:val="00C918AC"/>
    <w:rsid w:val="00C91CC2"/>
    <w:rsid w:val="00C91D74"/>
    <w:rsid w:val="00C93097"/>
    <w:rsid w:val="00C93150"/>
    <w:rsid w:val="00C933D1"/>
    <w:rsid w:val="00C93916"/>
    <w:rsid w:val="00C9598D"/>
    <w:rsid w:val="00C959DB"/>
    <w:rsid w:val="00C96246"/>
    <w:rsid w:val="00C96E4D"/>
    <w:rsid w:val="00C9715D"/>
    <w:rsid w:val="00C977AF"/>
    <w:rsid w:val="00C97A8A"/>
    <w:rsid w:val="00CA1DED"/>
    <w:rsid w:val="00CA2A5E"/>
    <w:rsid w:val="00CA3058"/>
    <w:rsid w:val="00CA3254"/>
    <w:rsid w:val="00CA345F"/>
    <w:rsid w:val="00CA3BF7"/>
    <w:rsid w:val="00CA42CD"/>
    <w:rsid w:val="00CA4A24"/>
    <w:rsid w:val="00CA4FA5"/>
    <w:rsid w:val="00CA528C"/>
    <w:rsid w:val="00CA54DD"/>
    <w:rsid w:val="00CA6EDC"/>
    <w:rsid w:val="00CA6F1C"/>
    <w:rsid w:val="00CA7367"/>
    <w:rsid w:val="00CA7EB7"/>
    <w:rsid w:val="00CB0755"/>
    <w:rsid w:val="00CB09FA"/>
    <w:rsid w:val="00CB0BCC"/>
    <w:rsid w:val="00CB0CB3"/>
    <w:rsid w:val="00CB0FF8"/>
    <w:rsid w:val="00CB1450"/>
    <w:rsid w:val="00CB21B4"/>
    <w:rsid w:val="00CB2568"/>
    <w:rsid w:val="00CB2C98"/>
    <w:rsid w:val="00CB2CBD"/>
    <w:rsid w:val="00CB32DB"/>
    <w:rsid w:val="00CB332D"/>
    <w:rsid w:val="00CB3B09"/>
    <w:rsid w:val="00CB3DF8"/>
    <w:rsid w:val="00CB48DA"/>
    <w:rsid w:val="00CB4AA6"/>
    <w:rsid w:val="00CB4FB1"/>
    <w:rsid w:val="00CB5025"/>
    <w:rsid w:val="00CB5140"/>
    <w:rsid w:val="00CB5F1C"/>
    <w:rsid w:val="00CB67DC"/>
    <w:rsid w:val="00CB683E"/>
    <w:rsid w:val="00CB70B4"/>
    <w:rsid w:val="00CB7170"/>
    <w:rsid w:val="00CB7594"/>
    <w:rsid w:val="00CB7DDD"/>
    <w:rsid w:val="00CC035F"/>
    <w:rsid w:val="00CC0601"/>
    <w:rsid w:val="00CC0895"/>
    <w:rsid w:val="00CC216B"/>
    <w:rsid w:val="00CC2E97"/>
    <w:rsid w:val="00CC3077"/>
    <w:rsid w:val="00CC4161"/>
    <w:rsid w:val="00CC440F"/>
    <w:rsid w:val="00CC4C41"/>
    <w:rsid w:val="00CC5232"/>
    <w:rsid w:val="00CC5889"/>
    <w:rsid w:val="00CC58BC"/>
    <w:rsid w:val="00CC5E1B"/>
    <w:rsid w:val="00CC5F90"/>
    <w:rsid w:val="00CC6C54"/>
    <w:rsid w:val="00CC6E3F"/>
    <w:rsid w:val="00CC709A"/>
    <w:rsid w:val="00CC746D"/>
    <w:rsid w:val="00CC76D1"/>
    <w:rsid w:val="00CC7E20"/>
    <w:rsid w:val="00CD05DD"/>
    <w:rsid w:val="00CD181C"/>
    <w:rsid w:val="00CD24A2"/>
    <w:rsid w:val="00CD2BE6"/>
    <w:rsid w:val="00CD2CB2"/>
    <w:rsid w:val="00CD36CA"/>
    <w:rsid w:val="00CD3C5C"/>
    <w:rsid w:val="00CD49EB"/>
    <w:rsid w:val="00CD4B84"/>
    <w:rsid w:val="00CD4C28"/>
    <w:rsid w:val="00CD5DCB"/>
    <w:rsid w:val="00CD6A79"/>
    <w:rsid w:val="00CD7067"/>
    <w:rsid w:val="00CD7893"/>
    <w:rsid w:val="00CE0125"/>
    <w:rsid w:val="00CE042A"/>
    <w:rsid w:val="00CE09EE"/>
    <w:rsid w:val="00CE0C69"/>
    <w:rsid w:val="00CE19C2"/>
    <w:rsid w:val="00CE22F8"/>
    <w:rsid w:val="00CE28B1"/>
    <w:rsid w:val="00CE34BB"/>
    <w:rsid w:val="00CE3614"/>
    <w:rsid w:val="00CE3C8E"/>
    <w:rsid w:val="00CE43C6"/>
    <w:rsid w:val="00CE43E1"/>
    <w:rsid w:val="00CE4A5A"/>
    <w:rsid w:val="00CE5504"/>
    <w:rsid w:val="00CE5571"/>
    <w:rsid w:val="00CE67E1"/>
    <w:rsid w:val="00CE6952"/>
    <w:rsid w:val="00CE776D"/>
    <w:rsid w:val="00CE7BAC"/>
    <w:rsid w:val="00CF07BA"/>
    <w:rsid w:val="00CF0944"/>
    <w:rsid w:val="00CF131D"/>
    <w:rsid w:val="00CF14E4"/>
    <w:rsid w:val="00CF1ABC"/>
    <w:rsid w:val="00CF209C"/>
    <w:rsid w:val="00CF23BE"/>
    <w:rsid w:val="00CF2B2A"/>
    <w:rsid w:val="00CF2C6C"/>
    <w:rsid w:val="00CF304F"/>
    <w:rsid w:val="00CF3053"/>
    <w:rsid w:val="00CF36B0"/>
    <w:rsid w:val="00CF3ECF"/>
    <w:rsid w:val="00CF4159"/>
    <w:rsid w:val="00CF4D25"/>
    <w:rsid w:val="00CF59FD"/>
    <w:rsid w:val="00CF5F60"/>
    <w:rsid w:val="00CF6792"/>
    <w:rsid w:val="00CF6943"/>
    <w:rsid w:val="00CF70A5"/>
    <w:rsid w:val="00CF784B"/>
    <w:rsid w:val="00CF79C5"/>
    <w:rsid w:val="00CF7BA3"/>
    <w:rsid w:val="00CF7E14"/>
    <w:rsid w:val="00D004EE"/>
    <w:rsid w:val="00D0189F"/>
    <w:rsid w:val="00D01A44"/>
    <w:rsid w:val="00D020A8"/>
    <w:rsid w:val="00D02299"/>
    <w:rsid w:val="00D03420"/>
    <w:rsid w:val="00D03708"/>
    <w:rsid w:val="00D03F29"/>
    <w:rsid w:val="00D040CA"/>
    <w:rsid w:val="00D062B3"/>
    <w:rsid w:val="00D0672A"/>
    <w:rsid w:val="00D069DA"/>
    <w:rsid w:val="00D07E43"/>
    <w:rsid w:val="00D1007F"/>
    <w:rsid w:val="00D1030D"/>
    <w:rsid w:val="00D10473"/>
    <w:rsid w:val="00D10F8C"/>
    <w:rsid w:val="00D1214B"/>
    <w:rsid w:val="00D1219E"/>
    <w:rsid w:val="00D121C5"/>
    <w:rsid w:val="00D1249C"/>
    <w:rsid w:val="00D124F0"/>
    <w:rsid w:val="00D1306B"/>
    <w:rsid w:val="00D13B06"/>
    <w:rsid w:val="00D147C5"/>
    <w:rsid w:val="00D14905"/>
    <w:rsid w:val="00D14F11"/>
    <w:rsid w:val="00D159EB"/>
    <w:rsid w:val="00D15A23"/>
    <w:rsid w:val="00D15DA0"/>
    <w:rsid w:val="00D16615"/>
    <w:rsid w:val="00D167E3"/>
    <w:rsid w:val="00D16C0A"/>
    <w:rsid w:val="00D17150"/>
    <w:rsid w:val="00D17A16"/>
    <w:rsid w:val="00D17FAC"/>
    <w:rsid w:val="00D20CF4"/>
    <w:rsid w:val="00D20F7F"/>
    <w:rsid w:val="00D2189E"/>
    <w:rsid w:val="00D21BEF"/>
    <w:rsid w:val="00D21CA4"/>
    <w:rsid w:val="00D22E3B"/>
    <w:rsid w:val="00D230EF"/>
    <w:rsid w:val="00D231FC"/>
    <w:rsid w:val="00D233CF"/>
    <w:rsid w:val="00D2369C"/>
    <w:rsid w:val="00D23720"/>
    <w:rsid w:val="00D23FB1"/>
    <w:rsid w:val="00D23FB4"/>
    <w:rsid w:val="00D24F92"/>
    <w:rsid w:val="00D257D5"/>
    <w:rsid w:val="00D261DC"/>
    <w:rsid w:val="00D26364"/>
    <w:rsid w:val="00D26D86"/>
    <w:rsid w:val="00D274DF"/>
    <w:rsid w:val="00D276C8"/>
    <w:rsid w:val="00D27A97"/>
    <w:rsid w:val="00D27CA2"/>
    <w:rsid w:val="00D3149F"/>
    <w:rsid w:val="00D31ECA"/>
    <w:rsid w:val="00D3296A"/>
    <w:rsid w:val="00D32F09"/>
    <w:rsid w:val="00D32F18"/>
    <w:rsid w:val="00D337C8"/>
    <w:rsid w:val="00D33A0D"/>
    <w:rsid w:val="00D33C39"/>
    <w:rsid w:val="00D33CAA"/>
    <w:rsid w:val="00D33E3E"/>
    <w:rsid w:val="00D33E8E"/>
    <w:rsid w:val="00D3448A"/>
    <w:rsid w:val="00D345C2"/>
    <w:rsid w:val="00D34775"/>
    <w:rsid w:val="00D34878"/>
    <w:rsid w:val="00D35375"/>
    <w:rsid w:val="00D3714E"/>
    <w:rsid w:val="00D37509"/>
    <w:rsid w:val="00D37611"/>
    <w:rsid w:val="00D40ECC"/>
    <w:rsid w:val="00D4157C"/>
    <w:rsid w:val="00D416BA"/>
    <w:rsid w:val="00D41818"/>
    <w:rsid w:val="00D41F75"/>
    <w:rsid w:val="00D4316B"/>
    <w:rsid w:val="00D43756"/>
    <w:rsid w:val="00D43831"/>
    <w:rsid w:val="00D43F76"/>
    <w:rsid w:val="00D4579E"/>
    <w:rsid w:val="00D45BF2"/>
    <w:rsid w:val="00D45EAD"/>
    <w:rsid w:val="00D46C7F"/>
    <w:rsid w:val="00D46DAE"/>
    <w:rsid w:val="00D46F0A"/>
    <w:rsid w:val="00D46FAF"/>
    <w:rsid w:val="00D4762B"/>
    <w:rsid w:val="00D47AE8"/>
    <w:rsid w:val="00D50590"/>
    <w:rsid w:val="00D519B0"/>
    <w:rsid w:val="00D51BFE"/>
    <w:rsid w:val="00D51F45"/>
    <w:rsid w:val="00D52298"/>
    <w:rsid w:val="00D52362"/>
    <w:rsid w:val="00D52C07"/>
    <w:rsid w:val="00D52CD0"/>
    <w:rsid w:val="00D52E08"/>
    <w:rsid w:val="00D52FD9"/>
    <w:rsid w:val="00D54344"/>
    <w:rsid w:val="00D5578B"/>
    <w:rsid w:val="00D57B3B"/>
    <w:rsid w:val="00D606E2"/>
    <w:rsid w:val="00D60D6D"/>
    <w:rsid w:val="00D61907"/>
    <w:rsid w:val="00D62B19"/>
    <w:rsid w:val="00D62EF4"/>
    <w:rsid w:val="00D632E8"/>
    <w:rsid w:val="00D654F1"/>
    <w:rsid w:val="00D66279"/>
    <w:rsid w:val="00D67071"/>
    <w:rsid w:val="00D70A09"/>
    <w:rsid w:val="00D71852"/>
    <w:rsid w:val="00D72260"/>
    <w:rsid w:val="00D7233D"/>
    <w:rsid w:val="00D724BC"/>
    <w:rsid w:val="00D72A12"/>
    <w:rsid w:val="00D72B33"/>
    <w:rsid w:val="00D72CC3"/>
    <w:rsid w:val="00D72D3E"/>
    <w:rsid w:val="00D72D50"/>
    <w:rsid w:val="00D72E9D"/>
    <w:rsid w:val="00D72F2B"/>
    <w:rsid w:val="00D73A01"/>
    <w:rsid w:val="00D73CCD"/>
    <w:rsid w:val="00D74559"/>
    <w:rsid w:val="00D75377"/>
    <w:rsid w:val="00D7573C"/>
    <w:rsid w:val="00D759F9"/>
    <w:rsid w:val="00D75CAB"/>
    <w:rsid w:val="00D76866"/>
    <w:rsid w:val="00D76AD0"/>
    <w:rsid w:val="00D76C54"/>
    <w:rsid w:val="00D76E80"/>
    <w:rsid w:val="00D7751B"/>
    <w:rsid w:val="00D777AB"/>
    <w:rsid w:val="00D80345"/>
    <w:rsid w:val="00D808C1"/>
    <w:rsid w:val="00D808E8"/>
    <w:rsid w:val="00D80947"/>
    <w:rsid w:val="00D80AD3"/>
    <w:rsid w:val="00D81130"/>
    <w:rsid w:val="00D8133E"/>
    <w:rsid w:val="00D81354"/>
    <w:rsid w:val="00D8183D"/>
    <w:rsid w:val="00D819B0"/>
    <w:rsid w:val="00D81DA9"/>
    <w:rsid w:val="00D81EB5"/>
    <w:rsid w:val="00D8356E"/>
    <w:rsid w:val="00D854B1"/>
    <w:rsid w:val="00D86E14"/>
    <w:rsid w:val="00D879D4"/>
    <w:rsid w:val="00D87A8B"/>
    <w:rsid w:val="00D90878"/>
    <w:rsid w:val="00D90F08"/>
    <w:rsid w:val="00D90F21"/>
    <w:rsid w:val="00D9187E"/>
    <w:rsid w:val="00D918D3"/>
    <w:rsid w:val="00D92394"/>
    <w:rsid w:val="00D924F5"/>
    <w:rsid w:val="00D92E02"/>
    <w:rsid w:val="00D9306B"/>
    <w:rsid w:val="00D930DE"/>
    <w:rsid w:val="00D93109"/>
    <w:rsid w:val="00D93A13"/>
    <w:rsid w:val="00D940AE"/>
    <w:rsid w:val="00D95570"/>
    <w:rsid w:val="00D958FC"/>
    <w:rsid w:val="00D95C72"/>
    <w:rsid w:val="00D960CE"/>
    <w:rsid w:val="00D968AA"/>
    <w:rsid w:val="00D96E4E"/>
    <w:rsid w:val="00D971C7"/>
    <w:rsid w:val="00DA1548"/>
    <w:rsid w:val="00DA1678"/>
    <w:rsid w:val="00DA2B4E"/>
    <w:rsid w:val="00DA2BA2"/>
    <w:rsid w:val="00DA2D72"/>
    <w:rsid w:val="00DA41A9"/>
    <w:rsid w:val="00DA496B"/>
    <w:rsid w:val="00DA4CFE"/>
    <w:rsid w:val="00DA533F"/>
    <w:rsid w:val="00DA543B"/>
    <w:rsid w:val="00DA5D41"/>
    <w:rsid w:val="00DA6040"/>
    <w:rsid w:val="00DA6524"/>
    <w:rsid w:val="00DA67E3"/>
    <w:rsid w:val="00DA6D55"/>
    <w:rsid w:val="00DA6E5C"/>
    <w:rsid w:val="00DA7D06"/>
    <w:rsid w:val="00DB0633"/>
    <w:rsid w:val="00DB08DF"/>
    <w:rsid w:val="00DB0CB9"/>
    <w:rsid w:val="00DB1CC0"/>
    <w:rsid w:val="00DB288A"/>
    <w:rsid w:val="00DB2D90"/>
    <w:rsid w:val="00DB30C9"/>
    <w:rsid w:val="00DB35FD"/>
    <w:rsid w:val="00DB38F8"/>
    <w:rsid w:val="00DB3C68"/>
    <w:rsid w:val="00DB3E67"/>
    <w:rsid w:val="00DB3FBF"/>
    <w:rsid w:val="00DB41C1"/>
    <w:rsid w:val="00DB428E"/>
    <w:rsid w:val="00DB502C"/>
    <w:rsid w:val="00DB54F2"/>
    <w:rsid w:val="00DB5967"/>
    <w:rsid w:val="00DB5EFB"/>
    <w:rsid w:val="00DB659A"/>
    <w:rsid w:val="00DB65CB"/>
    <w:rsid w:val="00DB6647"/>
    <w:rsid w:val="00DB6C37"/>
    <w:rsid w:val="00DB7BB5"/>
    <w:rsid w:val="00DC11CB"/>
    <w:rsid w:val="00DC2E14"/>
    <w:rsid w:val="00DC2FD5"/>
    <w:rsid w:val="00DC377C"/>
    <w:rsid w:val="00DC3C13"/>
    <w:rsid w:val="00DC426D"/>
    <w:rsid w:val="00DC44A6"/>
    <w:rsid w:val="00DC4915"/>
    <w:rsid w:val="00DC5226"/>
    <w:rsid w:val="00DC5580"/>
    <w:rsid w:val="00DC56AE"/>
    <w:rsid w:val="00DC5B87"/>
    <w:rsid w:val="00DC5FF6"/>
    <w:rsid w:val="00DC6251"/>
    <w:rsid w:val="00DC64D4"/>
    <w:rsid w:val="00DC709F"/>
    <w:rsid w:val="00DC7353"/>
    <w:rsid w:val="00DC7841"/>
    <w:rsid w:val="00DD0735"/>
    <w:rsid w:val="00DD0B99"/>
    <w:rsid w:val="00DD163F"/>
    <w:rsid w:val="00DD208C"/>
    <w:rsid w:val="00DD25FF"/>
    <w:rsid w:val="00DD2A66"/>
    <w:rsid w:val="00DD3287"/>
    <w:rsid w:val="00DD3A94"/>
    <w:rsid w:val="00DD428E"/>
    <w:rsid w:val="00DD446A"/>
    <w:rsid w:val="00DD4AC5"/>
    <w:rsid w:val="00DD4FFE"/>
    <w:rsid w:val="00DD6D58"/>
    <w:rsid w:val="00DD7330"/>
    <w:rsid w:val="00DD7871"/>
    <w:rsid w:val="00DE01F4"/>
    <w:rsid w:val="00DE0A0F"/>
    <w:rsid w:val="00DE1090"/>
    <w:rsid w:val="00DE10E3"/>
    <w:rsid w:val="00DE1498"/>
    <w:rsid w:val="00DE1658"/>
    <w:rsid w:val="00DE1AE7"/>
    <w:rsid w:val="00DE1D49"/>
    <w:rsid w:val="00DE313F"/>
    <w:rsid w:val="00DE33FC"/>
    <w:rsid w:val="00DE3426"/>
    <w:rsid w:val="00DE3464"/>
    <w:rsid w:val="00DE368F"/>
    <w:rsid w:val="00DE41E9"/>
    <w:rsid w:val="00DE420A"/>
    <w:rsid w:val="00DE4E96"/>
    <w:rsid w:val="00DE535A"/>
    <w:rsid w:val="00DE57F8"/>
    <w:rsid w:val="00DE5869"/>
    <w:rsid w:val="00DE657A"/>
    <w:rsid w:val="00DE67C6"/>
    <w:rsid w:val="00DE6AE5"/>
    <w:rsid w:val="00DE6CDB"/>
    <w:rsid w:val="00DF3076"/>
    <w:rsid w:val="00DF34CE"/>
    <w:rsid w:val="00DF37FE"/>
    <w:rsid w:val="00DF38D0"/>
    <w:rsid w:val="00DF3ED0"/>
    <w:rsid w:val="00DF40C0"/>
    <w:rsid w:val="00DF4171"/>
    <w:rsid w:val="00DF4CD3"/>
    <w:rsid w:val="00DF5A64"/>
    <w:rsid w:val="00DF5FA8"/>
    <w:rsid w:val="00DF600F"/>
    <w:rsid w:val="00DF6935"/>
    <w:rsid w:val="00DF72C6"/>
    <w:rsid w:val="00DF75A6"/>
    <w:rsid w:val="00E00000"/>
    <w:rsid w:val="00E00A96"/>
    <w:rsid w:val="00E01042"/>
    <w:rsid w:val="00E01452"/>
    <w:rsid w:val="00E01D55"/>
    <w:rsid w:val="00E02BD4"/>
    <w:rsid w:val="00E03567"/>
    <w:rsid w:val="00E038E7"/>
    <w:rsid w:val="00E03BF1"/>
    <w:rsid w:val="00E0410D"/>
    <w:rsid w:val="00E05082"/>
    <w:rsid w:val="00E05536"/>
    <w:rsid w:val="00E06007"/>
    <w:rsid w:val="00E06B28"/>
    <w:rsid w:val="00E06B2C"/>
    <w:rsid w:val="00E06BBE"/>
    <w:rsid w:val="00E07108"/>
    <w:rsid w:val="00E0729E"/>
    <w:rsid w:val="00E0746E"/>
    <w:rsid w:val="00E0783C"/>
    <w:rsid w:val="00E0789E"/>
    <w:rsid w:val="00E07A11"/>
    <w:rsid w:val="00E07C46"/>
    <w:rsid w:val="00E07E36"/>
    <w:rsid w:val="00E10E0E"/>
    <w:rsid w:val="00E11D0A"/>
    <w:rsid w:val="00E120CB"/>
    <w:rsid w:val="00E12473"/>
    <w:rsid w:val="00E12502"/>
    <w:rsid w:val="00E129A3"/>
    <w:rsid w:val="00E12F21"/>
    <w:rsid w:val="00E12F3F"/>
    <w:rsid w:val="00E14317"/>
    <w:rsid w:val="00E1523C"/>
    <w:rsid w:val="00E152A7"/>
    <w:rsid w:val="00E15868"/>
    <w:rsid w:val="00E16A26"/>
    <w:rsid w:val="00E16DA4"/>
    <w:rsid w:val="00E17E54"/>
    <w:rsid w:val="00E2056B"/>
    <w:rsid w:val="00E2064B"/>
    <w:rsid w:val="00E206F1"/>
    <w:rsid w:val="00E20D4D"/>
    <w:rsid w:val="00E20EFC"/>
    <w:rsid w:val="00E2109F"/>
    <w:rsid w:val="00E210A9"/>
    <w:rsid w:val="00E2128F"/>
    <w:rsid w:val="00E21773"/>
    <w:rsid w:val="00E22615"/>
    <w:rsid w:val="00E244CE"/>
    <w:rsid w:val="00E24D9A"/>
    <w:rsid w:val="00E24F3B"/>
    <w:rsid w:val="00E252FD"/>
    <w:rsid w:val="00E256F2"/>
    <w:rsid w:val="00E2581A"/>
    <w:rsid w:val="00E25D34"/>
    <w:rsid w:val="00E26063"/>
    <w:rsid w:val="00E267AD"/>
    <w:rsid w:val="00E26E10"/>
    <w:rsid w:val="00E26EF6"/>
    <w:rsid w:val="00E27543"/>
    <w:rsid w:val="00E27588"/>
    <w:rsid w:val="00E27C3D"/>
    <w:rsid w:val="00E300FA"/>
    <w:rsid w:val="00E302A6"/>
    <w:rsid w:val="00E30B57"/>
    <w:rsid w:val="00E30FE4"/>
    <w:rsid w:val="00E32DCE"/>
    <w:rsid w:val="00E32FC2"/>
    <w:rsid w:val="00E33134"/>
    <w:rsid w:val="00E33F1E"/>
    <w:rsid w:val="00E34067"/>
    <w:rsid w:val="00E3408D"/>
    <w:rsid w:val="00E34254"/>
    <w:rsid w:val="00E346AC"/>
    <w:rsid w:val="00E3492A"/>
    <w:rsid w:val="00E34E5E"/>
    <w:rsid w:val="00E35360"/>
    <w:rsid w:val="00E361DE"/>
    <w:rsid w:val="00E36A2F"/>
    <w:rsid w:val="00E37182"/>
    <w:rsid w:val="00E37218"/>
    <w:rsid w:val="00E37668"/>
    <w:rsid w:val="00E377E3"/>
    <w:rsid w:val="00E37891"/>
    <w:rsid w:val="00E37EFF"/>
    <w:rsid w:val="00E418B8"/>
    <w:rsid w:val="00E41C4E"/>
    <w:rsid w:val="00E42431"/>
    <w:rsid w:val="00E42F21"/>
    <w:rsid w:val="00E4335E"/>
    <w:rsid w:val="00E43505"/>
    <w:rsid w:val="00E441FB"/>
    <w:rsid w:val="00E4563B"/>
    <w:rsid w:val="00E45E9B"/>
    <w:rsid w:val="00E501A5"/>
    <w:rsid w:val="00E506E3"/>
    <w:rsid w:val="00E5087B"/>
    <w:rsid w:val="00E508C6"/>
    <w:rsid w:val="00E51B24"/>
    <w:rsid w:val="00E51E05"/>
    <w:rsid w:val="00E528F0"/>
    <w:rsid w:val="00E52C82"/>
    <w:rsid w:val="00E52D59"/>
    <w:rsid w:val="00E536FD"/>
    <w:rsid w:val="00E53764"/>
    <w:rsid w:val="00E53AAB"/>
    <w:rsid w:val="00E542F7"/>
    <w:rsid w:val="00E54823"/>
    <w:rsid w:val="00E5511F"/>
    <w:rsid w:val="00E55C9E"/>
    <w:rsid w:val="00E56018"/>
    <w:rsid w:val="00E56448"/>
    <w:rsid w:val="00E56471"/>
    <w:rsid w:val="00E5672B"/>
    <w:rsid w:val="00E56B75"/>
    <w:rsid w:val="00E56CC4"/>
    <w:rsid w:val="00E574AC"/>
    <w:rsid w:val="00E57E2A"/>
    <w:rsid w:val="00E60478"/>
    <w:rsid w:val="00E608A1"/>
    <w:rsid w:val="00E61275"/>
    <w:rsid w:val="00E6164E"/>
    <w:rsid w:val="00E6285E"/>
    <w:rsid w:val="00E628E2"/>
    <w:rsid w:val="00E62B14"/>
    <w:rsid w:val="00E62F5E"/>
    <w:rsid w:val="00E63279"/>
    <w:rsid w:val="00E63B04"/>
    <w:rsid w:val="00E64FAE"/>
    <w:rsid w:val="00E6558E"/>
    <w:rsid w:val="00E65B0F"/>
    <w:rsid w:val="00E65B50"/>
    <w:rsid w:val="00E65D73"/>
    <w:rsid w:val="00E66A95"/>
    <w:rsid w:val="00E66DCD"/>
    <w:rsid w:val="00E67F82"/>
    <w:rsid w:val="00E701A2"/>
    <w:rsid w:val="00E702C8"/>
    <w:rsid w:val="00E708F1"/>
    <w:rsid w:val="00E70C9C"/>
    <w:rsid w:val="00E715EC"/>
    <w:rsid w:val="00E7160A"/>
    <w:rsid w:val="00E71CCA"/>
    <w:rsid w:val="00E720E1"/>
    <w:rsid w:val="00E720EC"/>
    <w:rsid w:val="00E723A2"/>
    <w:rsid w:val="00E726B4"/>
    <w:rsid w:val="00E7289E"/>
    <w:rsid w:val="00E73B46"/>
    <w:rsid w:val="00E73C55"/>
    <w:rsid w:val="00E748C4"/>
    <w:rsid w:val="00E74FB9"/>
    <w:rsid w:val="00E75275"/>
    <w:rsid w:val="00E75A72"/>
    <w:rsid w:val="00E77281"/>
    <w:rsid w:val="00E778C2"/>
    <w:rsid w:val="00E77AEF"/>
    <w:rsid w:val="00E80F4B"/>
    <w:rsid w:val="00E81148"/>
    <w:rsid w:val="00E811A9"/>
    <w:rsid w:val="00E8204A"/>
    <w:rsid w:val="00E8261A"/>
    <w:rsid w:val="00E82AD8"/>
    <w:rsid w:val="00E82E7F"/>
    <w:rsid w:val="00E83E7F"/>
    <w:rsid w:val="00E84732"/>
    <w:rsid w:val="00E85016"/>
    <w:rsid w:val="00E8515A"/>
    <w:rsid w:val="00E85F11"/>
    <w:rsid w:val="00E86351"/>
    <w:rsid w:val="00E863E8"/>
    <w:rsid w:val="00E86A9B"/>
    <w:rsid w:val="00E87298"/>
    <w:rsid w:val="00E878F9"/>
    <w:rsid w:val="00E901EF"/>
    <w:rsid w:val="00E909D6"/>
    <w:rsid w:val="00E90AEC"/>
    <w:rsid w:val="00E910CE"/>
    <w:rsid w:val="00E91270"/>
    <w:rsid w:val="00E9219D"/>
    <w:rsid w:val="00E924B5"/>
    <w:rsid w:val="00E93BBA"/>
    <w:rsid w:val="00E942DD"/>
    <w:rsid w:val="00E94471"/>
    <w:rsid w:val="00E94DD9"/>
    <w:rsid w:val="00E952CA"/>
    <w:rsid w:val="00E954FF"/>
    <w:rsid w:val="00E95925"/>
    <w:rsid w:val="00E9649D"/>
    <w:rsid w:val="00E96833"/>
    <w:rsid w:val="00E977AC"/>
    <w:rsid w:val="00EA16A2"/>
    <w:rsid w:val="00EA1BE3"/>
    <w:rsid w:val="00EA1DF7"/>
    <w:rsid w:val="00EA2814"/>
    <w:rsid w:val="00EA28B0"/>
    <w:rsid w:val="00EA3101"/>
    <w:rsid w:val="00EA3EB2"/>
    <w:rsid w:val="00EA443D"/>
    <w:rsid w:val="00EA474E"/>
    <w:rsid w:val="00EA4B59"/>
    <w:rsid w:val="00EA5423"/>
    <w:rsid w:val="00EA5CD5"/>
    <w:rsid w:val="00EA5D0B"/>
    <w:rsid w:val="00EA62F4"/>
    <w:rsid w:val="00EA6B46"/>
    <w:rsid w:val="00EA72B7"/>
    <w:rsid w:val="00EA72E0"/>
    <w:rsid w:val="00EA7D9F"/>
    <w:rsid w:val="00EB0210"/>
    <w:rsid w:val="00EB154A"/>
    <w:rsid w:val="00EB1B92"/>
    <w:rsid w:val="00EB2EEE"/>
    <w:rsid w:val="00EB38F6"/>
    <w:rsid w:val="00EB3F71"/>
    <w:rsid w:val="00EB51CE"/>
    <w:rsid w:val="00EB54BA"/>
    <w:rsid w:val="00EB565E"/>
    <w:rsid w:val="00EB5891"/>
    <w:rsid w:val="00EB6238"/>
    <w:rsid w:val="00EB6D7F"/>
    <w:rsid w:val="00EB6F47"/>
    <w:rsid w:val="00EB7066"/>
    <w:rsid w:val="00EB7810"/>
    <w:rsid w:val="00EB78FE"/>
    <w:rsid w:val="00EC06C4"/>
    <w:rsid w:val="00EC1B54"/>
    <w:rsid w:val="00EC2716"/>
    <w:rsid w:val="00EC2761"/>
    <w:rsid w:val="00EC2B77"/>
    <w:rsid w:val="00EC2CF5"/>
    <w:rsid w:val="00EC33D3"/>
    <w:rsid w:val="00EC37FF"/>
    <w:rsid w:val="00EC3B3C"/>
    <w:rsid w:val="00EC4D73"/>
    <w:rsid w:val="00EC56D9"/>
    <w:rsid w:val="00EC5BD6"/>
    <w:rsid w:val="00EC746C"/>
    <w:rsid w:val="00ED0313"/>
    <w:rsid w:val="00ED03A6"/>
    <w:rsid w:val="00ED0639"/>
    <w:rsid w:val="00ED15D0"/>
    <w:rsid w:val="00ED1643"/>
    <w:rsid w:val="00ED1BEA"/>
    <w:rsid w:val="00ED2191"/>
    <w:rsid w:val="00ED2A0A"/>
    <w:rsid w:val="00ED2DAD"/>
    <w:rsid w:val="00ED2F09"/>
    <w:rsid w:val="00ED356D"/>
    <w:rsid w:val="00ED3B46"/>
    <w:rsid w:val="00ED3C0A"/>
    <w:rsid w:val="00ED4447"/>
    <w:rsid w:val="00ED4739"/>
    <w:rsid w:val="00ED4A8D"/>
    <w:rsid w:val="00ED539F"/>
    <w:rsid w:val="00ED569B"/>
    <w:rsid w:val="00ED56D6"/>
    <w:rsid w:val="00ED617C"/>
    <w:rsid w:val="00ED617D"/>
    <w:rsid w:val="00ED6B79"/>
    <w:rsid w:val="00ED7080"/>
    <w:rsid w:val="00ED75CF"/>
    <w:rsid w:val="00ED7730"/>
    <w:rsid w:val="00ED7DD1"/>
    <w:rsid w:val="00EE0317"/>
    <w:rsid w:val="00EE159C"/>
    <w:rsid w:val="00EE1D32"/>
    <w:rsid w:val="00EE25A6"/>
    <w:rsid w:val="00EE2EC3"/>
    <w:rsid w:val="00EE2F48"/>
    <w:rsid w:val="00EE3974"/>
    <w:rsid w:val="00EE440A"/>
    <w:rsid w:val="00EE45A4"/>
    <w:rsid w:val="00EE4855"/>
    <w:rsid w:val="00EE4D63"/>
    <w:rsid w:val="00EE4EA3"/>
    <w:rsid w:val="00EE5591"/>
    <w:rsid w:val="00EE5FA8"/>
    <w:rsid w:val="00EE61D4"/>
    <w:rsid w:val="00EE63EF"/>
    <w:rsid w:val="00EE673D"/>
    <w:rsid w:val="00EE68DA"/>
    <w:rsid w:val="00EE6F26"/>
    <w:rsid w:val="00EE7F1E"/>
    <w:rsid w:val="00EF004F"/>
    <w:rsid w:val="00EF04B0"/>
    <w:rsid w:val="00EF06C4"/>
    <w:rsid w:val="00EF1201"/>
    <w:rsid w:val="00EF12A1"/>
    <w:rsid w:val="00EF164E"/>
    <w:rsid w:val="00EF20A8"/>
    <w:rsid w:val="00EF21D5"/>
    <w:rsid w:val="00EF31B3"/>
    <w:rsid w:val="00EF3CC7"/>
    <w:rsid w:val="00EF3D77"/>
    <w:rsid w:val="00EF4205"/>
    <w:rsid w:val="00EF4E64"/>
    <w:rsid w:val="00EF5434"/>
    <w:rsid w:val="00EF5825"/>
    <w:rsid w:val="00EF5915"/>
    <w:rsid w:val="00EF5974"/>
    <w:rsid w:val="00EF6399"/>
    <w:rsid w:val="00EF6EBF"/>
    <w:rsid w:val="00EF758F"/>
    <w:rsid w:val="00EF7891"/>
    <w:rsid w:val="00EF7BD7"/>
    <w:rsid w:val="00EF7DA1"/>
    <w:rsid w:val="00F00AC7"/>
    <w:rsid w:val="00F01116"/>
    <w:rsid w:val="00F012B2"/>
    <w:rsid w:val="00F01725"/>
    <w:rsid w:val="00F0181E"/>
    <w:rsid w:val="00F0198F"/>
    <w:rsid w:val="00F01C58"/>
    <w:rsid w:val="00F02526"/>
    <w:rsid w:val="00F02610"/>
    <w:rsid w:val="00F027FD"/>
    <w:rsid w:val="00F02843"/>
    <w:rsid w:val="00F02C9C"/>
    <w:rsid w:val="00F0367A"/>
    <w:rsid w:val="00F0372F"/>
    <w:rsid w:val="00F03DB1"/>
    <w:rsid w:val="00F03DF2"/>
    <w:rsid w:val="00F04367"/>
    <w:rsid w:val="00F04687"/>
    <w:rsid w:val="00F04940"/>
    <w:rsid w:val="00F04CB0"/>
    <w:rsid w:val="00F05198"/>
    <w:rsid w:val="00F051D3"/>
    <w:rsid w:val="00F0610F"/>
    <w:rsid w:val="00F06991"/>
    <w:rsid w:val="00F06B30"/>
    <w:rsid w:val="00F071A9"/>
    <w:rsid w:val="00F074F8"/>
    <w:rsid w:val="00F10510"/>
    <w:rsid w:val="00F1158D"/>
    <w:rsid w:val="00F12360"/>
    <w:rsid w:val="00F129F3"/>
    <w:rsid w:val="00F12BA0"/>
    <w:rsid w:val="00F12C3C"/>
    <w:rsid w:val="00F12DE4"/>
    <w:rsid w:val="00F13169"/>
    <w:rsid w:val="00F1382A"/>
    <w:rsid w:val="00F1392D"/>
    <w:rsid w:val="00F13C03"/>
    <w:rsid w:val="00F14121"/>
    <w:rsid w:val="00F14B1C"/>
    <w:rsid w:val="00F14F34"/>
    <w:rsid w:val="00F15D04"/>
    <w:rsid w:val="00F1666B"/>
    <w:rsid w:val="00F168BB"/>
    <w:rsid w:val="00F1699A"/>
    <w:rsid w:val="00F1728D"/>
    <w:rsid w:val="00F172A0"/>
    <w:rsid w:val="00F1733B"/>
    <w:rsid w:val="00F21411"/>
    <w:rsid w:val="00F218B0"/>
    <w:rsid w:val="00F219C8"/>
    <w:rsid w:val="00F21B26"/>
    <w:rsid w:val="00F21CBB"/>
    <w:rsid w:val="00F22E95"/>
    <w:rsid w:val="00F238B3"/>
    <w:rsid w:val="00F23BD3"/>
    <w:rsid w:val="00F23DD1"/>
    <w:rsid w:val="00F23DD6"/>
    <w:rsid w:val="00F24512"/>
    <w:rsid w:val="00F24629"/>
    <w:rsid w:val="00F24FC0"/>
    <w:rsid w:val="00F257DC"/>
    <w:rsid w:val="00F26ADE"/>
    <w:rsid w:val="00F26BF9"/>
    <w:rsid w:val="00F26C92"/>
    <w:rsid w:val="00F30F51"/>
    <w:rsid w:val="00F312E7"/>
    <w:rsid w:val="00F31411"/>
    <w:rsid w:val="00F32033"/>
    <w:rsid w:val="00F32095"/>
    <w:rsid w:val="00F32359"/>
    <w:rsid w:val="00F32561"/>
    <w:rsid w:val="00F3267A"/>
    <w:rsid w:val="00F327F8"/>
    <w:rsid w:val="00F32858"/>
    <w:rsid w:val="00F32AB1"/>
    <w:rsid w:val="00F32E05"/>
    <w:rsid w:val="00F3301E"/>
    <w:rsid w:val="00F3315E"/>
    <w:rsid w:val="00F33301"/>
    <w:rsid w:val="00F3333A"/>
    <w:rsid w:val="00F334C2"/>
    <w:rsid w:val="00F33B11"/>
    <w:rsid w:val="00F33DB1"/>
    <w:rsid w:val="00F33F18"/>
    <w:rsid w:val="00F34394"/>
    <w:rsid w:val="00F35906"/>
    <w:rsid w:val="00F35B28"/>
    <w:rsid w:val="00F35B51"/>
    <w:rsid w:val="00F35BD4"/>
    <w:rsid w:val="00F365B5"/>
    <w:rsid w:val="00F3700D"/>
    <w:rsid w:val="00F37345"/>
    <w:rsid w:val="00F3755B"/>
    <w:rsid w:val="00F37927"/>
    <w:rsid w:val="00F37D10"/>
    <w:rsid w:val="00F404B1"/>
    <w:rsid w:val="00F41A5B"/>
    <w:rsid w:val="00F41EDF"/>
    <w:rsid w:val="00F42448"/>
    <w:rsid w:val="00F426E5"/>
    <w:rsid w:val="00F42CA4"/>
    <w:rsid w:val="00F42E10"/>
    <w:rsid w:val="00F42E48"/>
    <w:rsid w:val="00F42F3E"/>
    <w:rsid w:val="00F42FD7"/>
    <w:rsid w:val="00F439D5"/>
    <w:rsid w:val="00F43A70"/>
    <w:rsid w:val="00F448B0"/>
    <w:rsid w:val="00F4499E"/>
    <w:rsid w:val="00F44E84"/>
    <w:rsid w:val="00F451FD"/>
    <w:rsid w:val="00F45377"/>
    <w:rsid w:val="00F4549A"/>
    <w:rsid w:val="00F456A4"/>
    <w:rsid w:val="00F45850"/>
    <w:rsid w:val="00F4592D"/>
    <w:rsid w:val="00F460FD"/>
    <w:rsid w:val="00F468C8"/>
    <w:rsid w:val="00F475E2"/>
    <w:rsid w:val="00F47913"/>
    <w:rsid w:val="00F508DE"/>
    <w:rsid w:val="00F50DCD"/>
    <w:rsid w:val="00F51873"/>
    <w:rsid w:val="00F52FB1"/>
    <w:rsid w:val="00F530E4"/>
    <w:rsid w:val="00F532D5"/>
    <w:rsid w:val="00F53EB0"/>
    <w:rsid w:val="00F5452A"/>
    <w:rsid w:val="00F549CC"/>
    <w:rsid w:val="00F55684"/>
    <w:rsid w:val="00F5597D"/>
    <w:rsid w:val="00F560A6"/>
    <w:rsid w:val="00F56384"/>
    <w:rsid w:val="00F5769D"/>
    <w:rsid w:val="00F5795B"/>
    <w:rsid w:val="00F579BC"/>
    <w:rsid w:val="00F6099B"/>
    <w:rsid w:val="00F60A08"/>
    <w:rsid w:val="00F6106E"/>
    <w:rsid w:val="00F6118C"/>
    <w:rsid w:val="00F612B5"/>
    <w:rsid w:val="00F61392"/>
    <w:rsid w:val="00F63379"/>
    <w:rsid w:val="00F63642"/>
    <w:rsid w:val="00F636AD"/>
    <w:rsid w:val="00F64537"/>
    <w:rsid w:val="00F64A58"/>
    <w:rsid w:val="00F657CA"/>
    <w:rsid w:val="00F65C9B"/>
    <w:rsid w:val="00F65CE6"/>
    <w:rsid w:val="00F665C3"/>
    <w:rsid w:val="00F66B14"/>
    <w:rsid w:val="00F6754A"/>
    <w:rsid w:val="00F6799C"/>
    <w:rsid w:val="00F700DA"/>
    <w:rsid w:val="00F7019D"/>
    <w:rsid w:val="00F70829"/>
    <w:rsid w:val="00F70F76"/>
    <w:rsid w:val="00F71026"/>
    <w:rsid w:val="00F71227"/>
    <w:rsid w:val="00F712C2"/>
    <w:rsid w:val="00F71667"/>
    <w:rsid w:val="00F718A9"/>
    <w:rsid w:val="00F72117"/>
    <w:rsid w:val="00F72593"/>
    <w:rsid w:val="00F7264E"/>
    <w:rsid w:val="00F727B4"/>
    <w:rsid w:val="00F72EC5"/>
    <w:rsid w:val="00F7384E"/>
    <w:rsid w:val="00F73B6A"/>
    <w:rsid w:val="00F74A60"/>
    <w:rsid w:val="00F755DE"/>
    <w:rsid w:val="00F7586A"/>
    <w:rsid w:val="00F75B31"/>
    <w:rsid w:val="00F767B3"/>
    <w:rsid w:val="00F7680D"/>
    <w:rsid w:val="00F7791F"/>
    <w:rsid w:val="00F77AD8"/>
    <w:rsid w:val="00F80636"/>
    <w:rsid w:val="00F82330"/>
    <w:rsid w:val="00F82364"/>
    <w:rsid w:val="00F84284"/>
    <w:rsid w:val="00F852B8"/>
    <w:rsid w:val="00F85498"/>
    <w:rsid w:val="00F856A3"/>
    <w:rsid w:val="00F85FA2"/>
    <w:rsid w:val="00F862D2"/>
    <w:rsid w:val="00F86514"/>
    <w:rsid w:val="00F86A3F"/>
    <w:rsid w:val="00F870B7"/>
    <w:rsid w:val="00F8741F"/>
    <w:rsid w:val="00F87AE2"/>
    <w:rsid w:val="00F90A5E"/>
    <w:rsid w:val="00F91181"/>
    <w:rsid w:val="00F9163B"/>
    <w:rsid w:val="00F91F6B"/>
    <w:rsid w:val="00F92C96"/>
    <w:rsid w:val="00F9312A"/>
    <w:rsid w:val="00F939C1"/>
    <w:rsid w:val="00F93D95"/>
    <w:rsid w:val="00F94158"/>
    <w:rsid w:val="00F94545"/>
    <w:rsid w:val="00F9491E"/>
    <w:rsid w:val="00F94A92"/>
    <w:rsid w:val="00F94C5F"/>
    <w:rsid w:val="00F95338"/>
    <w:rsid w:val="00F96108"/>
    <w:rsid w:val="00F96622"/>
    <w:rsid w:val="00F9687D"/>
    <w:rsid w:val="00F968DA"/>
    <w:rsid w:val="00F9703B"/>
    <w:rsid w:val="00F97061"/>
    <w:rsid w:val="00F979A7"/>
    <w:rsid w:val="00F97AD3"/>
    <w:rsid w:val="00F97D76"/>
    <w:rsid w:val="00FA0A63"/>
    <w:rsid w:val="00FA0B3B"/>
    <w:rsid w:val="00FA0C95"/>
    <w:rsid w:val="00FA0EAA"/>
    <w:rsid w:val="00FA1078"/>
    <w:rsid w:val="00FA12EF"/>
    <w:rsid w:val="00FA13E2"/>
    <w:rsid w:val="00FA1AA6"/>
    <w:rsid w:val="00FA1B32"/>
    <w:rsid w:val="00FA1E33"/>
    <w:rsid w:val="00FA2204"/>
    <w:rsid w:val="00FA3569"/>
    <w:rsid w:val="00FA358A"/>
    <w:rsid w:val="00FA3887"/>
    <w:rsid w:val="00FA3A9A"/>
    <w:rsid w:val="00FA3C29"/>
    <w:rsid w:val="00FA3E6A"/>
    <w:rsid w:val="00FA4223"/>
    <w:rsid w:val="00FA4B41"/>
    <w:rsid w:val="00FA56A1"/>
    <w:rsid w:val="00FA5C32"/>
    <w:rsid w:val="00FA60E7"/>
    <w:rsid w:val="00FA61F2"/>
    <w:rsid w:val="00FA7169"/>
    <w:rsid w:val="00FA7896"/>
    <w:rsid w:val="00FB00B2"/>
    <w:rsid w:val="00FB02C0"/>
    <w:rsid w:val="00FB0860"/>
    <w:rsid w:val="00FB08B5"/>
    <w:rsid w:val="00FB0F7C"/>
    <w:rsid w:val="00FB1772"/>
    <w:rsid w:val="00FB184E"/>
    <w:rsid w:val="00FB18F5"/>
    <w:rsid w:val="00FB2617"/>
    <w:rsid w:val="00FB2D52"/>
    <w:rsid w:val="00FB2D8D"/>
    <w:rsid w:val="00FB3308"/>
    <w:rsid w:val="00FB354A"/>
    <w:rsid w:val="00FB4147"/>
    <w:rsid w:val="00FB4231"/>
    <w:rsid w:val="00FB46E7"/>
    <w:rsid w:val="00FB4F93"/>
    <w:rsid w:val="00FB51B0"/>
    <w:rsid w:val="00FB5254"/>
    <w:rsid w:val="00FB5C51"/>
    <w:rsid w:val="00FB5D8D"/>
    <w:rsid w:val="00FB5FC1"/>
    <w:rsid w:val="00FB6337"/>
    <w:rsid w:val="00FB7A05"/>
    <w:rsid w:val="00FB7B3F"/>
    <w:rsid w:val="00FB7CC9"/>
    <w:rsid w:val="00FC02C0"/>
    <w:rsid w:val="00FC0A59"/>
    <w:rsid w:val="00FC11DE"/>
    <w:rsid w:val="00FC1865"/>
    <w:rsid w:val="00FC1BF8"/>
    <w:rsid w:val="00FC2071"/>
    <w:rsid w:val="00FC27EE"/>
    <w:rsid w:val="00FC31E8"/>
    <w:rsid w:val="00FC36DC"/>
    <w:rsid w:val="00FC39AF"/>
    <w:rsid w:val="00FC3F1E"/>
    <w:rsid w:val="00FC4039"/>
    <w:rsid w:val="00FC4938"/>
    <w:rsid w:val="00FC58EF"/>
    <w:rsid w:val="00FC5D97"/>
    <w:rsid w:val="00FC5E42"/>
    <w:rsid w:val="00FC62A8"/>
    <w:rsid w:val="00FC683D"/>
    <w:rsid w:val="00FC6EFC"/>
    <w:rsid w:val="00FC702B"/>
    <w:rsid w:val="00FC71E0"/>
    <w:rsid w:val="00FC7BF5"/>
    <w:rsid w:val="00FD0891"/>
    <w:rsid w:val="00FD0B1E"/>
    <w:rsid w:val="00FD1396"/>
    <w:rsid w:val="00FD14FD"/>
    <w:rsid w:val="00FD1AD8"/>
    <w:rsid w:val="00FD3209"/>
    <w:rsid w:val="00FD3710"/>
    <w:rsid w:val="00FD3D6D"/>
    <w:rsid w:val="00FD4137"/>
    <w:rsid w:val="00FD4368"/>
    <w:rsid w:val="00FD479C"/>
    <w:rsid w:val="00FD4A68"/>
    <w:rsid w:val="00FD5F63"/>
    <w:rsid w:val="00FD5F6D"/>
    <w:rsid w:val="00FD6425"/>
    <w:rsid w:val="00FD6A9D"/>
    <w:rsid w:val="00FD6C1F"/>
    <w:rsid w:val="00FD6FB1"/>
    <w:rsid w:val="00FD7659"/>
    <w:rsid w:val="00FE0437"/>
    <w:rsid w:val="00FE10EE"/>
    <w:rsid w:val="00FE1215"/>
    <w:rsid w:val="00FE1451"/>
    <w:rsid w:val="00FE1E40"/>
    <w:rsid w:val="00FE24D3"/>
    <w:rsid w:val="00FE2E4F"/>
    <w:rsid w:val="00FE3202"/>
    <w:rsid w:val="00FE3276"/>
    <w:rsid w:val="00FE416C"/>
    <w:rsid w:val="00FE4505"/>
    <w:rsid w:val="00FE4F02"/>
    <w:rsid w:val="00FE56B5"/>
    <w:rsid w:val="00FE6488"/>
    <w:rsid w:val="00FE66AC"/>
    <w:rsid w:val="00FE7156"/>
    <w:rsid w:val="00FE746C"/>
    <w:rsid w:val="00FE75A2"/>
    <w:rsid w:val="00FE760A"/>
    <w:rsid w:val="00FE7871"/>
    <w:rsid w:val="00FE7C09"/>
    <w:rsid w:val="00FE7C27"/>
    <w:rsid w:val="00FF04A2"/>
    <w:rsid w:val="00FF1F40"/>
    <w:rsid w:val="00FF242D"/>
    <w:rsid w:val="00FF269E"/>
    <w:rsid w:val="00FF2B54"/>
    <w:rsid w:val="00FF2FAA"/>
    <w:rsid w:val="00FF308F"/>
    <w:rsid w:val="00FF35D2"/>
    <w:rsid w:val="00FF3F02"/>
    <w:rsid w:val="00FF458E"/>
    <w:rsid w:val="00FF4B6D"/>
    <w:rsid w:val="00FF4FD7"/>
    <w:rsid w:val="00FF529B"/>
    <w:rsid w:val="00FF546C"/>
    <w:rsid w:val="00FF5927"/>
    <w:rsid w:val="00FF67DA"/>
    <w:rsid w:val="00FF6B23"/>
    <w:rsid w:val="00FF6D27"/>
    <w:rsid w:val="00FF6E90"/>
    <w:rsid w:val="00FF6EE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1"/>
    <o:shapelayout v:ext="edit">
      <o:idmap v:ext="edit" data="1"/>
    </o:shapelayout>
  </w:shapeDefaults>
  <w:decimalSymbol w:val=","/>
  <w:listSeparator w:val=";"/>
  <w15:chartTrackingRefBased/>
  <w15:docId w15:val="{0B1F1063-1359-42CE-8423-AC764C3B2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F4511"/>
    <w:pPr>
      <w:widowControl w:val="0"/>
      <w:spacing w:before="120" w:line="264" w:lineRule="auto"/>
      <w:ind w:firstLine="709"/>
      <w:jc w:val="both"/>
    </w:pPr>
    <w:rPr>
      <w:sz w:val="26"/>
    </w:rPr>
  </w:style>
  <w:style w:type="paragraph" w:styleId="Nadpis1">
    <w:name w:val="heading 1"/>
    <w:aliases w:val="Hlavní nadpis"/>
    <w:basedOn w:val="Normln"/>
    <w:next w:val="Normln"/>
    <w:link w:val="Nadpis1Char"/>
    <w:qFormat/>
    <w:rsid w:val="00C5269C"/>
    <w:pPr>
      <w:keepNext/>
      <w:pageBreakBefore/>
      <w:numPr>
        <w:numId w:val="3"/>
      </w:numPr>
      <w:spacing w:after="240"/>
      <w:outlineLvl w:val="0"/>
    </w:pPr>
    <w:rPr>
      <w:b/>
      <w:caps/>
      <w:kern w:val="28"/>
      <w:sz w:val="28"/>
    </w:rPr>
  </w:style>
  <w:style w:type="paragraph" w:styleId="Nadpis2">
    <w:name w:val="heading 2"/>
    <w:aliases w:val="Nadpis nižší úrovně,Nadpis nižší úrovnì"/>
    <w:basedOn w:val="Normln"/>
    <w:next w:val="Normln"/>
    <w:link w:val="Nadpis2Char"/>
    <w:qFormat/>
    <w:rsid w:val="00C5269C"/>
    <w:pPr>
      <w:keepNext/>
      <w:widowControl/>
      <w:numPr>
        <w:ilvl w:val="1"/>
        <w:numId w:val="3"/>
      </w:numPr>
      <w:outlineLvl w:val="1"/>
    </w:pPr>
    <w:rPr>
      <w:b/>
      <w:sz w:val="28"/>
    </w:rPr>
  </w:style>
  <w:style w:type="paragraph" w:styleId="Nadpis3">
    <w:name w:val="heading 3"/>
    <w:aliases w:val="r.č.,areál,Titul1"/>
    <w:basedOn w:val="Normln"/>
    <w:next w:val="Normln"/>
    <w:link w:val="Nadpis3Char"/>
    <w:qFormat/>
    <w:rsid w:val="00C5269C"/>
    <w:pPr>
      <w:keepNext/>
      <w:numPr>
        <w:ilvl w:val="2"/>
        <w:numId w:val="3"/>
      </w:numPr>
      <w:outlineLvl w:val="2"/>
    </w:pPr>
    <w:rPr>
      <w:b/>
    </w:rPr>
  </w:style>
  <w:style w:type="paragraph" w:styleId="Nadpis4">
    <w:name w:val="heading 4"/>
    <w:aliases w:val="Titul2"/>
    <w:basedOn w:val="Normln"/>
    <w:next w:val="Normln"/>
    <w:link w:val="Nadpis4Char"/>
    <w:qFormat/>
    <w:rsid w:val="00C5269C"/>
    <w:pPr>
      <w:keepNext/>
      <w:numPr>
        <w:ilvl w:val="3"/>
        <w:numId w:val="3"/>
      </w:numPr>
      <w:outlineLvl w:val="3"/>
    </w:pPr>
    <w:rPr>
      <w:b/>
      <w:i/>
    </w:rPr>
  </w:style>
  <w:style w:type="paragraph" w:styleId="Nadpis5">
    <w:name w:val="heading 5"/>
    <w:basedOn w:val="Normln"/>
    <w:next w:val="Normln"/>
    <w:link w:val="Nadpis5Char"/>
    <w:qFormat/>
    <w:rsid w:val="00C5269C"/>
    <w:pPr>
      <w:spacing w:before="240" w:after="60"/>
      <w:ind w:left="3540" w:hanging="708"/>
      <w:outlineLvl w:val="4"/>
    </w:pPr>
    <w:rPr>
      <w:rFonts w:ascii="Arial" w:hAnsi="Arial"/>
      <w:sz w:val="22"/>
    </w:rPr>
  </w:style>
  <w:style w:type="paragraph" w:styleId="Nadpis6">
    <w:name w:val="heading 6"/>
    <w:basedOn w:val="Normln"/>
    <w:next w:val="Normln"/>
    <w:link w:val="Nadpis6Char"/>
    <w:qFormat/>
    <w:rsid w:val="00C5269C"/>
    <w:pPr>
      <w:spacing w:before="240" w:after="60"/>
      <w:ind w:left="4248" w:hanging="708"/>
      <w:outlineLvl w:val="5"/>
    </w:pPr>
    <w:rPr>
      <w:i/>
      <w:sz w:val="22"/>
    </w:rPr>
  </w:style>
  <w:style w:type="paragraph" w:styleId="Nadpis7">
    <w:name w:val="heading 7"/>
    <w:basedOn w:val="Normln"/>
    <w:next w:val="Normln"/>
    <w:link w:val="Nadpis7Char"/>
    <w:qFormat/>
    <w:rsid w:val="00C5269C"/>
    <w:pPr>
      <w:spacing w:before="240" w:after="60"/>
      <w:ind w:left="4956" w:hanging="708"/>
      <w:outlineLvl w:val="6"/>
    </w:pPr>
    <w:rPr>
      <w:rFonts w:ascii="Arial" w:hAnsi="Arial"/>
      <w:sz w:val="20"/>
    </w:rPr>
  </w:style>
  <w:style w:type="paragraph" w:styleId="Nadpis8">
    <w:name w:val="heading 8"/>
    <w:basedOn w:val="Normln"/>
    <w:next w:val="Normln"/>
    <w:link w:val="Nadpis8Char"/>
    <w:qFormat/>
    <w:rsid w:val="00C5269C"/>
    <w:pPr>
      <w:spacing w:before="240" w:after="60"/>
      <w:ind w:left="5664" w:hanging="708"/>
      <w:outlineLvl w:val="7"/>
    </w:pPr>
    <w:rPr>
      <w:rFonts w:ascii="Arial" w:hAnsi="Arial"/>
      <w:i/>
      <w:sz w:val="20"/>
    </w:rPr>
  </w:style>
  <w:style w:type="paragraph" w:styleId="Nadpis9">
    <w:name w:val="heading 9"/>
    <w:basedOn w:val="Normln"/>
    <w:next w:val="Normln"/>
    <w:link w:val="Nadpis9Char"/>
    <w:qFormat/>
    <w:rsid w:val="00C5269C"/>
    <w:pPr>
      <w:spacing w:before="240" w:after="60"/>
      <w:ind w:left="6372" w:hanging="708"/>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Hlavní nadpis Char"/>
    <w:link w:val="Nadpis1"/>
    <w:locked/>
    <w:rPr>
      <w:b/>
      <w:caps/>
      <w:kern w:val="28"/>
      <w:sz w:val="28"/>
      <w:lang w:val="cs-CZ" w:eastAsia="cs-CZ" w:bidi="ar-SA"/>
    </w:rPr>
  </w:style>
  <w:style w:type="character" w:customStyle="1" w:styleId="Nadpis2Char">
    <w:name w:val="Nadpis 2 Char"/>
    <w:aliases w:val="Nadpis nižší úrovně Char,Nadpis nižší úrovnì Char"/>
    <w:link w:val="Nadpis2"/>
    <w:semiHidden/>
    <w:locked/>
    <w:rPr>
      <w:b/>
      <w:sz w:val="28"/>
      <w:lang w:val="cs-CZ" w:eastAsia="cs-CZ" w:bidi="ar-SA"/>
    </w:rPr>
  </w:style>
  <w:style w:type="character" w:customStyle="1" w:styleId="Nadpis3Char">
    <w:name w:val="Nadpis 3 Char"/>
    <w:aliases w:val="r.č. Char,areál Char,Titul1 Char"/>
    <w:link w:val="Nadpis3"/>
    <w:semiHidden/>
    <w:locked/>
    <w:rPr>
      <w:b/>
      <w:sz w:val="26"/>
      <w:lang w:val="cs-CZ" w:eastAsia="cs-CZ" w:bidi="ar-SA"/>
    </w:rPr>
  </w:style>
  <w:style w:type="character" w:customStyle="1" w:styleId="Nadpis4Char">
    <w:name w:val="Nadpis 4 Char"/>
    <w:aliases w:val="Titul2 Char"/>
    <w:link w:val="Nadpis4"/>
    <w:semiHidden/>
    <w:locked/>
    <w:rPr>
      <w:b/>
      <w:i/>
      <w:sz w:val="26"/>
      <w:lang w:val="cs-CZ" w:eastAsia="cs-CZ" w:bidi="ar-SA"/>
    </w:rPr>
  </w:style>
  <w:style w:type="character" w:customStyle="1" w:styleId="Nadpis5Char">
    <w:name w:val="Nadpis 5 Char"/>
    <w:link w:val="Nadpis5"/>
    <w:semiHidden/>
    <w:locked/>
    <w:rPr>
      <w:rFonts w:ascii="Calibri" w:hAnsi="Calibri" w:cs="Times New Roman"/>
      <w:b/>
      <w:bCs/>
      <w:i/>
      <w:iCs/>
      <w:sz w:val="26"/>
      <w:szCs w:val="26"/>
    </w:rPr>
  </w:style>
  <w:style w:type="character" w:customStyle="1" w:styleId="Nadpis6Char">
    <w:name w:val="Nadpis 6 Char"/>
    <w:link w:val="Nadpis6"/>
    <w:semiHidden/>
    <w:locked/>
    <w:rPr>
      <w:rFonts w:ascii="Calibri" w:hAnsi="Calibri" w:cs="Times New Roman"/>
      <w:b/>
      <w:bCs/>
    </w:rPr>
  </w:style>
  <w:style w:type="character" w:customStyle="1" w:styleId="Nadpis7Char">
    <w:name w:val="Nadpis 7 Char"/>
    <w:link w:val="Nadpis7"/>
    <w:semiHidden/>
    <w:locked/>
    <w:rPr>
      <w:rFonts w:ascii="Calibri" w:hAnsi="Calibri" w:cs="Times New Roman"/>
      <w:sz w:val="24"/>
      <w:szCs w:val="24"/>
    </w:rPr>
  </w:style>
  <w:style w:type="character" w:customStyle="1" w:styleId="Nadpis8Char">
    <w:name w:val="Nadpis 8 Char"/>
    <w:link w:val="Nadpis8"/>
    <w:semiHidden/>
    <w:locked/>
    <w:rPr>
      <w:rFonts w:ascii="Calibri" w:hAnsi="Calibri" w:cs="Times New Roman"/>
      <w:i/>
      <w:iCs/>
      <w:sz w:val="24"/>
      <w:szCs w:val="24"/>
    </w:rPr>
  </w:style>
  <w:style w:type="character" w:customStyle="1" w:styleId="Nadpis9Char">
    <w:name w:val="Nadpis 9 Char"/>
    <w:link w:val="Nadpis9"/>
    <w:semiHidden/>
    <w:locked/>
    <w:rPr>
      <w:rFonts w:ascii="Cambria" w:hAnsi="Cambria" w:cs="Times New Roman"/>
    </w:rPr>
  </w:style>
  <w:style w:type="paragraph" w:styleId="Nzev">
    <w:name w:val="Title"/>
    <w:basedOn w:val="Normln"/>
    <w:link w:val="NzevChar"/>
    <w:qFormat/>
    <w:rsid w:val="00C5269C"/>
    <w:pPr>
      <w:spacing w:before="240" w:after="60" w:line="360" w:lineRule="auto"/>
      <w:jc w:val="center"/>
    </w:pPr>
    <w:rPr>
      <w:rFonts w:ascii="Arial" w:hAnsi="Arial"/>
      <w:b/>
      <w:kern w:val="28"/>
      <w:sz w:val="32"/>
    </w:rPr>
  </w:style>
  <w:style w:type="character" w:customStyle="1" w:styleId="NzevChar">
    <w:name w:val="Název Char"/>
    <w:link w:val="Nzev"/>
    <w:locked/>
    <w:rPr>
      <w:rFonts w:ascii="Cambria" w:hAnsi="Cambria" w:cs="Times New Roman"/>
      <w:b/>
      <w:bCs/>
      <w:kern w:val="28"/>
      <w:sz w:val="32"/>
      <w:szCs w:val="32"/>
    </w:rPr>
  </w:style>
  <w:style w:type="paragraph" w:styleId="Podtitul">
    <w:name w:val="Subtitle"/>
    <w:basedOn w:val="Normln"/>
    <w:link w:val="PodtitulChar"/>
    <w:qFormat/>
    <w:rsid w:val="00C5269C"/>
    <w:pPr>
      <w:spacing w:after="60" w:line="360" w:lineRule="auto"/>
      <w:jc w:val="center"/>
    </w:pPr>
    <w:rPr>
      <w:rFonts w:ascii="Arial" w:hAnsi="Arial"/>
      <w:i/>
      <w:sz w:val="24"/>
    </w:rPr>
  </w:style>
  <w:style w:type="character" w:customStyle="1" w:styleId="PodtitulChar">
    <w:name w:val="Podtitul Char"/>
    <w:link w:val="Podtitul"/>
    <w:locked/>
    <w:rPr>
      <w:rFonts w:ascii="Cambria" w:hAnsi="Cambria" w:cs="Times New Roman"/>
      <w:sz w:val="24"/>
      <w:szCs w:val="24"/>
    </w:rPr>
  </w:style>
  <w:style w:type="paragraph" w:styleId="Zhlav">
    <w:name w:val="header"/>
    <w:basedOn w:val="Normln"/>
    <w:link w:val="ZhlavChar"/>
    <w:rsid w:val="00C5269C"/>
    <w:pPr>
      <w:tabs>
        <w:tab w:val="center" w:pos="4536"/>
        <w:tab w:val="right" w:pos="9072"/>
      </w:tabs>
    </w:pPr>
  </w:style>
  <w:style w:type="character" w:customStyle="1" w:styleId="ZhlavChar">
    <w:name w:val="Záhlaví Char"/>
    <w:link w:val="Zhlav"/>
    <w:semiHidden/>
    <w:locked/>
    <w:rPr>
      <w:rFonts w:cs="Times New Roman"/>
      <w:sz w:val="20"/>
      <w:szCs w:val="20"/>
    </w:rPr>
  </w:style>
  <w:style w:type="character" w:styleId="slostrnky">
    <w:name w:val="page number"/>
    <w:rsid w:val="00C5269C"/>
    <w:rPr>
      <w:rFonts w:cs="Times New Roman"/>
      <w:sz w:val="20"/>
    </w:rPr>
  </w:style>
  <w:style w:type="paragraph" w:styleId="Obsah3">
    <w:name w:val="toc 3"/>
    <w:basedOn w:val="Normln"/>
    <w:next w:val="Normln"/>
    <w:autoRedefine/>
    <w:semiHidden/>
    <w:rsid w:val="00C5269C"/>
    <w:pPr>
      <w:tabs>
        <w:tab w:val="right" w:pos="9062"/>
      </w:tabs>
      <w:spacing w:before="40"/>
      <w:ind w:left="709" w:hanging="709"/>
      <w:jc w:val="left"/>
    </w:pPr>
    <w:rPr>
      <w:noProof/>
      <w:sz w:val="24"/>
      <w:szCs w:val="24"/>
    </w:rPr>
  </w:style>
  <w:style w:type="paragraph" w:styleId="Obsah1">
    <w:name w:val="toc 1"/>
    <w:basedOn w:val="Normln"/>
    <w:next w:val="Normln"/>
    <w:autoRedefine/>
    <w:semiHidden/>
    <w:rsid w:val="00BE77EF"/>
    <w:pPr>
      <w:tabs>
        <w:tab w:val="left" w:pos="522"/>
        <w:tab w:val="right" w:leader="dot" w:pos="9062"/>
      </w:tabs>
      <w:spacing w:before="180"/>
      <w:ind w:firstLine="0"/>
      <w:jc w:val="left"/>
    </w:pPr>
    <w:rPr>
      <w:b/>
      <w:caps/>
      <w:noProof/>
      <w:sz w:val="24"/>
    </w:rPr>
  </w:style>
  <w:style w:type="paragraph" w:styleId="Obsah2">
    <w:name w:val="toc 2"/>
    <w:basedOn w:val="Normln"/>
    <w:next w:val="Normln"/>
    <w:autoRedefine/>
    <w:semiHidden/>
    <w:rsid w:val="00C5269C"/>
    <w:pPr>
      <w:tabs>
        <w:tab w:val="left" w:pos="709"/>
        <w:tab w:val="right" w:leader="dot" w:pos="9062"/>
      </w:tabs>
      <w:spacing w:before="40"/>
      <w:ind w:left="284" w:hanging="261"/>
      <w:jc w:val="left"/>
    </w:pPr>
    <w:rPr>
      <w:noProof/>
      <w:sz w:val="22"/>
    </w:rPr>
  </w:style>
  <w:style w:type="paragraph" w:styleId="Obsah4">
    <w:name w:val="toc 4"/>
    <w:basedOn w:val="Normln"/>
    <w:next w:val="Normln"/>
    <w:autoRedefine/>
    <w:semiHidden/>
    <w:rsid w:val="00C5269C"/>
    <w:pPr>
      <w:ind w:left="780"/>
      <w:jc w:val="left"/>
    </w:pPr>
    <w:rPr>
      <w:sz w:val="20"/>
    </w:rPr>
  </w:style>
  <w:style w:type="paragraph" w:styleId="Obsah5">
    <w:name w:val="toc 5"/>
    <w:basedOn w:val="Normln"/>
    <w:next w:val="Normln"/>
    <w:autoRedefine/>
    <w:semiHidden/>
    <w:rsid w:val="00C5269C"/>
    <w:pPr>
      <w:ind w:left="1040"/>
      <w:jc w:val="left"/>
    </w:pPr>
    <w:rPr>
      <w:sz w:val="20"/>
    </w:rPr>
  </w:style>
  <w:style w:type="paragraph" w:styleId="Obsah6">
    <w:name w:val="toc 6"/>
    <w:basedOn w:val="Normln"/>
    <w:next w:val="Normln"/>
    <w:autoRedefine/>
    <w:semiHidden/>
    <w:rsid w:val="00C5269C"/>
    <w:pPr>
      <w:ind w:left="1300"/>
      <w:jc w:val="left"/>
    </w:pPr>
    <w:rPr>
      <w:sz w:val="20"/>
    </w:rPr>
  </w:style>
  <w:style w:type="paragraph" w:styleId="Obsah7">
    <w:name w:val="toc 7"/>
    <w:basedOn w:val="Normln"/>
    <w:next w:val="Normln"/>
    <w:autoRedefine/>
    <w:semiHidden/>
    <w:rsid w:val="00C5269C"/>
    <w:pPr>
      <w:ind w:left="1560"/>
      <w:jc w:val="left"/>
    </w:pPr>
    <w:rPr>
      <w:sz w:val="20"/>
    </w:rPr>
  </w:style>
  <w:style w:type="paragraph" w:styleId="Obsah8">
    <w:name w:val="toc 8"/>
    <w:basedOn w:val="Normln"/>
    <w:next w:val="Normln"/>
    <w:autoRedefine/>
    <w:semiHidden/>
    <w:rsid w:val="00C5269C"/>
    <w:pPr>
      <w:ind w:left="1820"/>
      <w:jc w:val="left"/>
    </w:pPr>
    <w:rPr>
      <w:sz w:val="20"/>
    </w:rPr>
  </w:style>
  <w:style w:type="paragraph" w:styleId="Obsah9">
    <w:name w:val="toc 9"/>
    <w:basedOn w:val="Normln"/>
    <w:next w:val="Normln"/>
    <w:autoRedefine/>
    <w:semiHidden/>
    <w:rsid w:val="00C5269C"/>
    <w:pPr>
      <w:ind w:left="2080"/>
      <w:jc w:val="left"/>
    </w:pPr>
    <w:rPr>
      <w:sz w:val="20"/>
    </w:rPr>
  </w:style>
  <w:style w:type="paragraph" w:styleId="Seznamobrzk">
    <w:name w:val="table of figures"/>
    <w:basedOn w:val="Normln"/>
    <w:next w:val="Normln"/>
    <w:semiHidden/>
    <w:rsid w:val="00C5269C"/>
    <w:pPr>
      <w:tabs>
        <w:tab w:val="right" w:leader="dot" w:pos="9071"/>
      </w:tabs>
      <w:ind w:left="520" w:hanging="520"/>
    </w:pPr>
  </w:style>
  <w:style w:type="paragraph" w:customStyle="1" w:styleId="dek">
    <w:name w:val="Řádek"/>
    <w:basedOn w:val="Normln"/>
    <w:rsid w:val="00C5269C"/>
    <w:pPr>
      <w:spacing w:line="360" w:lineRule="auto"/>
    </w:pPr>
    <w:rPr>
      <w:sz w:val="24"/>
    </w:rPr>
  </w:style>
  <w:style w:type="paragraph" w:styleId="Zpat">
    <w:name w:val="footer"/>
    <w:basedOn w:val="Normln"/>
    <w:link w:val="ZpatChar"/>
    <w:rsid w:val="00C5269C"/>
    <w:pPr>
      <w:tabs>
        <w:tab w:val="center" w:pos="4536"/>
        <w:tab w:val="right" w:pos="9072"/>
      </w:tabs>
      <w:spacing w:before="240" w:line="360" w:lineRule="auto"/>
    </w:pPr>
    <w:rPr>
      <w:sz w:val="24"/>
    </w:rPr>
  </w:style>
  <w:style w:type="character" w:customStyle="1" w:styleId="ZpatChar">
    <w:name w:val="Zápatí Char"/>
    <w:link w:val="Zpat"/>
    <w:semiHidden/>
    <w:locked/>
    <w:rPr>
      <w:rFonts w:cs="Times New Roman"/>
      <w:sz w:val="20"/>
      <w:szCs w:val="20"/>
    </w:rPr>
  </w:style>
  <w:style w:type="paragraph" w:styleId="Rozloendokumentu">
    <w:name w:val="Document Map"/>
    <w:basedOn w:val="Normln"/>
    <w:link w:val="RozloendokumentuChar"/>
    <w:semiHidden/>
    <w:rsid w:val="00C5269C"/>
    <w:pPr>
      <w:shd w:val="clear" w:color="auto" w:fill="000080"/>
    </w:pPr>
    <w:rPr>
      <w:rFonts w:ascii="Tahoma" w:hAnsi="Tahoma"/>
    </w:rPr>
  </w:style>
  <w:style w:type="character" w:customStyle="1" w:styleId="RozloendokumentuChar">
    <w:name w:val="Rozložení dokumentu Char"/>
    <w:link w:val="Rozloendokumentu"/>
    <w:semiHidden/>
    <w:locked/>
    <w:rPr>
      <w:rFonts w:cs="Times New Roman"/>
      <w:sz w:val="2"/>
    </w:rPr>
  </w:style>
  <w:style w:type="paragraph" w:styleId="Zkladntext">
    <w:name w:val="Body Text"/>
    <w:basedOn w:val="Normln"/>
    <w:link w:val="ZkladntextChar"/>
    <w:rsid w:val="00C5269C"/>
    <w:pPr>
      <w:spacing w:line="288" w:lineRule="auto"/>
    </w:pPr>
    <w:rPr>
      <w:color w:val="FF0000"/>
    </w:rPr>
  </w:style>
  <w:style w:type="character" w:customStyle="1" w:styleId="ZkladntextChar">
    <w:name w:val="Základní text Char"/>
    <w:link w:val="Zkladntext"/>
    <w:semiHidden/>
    <w:locked/>
    <w:rPr>
      <w:rFonts w:cs="Times New Roman"/>
      <w:sz w:val="20"/>
      <w:szCs w:val="20"/>
    </w:rPr>
  </w:style>
  <w:style w:type="paragraph" w:styleId="Titulek">
    <w:name w:val="caption"/>
    <w:aliases w:val="Titulek-Příloha tab,Titulek (nadpis tabulek)"/>
    <w:basedOn w:val="Normln"/>
    <w:next w:val="Normln"/>
    <w:link w:val="TitulekChar"/>
    <w:qFormat/>
    <w:rsid w:val="00C5269C"/>
    <w:pPr>
      <w:spacing w:after="120"/>
    </w:pPr>
    <w:rPr>
      <w:b/>
    </w:rPr>
  </w:style>
  <w:style w:type="paragraph" w:styleId="Zkladntextodsazen">
    <w:name w:val="Body Text Indent"/>
    <w:basedOn w:val="Normln"/>
    <w:link w:val="ZkladntextodsazenChar"/>
    <w:rsid w:val="00C5269C"/>
    <w:rPr>
      <w:i/>
      <w:sz w:val="22"/>
    </w:rPr>
  </w:style>
  <w:style w:type="character" w:customStyle="1" w:styleId="ZkladntextodsazenChar">
    <w:name w:val="Základní text odsazený Char"/>
    <w:link w:val="Zkladntextodsazen"/>
    <w:semiHidden/>
    <w:locked/>
    <w:rsid w:val="006433F8"/>
    <w:rPr>
      <w:rFonts w:cs="Times New Roman"/>
      <w:i/>
      <w:sz w:val="22"/>
      <w:lang w:val="cs-CZ" w:eastAsia="cs-CZ" w:bidi="ar-SA"/>
    </w:rPr>
  </w:style>
  <w:style w:type="paragraph" w:styleId="Zkladntextodsazen2">
    <w:name w:val="Body Text Indent 2"/>
    <w:basedOn w:val="Normln"/>
    <w:link w:val="Zkladntextodsazen2Char"/>
    <w:rsid w:val="00C5269C"/>
    <w:pPr>
      <w:widowControl/>
      <w:spacing w:line="288" w:lineRule="auto"/>
    </w:pPr>
  </w:style>
  <w:style w:type="character" w:customStyle="1" w:styleId="Zkladntextodsazen2Char">
    <w:name w:val="Základní text odsazený 2 Char"/>
    <w:link w:val="Zkladntextodsazen2"/>
    <w:semiHidden/>
    <w:locked/>
    <w:rPr>
      <w:rFonts w:cs="Times New Roman"/>
      <w:sz w:val="20"/>
      <w:szCs w:val="20"/>
    </w:rPr>
  </w:style>
  <w:style w:type="paragraph" w:styleId="Seznamsodrkami">
    <w:name w:val="List Bullet"/>
    <w:basedOn w:val="Normln"/>
    <w:rsid w:val="00C5269C"/>
    <w:pPr>
      <w:widowControl/>
      <w:numPr>
        <w:numId w:val="8"/>
      </w:numPr>
      <w:tabs>
        <w:tab w:val="left" w:pos="284"/>
      </w:tabs>
      <w:spacing w:before="60"/>
    </w:pPr>
    <w:rPr>
      <w:sz w:val="24"/>
    </w:rPr>
  </w:style>
  <w:style w:type="paragraph" w:customStyle="1" w:styleId="ATEM">
    <w:name w:val="ATEM"/>
    <w:basedOn w:val="Normln"/>
    <w:rsid w:val="00C5269C"/>
    <w:pPr>
      <w:widowControl/>
    </w:pPr>
  </w:style>
  <w:style w:type="paragraph" w:styleId="Zkladntextodsazen3">
    <w:name w:val="Body Text Indent 3"/>
    <w:basedOn w:val="Normln"/>
    <w:link w:val="Zkladntextodsazen3Char"/>
    <w:rsid w:val="00C5269C"/>
    <w:pPr>
      <w:spacing w:before="60" w:line="288" w:lineRule="auto"/>
      <w:ind w:left="993" w:hanging="284"/>
    </w:pPr>
    <w:rPr>
      <w:sz w:val="24"/>
    </w:rPr>
  </w:style>
  <w:style w:type="character" w:customStyle="1" w:styleId="Zkladntextodsazen3Char">
    <w:name w:val="Základní text odsazený 3 Char"/>
    <w:link w:val="Zkladntextodsazen3"/>
    <w:semiHidden/>
    <w:locked/>
    <w:rPr>
      <w:rFonts w:cs="Times New Roman"/>
      <w:sz w:val="16"/>
      <w:szCs w:val="16"/>
    </w:rPr>
  </w:style>
  <w:style w:type="paragraph" w:customStyle="1" w:styleId="ZELEN1">
    <w:name w:val="ZELEN1"/>
    <w:basedOn w:val="Normln"/>
    <w:rsid w:val="00C5269C"/>
    <w:pPr>
      <w:widowControl/>
      <w:numPr>
        <w:numId w:val="1"/>
      </w:numPr>
      <w:tabs>
        <w:tab w:val="left" w:pos="425"/>
      </w:tabs>
      <w:spacing w:before="40"/>
      <w:ind w:left="1069"/>
    </w:pPr>
  </w:style>
  <w:style w:type="paragraph" w:styleId="Seznamsodrkami4">
    <w:name w:val="List Bullet 4"/>
    <w:basedOn w:val="Seznamsodrkami"/>
    <w:autoRedefine/>
    <w:rsid w:val="00C5269C"/>
    <w:pPr>
      <w:numPr>
        <w:numId w:val="5"/>
      </w:numPr>
      <w:spacing w:before="120"/>
      <w:ind w:left="709" w:hanging="425"/>
    </w:pPr>
  </w:style>
  <w:style w:type="paragraph" w:styleId="Zkladntext2">
    <w:name w:val="Body Text 2"/>
    <w:basedOn w:val="Normln"/>
    <w:link w:val="Zkladntext2Char"/>
    <w:rsid w:val="00C5269C"/>
    <w:pPr>
      <w:spacing w:line="288" w:lineRule="auto"/>
    </w:pPr>
    <w:rPr>
      <w:b/>
    </w:rPr>
  </w:style>
  <w:style w:type="character" w:customStyle="1" w:styleId="BodyText2Char">
    <w:name w:val="Body Text 2 Char"/>
    <w:semiHidden/>
    <w:locked/>
    <w:rPr>
      <w:rFonts w:cs="Times New Roman"/>
      <w:sz w:val="20"/>
      <w:szCs w:val="20"/>
    </w:rPr>
  </w:style>
  <w:style w:type="paragraph" w:styleId="Textpoznpodarou">
    <w:name w:val="footnote text"/>
    <w:basedOn w:val="Normln"/>
    <w:link w:val="TextpoznpodarouChar"/>
    <w:semiHidden/>
    <w:rsid w:val="00C5269C"/>
    <w:rPr>
      <w:sz w:val="20"/>
    </w:rPr>
  </w:style>
  <w:style w:type="character" w:customStyle="1" w:styleId="TextpoznpodarouChar">
    <w:name w:val="Text pozn. pod čarou Char"/>
    <w:link w:val="Textpoznpodarou"/>
    <w:semiHidden/>
    <w:locked/>
    <w:rPr>
      <w:rFonts w:cs="Times New Roman"/>
      <w:sz w:val="20"/>
      <w:szCs w:val="20"/>
    </w:rPr>
  </w:style>
  <w:style w:type="character" w:styleId="Znakapoznpodarou">
    <w:name w:val="footnote reference"/>
    <w:semiHidden/>
    <w:rsid w:val="00C5269C"/>
    <w:rPr>
      <w:rFonts w:cs="Times New Roman"/>
      <w:vertAlign w:val="superscript"/>
    </w:rPr>
  </w:style>
  <w:style w:type="paragraph" w:customStyle="1" w:styleId="Normln0">
    <w:name w:val="Norm‡ln’"/>
    <w:link w:val="NormlnChar"/>
    <w:rsid w:val="00C5269C"/>
    <w:pPr>
      <w:spacing w:before="120" w:line="264" w:lineRule="auto"/>
      <w:ind w:firstLine="720"/>
      <w:jc w:val="both"/>
    </w:pPr>
    <w:rPr>
      <w:sz w:val="26"/>
    </w:rPr>
  </w:style>
  <w:style w:type="paragraph" w:customStyle="1" w:styleId="Tabulka">
    <w:name w:val="Tabulka"/>
    <w:basedOn w:val="Normln"/>
    <w:rsid w:val="00C5269C"/>
    <w:pPr>
      <w:widowControl/>
      <w:spacing w:before="20" w:after="20"/>
      <w:ind w:firstLine="0"/>
      <w:jc w:val="center"/>
    </w:pPr>
    <w:rPr>
      <w:sz w:val="20"/>
    </w:rPr>
  </w:style>
  <w:style w:type="paragraph" w:customStyle="1" w:styleId="Normal1">
    <w:name w:val="Normal1"/>
    <w:rsid w:val="00C5269C"/>
    <w:pPr>
      <w:tabs>
        <w:tab w:val="left" w:pos="680"/>
      </w:tabs>
      <w:suppressAutoHyphens/>
      <w:spacing w:before="240" w:after="120"/>
      <w:jc w:val="both"/>
    </w:pPr>
    <w:rPr>
      <w:kern w:val="16"/>
      <w:sz w:val="24"/>
    </w:rPr>
  </w:style>
  <w:style w:type="paragraph" w:customStyle="1" w:styleId="TabulkaA">
    <w:name w:val="TabulkaA"/>
    <w:basedOn w:val="Titulek"/>
    <w:rsid w:val="00C5269C"/>
    <w:pPr>
      <w:widowControl/>
      <w:spacing w:line="240" w:lineRule="auto"/>
      <w:ind w:firstLine="142"/>
    </w:pPr>
    <w:rPr>
      <w:sz w:val="20"/>
      <w:szCs w:val="28"/>
    </w:rPr>
  </w:style>
  <w:style w:type="character" w:styleId="Hypertextovodkaz">
    <w:name w:val="Hyperlink"/>
    <w:rsid w:val="00C5269C"/>
    <w:rPr>
      <w:rFonts w:cs="Times New Roman"/>
      <w:color w:val="333399"/>
      <w:u w:val="single"/>
    </w:rPr>
  </w:style>
  <w:style w:type="character" w:styleId="Sledovanodkaz">
    <w:name w:val="FollowedHyperlink"/>
    <w:rsid w:val="00C5269C"/>
    <w:rPr>
      <w:rFonts w:cs="Times New Roman"/>
      <w:color w:val="800080"/>
      <w:u w:val="single"/>
    </w:rPr>
  </w:style>
  <w:style w:type="table" w:styleId="Mkatabulky">
    <w:name w:val="Table Grid"/>
    <w:basedOn w:val="Normlntabulka"/>
    <w:rsid w:val="00002EA1"/>
    <w:pPr>
      <w:widowControl w:val="0"/>
      <w:spacing w:before="120" w:line="264"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
    <w:name w:val="text"/>
    <w:rsid w:val="00C5269C"/>
    <w:rPr>
      <w:rFonts w:cs="Times New Roman"/>
    </w:rPr>
  </w:style>
  <w:style w:type="character" w:styleId="Odkaznakoment">
    <w:name w:val="annotation reference"/>
    <w:semiHidden/>
    <w:rsid w:val="00C5269C"/>
    <w:rPr>
      <w:rFonts w:cs="Times New Roman"/>
      <w:sz w:val="16"/>
      <w:szCs w:val="16"/>
    </w:rPr>
  </w:style>
  <w:style w:type="paragraph" w:styleId="Textkomente">
    <w:name w:val="annotation text"/>
    <w:basedOn w:val="Normln"/>
    <w:link w:val="TextkomenteChar"/>
    <w:semiHidden/>
    <w:rsid w:val="00C5269C"/>
    <w:rPr>
      <w:sz w:val="20"/>
    </w:rPr>
  </w:style>
  <w:style w:type="character" w:customStyle="1" w:styleId="TextkomenteChar">
    <w:name w:val="Text komentáře Char"/>
    <w:link w:val="Textkomente"/>
    <w:semiHidden/>
    <w:locked/>
    <w:rPr>
      <w:rFonts w:cs="Times New Roman"/>
      <w:sz w:val="20"/>
      <w:szCs w:val="20"/>
    </w:rPr>
  </w:style>
  <w:style w:type="paragraph" w:styleId="Pedmtkomente">
    <w:name w:val="annotation subject"/>
    <w:basedOn w:val="Textkomente"/>
    <w:next w:val="Textkomente"/>
    <w:link w:val="PedmtkomenteChar"/>
    <w:semiHidden/>
    <w:rsid w:val="00C5269C"/>
    <w:rPr>
      <w:b/>
      <w:bCs/>
    </w:rPr>
  </w:style>
  <w:style w:type="character" w:customStyle="1" w:styleId="PedmtkomenteChar">
    <w:name w:val="Předmět komentáře Char"/>
    <w:link w:val="Pedmtkomente"/>
    <w:semiHidden/>
    <w:locked/>
    <w:rPr>
      <w:rFonts w:cs="Times New Roman"/>
      <w:b/>
      <w:bCs/>
      <w:sz w:val="20"/>
      <w:szCs w:val="20"/>
    </w:rPr>
  </w:style>
  <w:style w:type="paragraph" w:styleId="Textbubliny">
    <w:name w:val="Balloon Text"/>
    <w:basedOn w:val="Normln"/>
    <w:link w:val="TextbublinyChar"/>
    <w:semiHidden/>
    <w:rsid w:val="00C5269C"/>
    <w:rPr>
      <w:rFonts w:ascii="Tahoma" w:hAnsi="Tahoma" w:cs="Tahoma"/>
      <w:sz w:val="16"/>
      <w:szCs w:val="16"/>
    </w:rPr>
  </w:style>
  <w:style w:type="character" w:customStyle="1" w:styleId="TextbublinyChar">
    <w:name w:val="Text bubliny Char"/>
    <w:link w:val="Textbubliny"/>
    <w:semiHidden/>
    <w:locked/>
    <w:rPr>
      <w:rFonts w:cs="Times New Roman"/>
      <w:sz w:val="2"/>
    </w:rPr>
  </w:style>
  <w:style w:type="paragraph" w:styleId="Prosttext">
    <w:name w:val="Plain Text"/>
    <w:basedOn w:val="Normln"/>
    <w:link w:val="ProsttextChar"/>
    <w:rsid w:val="00C5269C"/>
    <w:pPr>
      <w:widowControl/>
      <w:overflowPunct w:val="0"/>
      <w:autoSpaceDE w:val="0"/>
      <w:autoSpaceDN w:val="0"/>
      <w:adjustRightInd w:val="0"/>
      <w:spacing w:before="0"/>
      <w:ind w:firstLine="0"/>
      <w:jc w:val="left"/>
      <w:textAlignment w:val="baseline"/>
    </w:pPr>
    <w:rPr>
      <w:rFonts w:ascii="Courier New" w:hAnsi="Courier New"/>
      <w:sz w:val="20"/>
    </w:rPr>
  </w:style>
  <w:style w:type="character" w:customStyle="1" w:styleId="ProsttextChar">
    <w:name w:val="Prostý text Char"/>
    <w:link w:val="Prosttext"/>
    <w:semiHidden/>
    <w:locked/>
    <w:rPr>
      <w:rFonts w:ascii="Courier New" w:hAnsi="Courier New" w:cs="Courier New"/>
      <w:sz w:val="20"/>
      <w:szCs w:val="20"/>
    </w:rPr>
  </w:style>
  <w:style w:type="character" w:customStyle="1" w:styleId="Zkladntext1">
    <w:name w:val="Základní text 1"/>
    <w:rsid w:val="00C5269C"/>
    <w:rPr>
      <w:rFonts w:ascii="Arial" w:hAnsi="Arial" w:cs="Times New Roman"/>
      <w:color w:val="000000"/>
      <w:sz w:val="20"/>
      <w:lang w:val="cs-CZ" w:eastAsia="cs-CZ" w:bidi="ar-SA"/>
    </w:rPr>
  </w:style>
  <w:style w:type="paragraph" w:customStyle="1" w:styleId="dka">
    <w:name w:val="Řádka"/>
    <w:rsid w:val="00C5269C"/>
    <w:rPr>
      <w:rFonts w:ascii="Arial" w:hAnsi="Arial"/>
      <w:color w:val="000000"/>
      <w:sz w:val="22"/>
    </w:rPr>
  </w:style>
  <w:style w:type="character" w:customStyle="1" w:styleId="dkaChar">
    <w:name w:val="Řádka Char"/>
    <w:rsid w:val="00C5269C"/>
    <w:rPr>
      <w:rFonts w:ascii="Arial" w:hAnsi="Arial" w:cs="Times New Roman"/>
      <w:color w:val="000000"/>
      <w:sz w:val="22"/>
      <w:lang w:val="cs-CZ" w:eastAsia="cs-CZ" w:bidi="ar-SA"/>
    </w:rPr>
  </w:style>
  <w:style w:type="paragraph" w:customStyle="1" w:styleId="NormlnEIA">
    <w:name w:val="Normální EIA"/>
    <w:basedOn w:val="Normln"/>
    <w:rsid w:val="00C5269C"/>
    <w:pPr>
      <w:widowControl/>
      <w:spacing w:before="60" w:line="300" w:lineRule="atLeast"/>
    </w:pPr>
    <w:rPr>
      <w:sz w:val="22"/>
    </w:rPr>
  </w:style>
  <w:style w:type="character" w:customStyle="1" w:styleId="NormlnEIAChar">
    <w:name w:val="Normální EIA Char"/>
    <w:rsid w:val="00C5269C"/>
    <w:rPr>
      <w:rFonts w:cs="Times New Roman"/>
      <w:sz w:val="22"/>
      <w:lang w:val="cs-CZ" w:eastAsia="cs-CZ" w:bidi="ar-SA"/>
    </w:rPr>
  </w:style>
  <w:style w:type="paragraph" w:customStyle="1" w:styleId="TitulekTituleknadpistabulekTitulek-Plohatab">
    <w:name w:val="Titulek.Titulek (nadpis tabulek).Titulek-Příloha tab"/>
    <w:basedOn w:val="Normln"/>
    <w:next w:val="Normln"/>
    <w:rsid w:val="00A160B5"/>
    <w:pPr>
      <w:widowControl/>
      <w:autoSpaceDE w:val="0"/>
      <w:autoSpaceDN w:val="0"/>
      <w:spacing w:after="120" w:line="300" w:lineRule="atLeast"/>
      <w:ind w:firstLine="0"/>
    </w:pPr>
    <w:rPr>
      <w:b/>
      <w:bCs/>
      <w:sz w:val="22"/>
      <w:szCs w:val="22"/>
    </w:rPr>
  </w:style>
  <w:style w:type="paragraph" w:customStyle="1" w:styleId="ZOV-text-normln">
    <w:name w:val="ZOV-text-normální"/>
    <w:rsid w:val="0016188B"/>
    <w:pPr>
      <w:suppressAutoHyphens/>
      <w:spacing w:before="30" w:after="30" w:line="288" w:lineRule="auto"/>
      <w:jc w:val="both"/>
    </w:pPr>
    <w:rPr>
      <w:rFonts w:ascii="Arial" w:hAnsi="Arial" w:cs="Arial"/>
      <w:lang w:eastAsia="ar-SA"/>
    </w:rPr>
  </w:style>
  <w:style w:type="paragraph" w:customStyle="1" w:styleId="Odstavecseseznamem1">
    <w:name w:val="Odstavec se seznamem1"/>
    <w:basedOn w:val="Normln"/>
    <w:rsid w:val="00F32359"/>
    <w:pPr>
      <w:widowControl/>
      <w:spacing w:before="0" w:after="200" w:line="276" w:lineRule="auto"/>
      <w:ind w:left="720" w:firstLine="0"/>
      <w:contextualSpacing/>
      <w:jc w:val="left"/>
    </w:pPr>
    <w:rPr>
      <w:rFonts w:ascii="Calibri" w:hAnsi="Calibri"/>
      <w:sz w:val="22"/>
      <w:szCs w:val="22"/>
      <w:lang w:eastAsia="en-US"/>
    </w:rPr>
  </w:style>
  <w:style w:type="character" w:customStyle="1" w:styleId="TitulekChar">
    <w:name w:val="Titulek Char"/>
    <w:aliases w:val="Titulek-Příloha tab Char,Titulek (nadpis tabulek) Char"/>
    <w:link w:val="Titulek"/>
    <w:locked/>
    <w:rsid w:val="00130C62"/>
    <w:rPr>
      <w:b/>
      <w:sz w:val="26"/>
      <w:lang w:val="cs-CZ" w:eastAsia="cs-CZ"/>
    </w:rPr>
  </w:style>
  <w:style w:type="character" w:customStyle="1" w:styleId="Zkladntext2Char">
    <w:name w:val="Základní text 2 Char"/>
    <w:link w:val="Zkladntext2"/>
    <w:locked/>
    <w:rsid w:val="000D497A"/>
    <w:rPr>
      <w:b/>
      <w:sz w:val="26"/>
      <w:lang w:val="cs-CZ" w:eastAsia="cs-CZ"/>
    </w:rPr>
  </w:style>
  <w:style w:type="paragraph" w:customStyle="1" w:styleId="PlainText1">
    <w:name w:val="Plain Text1"/>
    <w:basedOn w:val="Normln"/>
    <w:rsid w:val="00E7160A"/>
    <w:pPr>
      <w:widowControl/>
      <w:overflowPunct w:val="0"/>
      <w:autoSpaceDE w:val="0"/>
      <w:autoSpaceDN w:val="0"/>
      <w:adjustRightInd w:val="0"/>
      <w:spacing w:before="0"/>
      <w:ind w:firstLine="0"/>
      <w:jc w:val="left"/>
      <w:textAlignment w:val="baseline"/>
    </w:pPr>
    <w:rPr>
      <w:rFonts w:ascii="Courier New" w:hAnsi="Courier New"/>
      <w:sz w:val="20"/>
    </w:rPr>
  </w:style>
  <w:style w:type="paragraph" w:customStyle="1" w:styleId="Obsahtabulky">
    <w:name w:val="Obsah tabulky"/>
    <w:basedOn w:val="Normln"/>
    <w:rsid w:val="009A5698"/>
    <w:pPr>
      <w:suppressLineNumbers/>
      <w:suppressAutoHyphens/>
    </w:pPr>
    <w:rPr>
      <w:lang w:eastAsia="ar-SA"/>
    </w:rPr>
  </w:style>
  <w:style w:type="paragraph" w:customStyle="1" w:styleId="Mnorm">
    <w:name w:val="Mnorm"/>
    <w:basedOn w:val="Normln"/>
    <w:rsid w:val="00D52C07"/>
    <w:pPr>
      <w:widowControl/>
    </w:pPr>
    <w:rPr>
      <w:sz w:val="12"/>
    </w:rPr>
  </w:style>
  <w:style w:type="paragraph" w:customStyle="1" w:styleId="CharCharChar">
    <w:name w:val="Char Char Char"/>
    <w:basedOn w:val="Normln"/>
    <w:rsid w:val="00ED7730"/>
    <w:pPr>
      <w:widowControl/>
      <w:spacing w:before="0" w:after="160" w:line="240" w:lineRule="exact"/>
      <w:ind w:firstLine="0"/>
    </w:pPr>
    <w:rPr>
      <w:rFonts w:ascii="Times New Roman Bold" w:hAnsi="Times New Roman Bold"/>
      <w:sz w:val="22"/>
      <w:szCs w:val="26"/>
      <w:lang w:val="sk-SK" w:eastAsia="en-US"/>
    </w:rPr>
  </w:style>
  <w:style w:type="character" w:customStyle="1" w:styleId="NormlnChar">
    <w:name w:val="Norm‡ln’ Char"/>
    <w:link w:val="Normln0"/>
    <w:rsid w:val="003B5A19"/>
    <w:rPr>
      <w:sz w:val="26"/>
      <w:lang w:val="cs-CZ" w:eastAsia="cs-CZ" w:bidi="ar-SA"/>
    </w:rPr>
  </w:style>
  <w:style w:type="paragraph" w:customStyle="1" w:styleId="Zkladntext10">
    <w:name w:val="Základní text1"/>
    <w:rsid w:val="008C42A0"/>
    <w:rPr>
      <w:rFonts w:ascii="CG Times" w:hAnsi="CG Times"/>
      <w:color w:val="000000"/>
      <w:sz w:val="24"/>
      <w:lang w:val="en-US"/>
    </w:rPr>
  </w:style>
  <w:style w:type="character" w:customStyle="1" w:styleId="CharChar1">
    <w:name w:val="Char Char1"/>
    <w:rsid w:val="008C42A0"/>
  </w:style>
  <w:style w:type="paragraph" w:styleId="Revize">
    <w:name w:val="Revision"/>
    <w:hidden/>
    <w:uiPriority w:val="99"/>
    <w:semiHidden/>
    <w:rsid w:val="00767E30"/>
    <w:rPr>
      <w:sz w:val="26"/>
    </w:rPr>
  </w:style>
  <w:style w:type="paragraph" w:customStyle="1" w:styleId="CharChar3CharCharCharChar">
    <w:name w:val="Char Char3 Char Char Char Char"/>
    <w:basedOn w:val="Normln"/>
    <w:rsid w:val="007B3CF6"/>
    <w:pPr>
      <w:widowControl/>
      <w:spacing w:before="0" w:after="160" w:line="240" w:lineRule="exact"/>
      <w:ind w:firstLine="0"/>
    </w:pPr>
    <w:rPr>
      <w:rFonts w:ascii="Times New Roman Bold" w:hAnsi="Times New Roman Bold"/>
      <w:sz w:val="22"/>
      <w:szCs w:val="26"/>
      <w:lang w:val="sk-SK" w:eastAsia="en-US"/>
    </w:rPr>
  </w:style>
  <w:style w:type="paragraph" w:customStyle="1" w:styleId="StylNadpis2Ped0b">
    <w:name w:val="Styl Nadpis 2 + Před:  0 b."/>
    <w:basedOn w:val="Nadpis2"/>
    <w:rsid w:val="009E5761"/>
    <w:pPr>
      <w:ind w:left="993" w:hanging="284"/>
    </w:pPr>
    <w:rPr>
      <w:bCs/>
    </w:rPr>
  </w:style>
  <w:style w:type="paragraph" w:customStyle="1" w:styleId="Prosttext1">
    <w:name w:val="Prostý text1"/>
    <w:basedOn w:val="Normln"/>
    <w:rsid w:val="00AC52B4"/>
    <w:pPr>
      <w:widowControl/>
      <w:overflowPunct w:val="0"/>
      <w:autoSpaceDE w:val="0"/>
      <w:autoSpaceDN w:val="0"/>
      <w:adjustRightInd w:val="0"/>
      <w:spacing w:before="0"/>
      <w:ind w:firstLine="0"/>
      <w:jc w:val="left"/>
      <w:textAlignment w:val="baseline"/>
    </w:pPr>
    <w:rPr>
      <w:rFonts w:ascii="Courier New" w:hAnsi="Courier New"/>
      <w:sz w:val="20"/>
    </w:rPr>
  </w:style>
  <w:style w:type="character" w:customStyle="1" w:styleId="BodyTextIndentChar">
    <w:name w:val="Body Text Indent Char"/>
    <w:semiHidden/>
    <w:locked/>
    <w:rsid w:val="00327804"/>
    <w:rPr>
      <w:i/>
      <w:sz w:val="22"/>
      <w:lang w:val="cs-CZ" w:eastAsia="cs-CZ" w:bidi="ar-SA"/>
    </w:rPr>
  </w:style>
  <w:style w:type="paragraph" w:styleId="Zkladntext3">
    <w:name w:val="Body Text 3"/>
    <w:basedOn w:val="Normln"/>
    <w:rsid w:val="006778DB"/>
    <w:pPr>
      <w:widowControl/>
      <w:spacing w:before="0" w:after="120" w:line="240" w:lineRule="auto"/>
      <w:ind w:firstLine="0"/>
      <w:jc w:val="left"/>
    </w:pPr>
    <w:rPr>
      <w:sz w:val="16"/>
      <w:szCs w:val="16"/>
    </w:rPr>
  </w:style>
  <w:style w:type="paragraph" w:customStyle="1" w:styleId="CM19">
    <w:name w:val="CM19"/>
    <w:basedOn w:val="Normln"/>
    <w:next w:val="Normln"/>
    <w:rsid w:val="006778DB"/>
    <w:pPr>
      <w:autoSpaceDE w:val="0"/>
      <w:autoSpaceDN w:val="0"/>
      <w:adjustRightInd w:val="0"/>
      <w:spacing w:before="0" w:line="231" w:lineRule="atLeast"/>
      <w:ind w:firstLine="0"/>
      <w:jc w:val="left"/>
    </w:pPr>
    <w:rPr>
      <w:rFonts w:ascii="Arial" w:hAnsi="Arial" w:cs="Arial"/>
      <w:sz w:val="24"/>
      <w:szCs w:val="24"/>
    </w:rPr>
  </w:style>
  <w:style w:type="paragraph" w:customStyle="1" w:styleId="StylNadpis1TimesNewRoman16bZa12bprovnnad1">
    <w:name w:val="Styl Nadpis 1 + Times New Roman 16 b. Za:  12 b. párování nad 1..."/>
    <w:basedOn w:val="Nadpis1"/>
    <w:rsid w:val="00811618"/>
    <w:pPr>
      <w:pageBreakBefore w:val="0"/>
      <w:widowControl/>
      <w:numPr>
        <w:numId w:val="0"/>
      </w:numPr>
      <w:shd w:val="clear" w:color="auto" w:fill="E0E0E0"/>
      <w:tabs>
        <w:tab w:val="num" w:pos="360"/>
      </w:tabs>
      <w:spacing w:before="240" w:line="240" w:lineRule="auto"/>
      <w:ind w:left="360" w:hanging="360"/>
    </w:pPr>
    <w:rPr>
      <w:bCs/>
      <w:caps w:val="0"/>
      <w:kern w:val="32"/>
      <w:sz w:val="32"/>
    </w:rPr>
  </w:style>
  <w:style w:type="character" w:customStyle="1" w:styleId="HlavnnadpisCharChar">
    <w:name w:val="Hlavní nadpis Char Char"/>
    <w:locked/>
    <w:rsid w:val="00534DCE"/>
    <w:rPr>
      <w:b/>
      <w:caps/>
      <w:kern w:val="28"/>
      <w:sz w:val="28"/>
      <w:lang w:val="cs-CZ" w:eastAsia="cs-CZ" w:bidi="ar-SA"/>
    </w:rPr>
  </w:style>
  <w:style w:type="paragraph" w:customStyle="1" w:styleId="CharChar1CharCharCharCharCharChar">
    <w:name w:val="Char Char1 Char Char Char Char Char Char"/>
    <w:basedOn w:val="Normln"/>
    <w:rsid w:val="00A728C1"/>
    <w:pPr>
      <w:widowControl/>
      <w:spacing w:before="0" w:after="160" w:line="240" w:lineRule="exact"/>
      <w:ind w:firstLine="0"/>
    </w:pPr>
    <w:rPr>
      <w:rFonts w:ascii="Times New Roman Bold" w:hAnsi="Times New Roman Bold"/>
      <w:sz w:val="22"/>
      <w:szCs w:val="26"/>
      <w:lang w:val="sk-SK"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sChild>
        <w:div w:id="37">
          <w:marLeft w:val="75"/>
          <w:marRight w:val="0"/>
          <w:marTop w:val="100"/>
          <w:marBottom w:val="100"/>
          <w:divBdr>
            <w:top w:val="none" w:sz="0" w:space="0" w:color="auto"/>
            <w:left w:val="single" w:sz="12" w:space="4" w:color="000000"/>
            <w:bottom w:val="none" w:sz="0" w:space="0" w:color="auto"/>
            <w:right w:val="none" w:sz="0" w:space="0" w:color="auto"/>
          </w:divBdr>
          <w:divsChild>
            <w:div w:id="25">
              <w:marLeft w:val="75"/>
              <w:marRight w:val="0"/>
              <w:marTop w:val="100"/>
              <w:marBottom w:val="100"/>
              <w:divBdr>
                <w:top w:val="none" w:sz="0" w:space="0" w:color="auto"/>
                <w:left w:val="single" w:sz="12" w:space="4" w:color="000000"/>
                <w:bottom w:val="none" w:sz="0" w:space="0" w:color="auto"/>
                <w:right w:val="none" w:sz="0" w:space="0" w:color="auto"/>
              </w:divBdr>
              <w:divsChild>
                <w:div w:id="42">
                  <w:marLeft w:val="75"/>
                  <w:marRight w:val="0"/>
                  <w:marTop w:val="100"/>
                  <w:marBottom w:val="100"/>
                  <w:divBdr>
                    <w:top w:val="none" w:sz="0" w:space="0" w:color="auto"/>
                    <w:left w:val="single" w:sz="12" w:space="4" w:color="000000"/>
                    <w:bottom w:val="none" w:sz="0" w:space="0" w:color="auto"/>
                    <w:right w:val="none" w:sz="0" w:space="0" w:color="auto"/>
                  </w:divBdr>
                  <w:divsChild>
                    <w:div w:id="24">
                      <w:marLeft w:val="75"/>
                      <w:marRight w:val="0"/>
                      <w:marTop w:val="100"/>
                      <w:marBottom w:val="100"/>
                      <w:divBdr>
                        <w:top w:val="none" w:sz="0" w:space="0" w:color="auto"/>
                        <w:left w:val="single" w:sz="12" w:space="4" w:color="000000"/>
                        <w:bottom w:val="none" w:sz="0" w:space="0" w:color="auto"/>
                        <w:right w:val="none" w:sz="0" w:space="0" w:color="auto"/>
                      </w:divBdr>
                      <w:divsChild>
                        <w:div w:id="36">
                          <w:marLeft w:val="75"/>
                          <w:marRight w:val="0"/>
                          <w:marTop w:val="100"/>
                          <w:marBottom w:val="100"/>
                          <w:divBdr>
                            <w:top w:val="none" w:sz="0" w:space="0" w:color="auto"/>
                            <w:left w:val="single" w:sz="12" w:space="4" w:color="000000"/>
                            <w:bottom w:val="none" w:sz="0" w:space="0" w:color="auto"/>
                            <w:right w:val="none" w:sz="0" w:space="0" w:color="auto"/>
                          </w:divBdr>
                          <w:divsChild>
                            <w:div w:id="4">
                              <w:marLeft w:val="75"/>
                              <w:marRight w:val="0"/>
                              <w:marTop w:val="100"/>
                              <w:marBottom w:val="100"/>
                              <w:divBdr>
                                <w:top w:val="none" w:sz="0" w:space="0" w:color="auto"/>
                                <w:left w:val="single" w:sz="12" w:space="4" w:color="000000"/>
                                <w:bottom w:val="none" w:sz="0" w:space="0" w:color="auto"/>
                                <w:right w:val="none" w:sz="0" w:space="0" w:color="auto"/>
                              </w:divBdr>
                              <w:divsChild>
                                <w:div w:id="44">
                                  <w:marLeft w:val="75"/>
                                  <w:marRight w:val="0"/>
                                  <w:marTop w:val="100"/>
                                  <w:marBottom w:val="100"/>
                                  <w:divBdr>
                                    <w:top w:val="none" w:sz="0" w:space="0" w:color="auto"/>
                                    <w:left w:val="single" w:sz="12" w:space="4" w:color="000000"/>
                                    <w:bottom w:val="none" w:sz="0" w:space="0" w:color="auto"/>
                                    <w:right w:val="none" w:sz="0" w:space="0" w:color="auto"/>
                                  </w:divBdr>
                                  <w:divsChild>
                                    <w:div w:id="15">
                                      <w:marLeft w:val="75"/>
                                      <w:marRight w:val="0"/>
                                      <w:marTop w:val="100"/>
                                      <w:marBottom w:val="100"/>
                                      <w:divBdr>
                                        <w:top w:val="none" w:sz="0" w:space="0" w:color="auto"/>
                                        <w:left w:val="single" w:sz="12" w:space="4" w:color="000000"/>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5">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231618450">
      <w:bodyDiv w:val="1"/>
      <w:marLeft w:val="0"/>
      <w:marRight w:val="0"/>
      <w:marTop w:val="0"/>
      <w:marBottom w:val="0"/>
      <w:divBdr>
        <w:top w:val="none" w:sz="0" w:space="0" w:color="auto"/>
        <w:left w:val="none" w:sz="0" w:space="0" w:color="auto"/>
        <w:bottom w:val="none" w:sz="0" w:space="0" w:color="auto"/>
        <w:right w:val="none" w:sz="0" w:space="0" w:color="auto"/>
      </w:divBdr>
    </w:div>
    <w:div w:id="338776268">
      <w:bodyDiv w:val="1"/>
      <w:marLeft w:val="0"/>
      <w:marRight w:val="0"/>
      <w:marTop w:val="0"/>
      <w:marBottom w:val="0"/>
      <w:divBdr>
        <w:top w:val="none" w:sz="0" w:space="0" w:color="auto"/>
        <w:left w:val="none" w:sz="0" w:space="0" w:color="auto"/>
        <w:bottom w:val="none" w:sz="0" w:space="0" w:color="auto"/>
        <w:right w:val="none" w:sz="0" w:space="0" w:color="auto"/>
      </w:divBdr>
    </w:div>
    <w:div w:id="366030989">
      <w:bodyDiv w:val="1"/>
      <w:marLeft w:val="0"/>
      <w:marRight w:val="0"/>
      <w:marTop w:val="0"/>
      <w:marBottom w:val="0"/>
      <w:divBdr>
        <w:top w:val="none" w:sz="0" w:space="0" w:color="auto"/>
        <w:left w:val="none" w:sz="0" w:space="0" w:color="auto"/>
        <w:bottom w:val="none" w:sz="0" w:space="0" w:color="auto"/>
        <w:right w:val="none" w:sz="0" w:space="0" w:color="auto"/>
      </w:divBdr>
    </w:div>
    <w:div w:id="788008811">
      <w:bodyDiv w:val="1"/>
      <w:marLeft w:val="0"/>
      <w:marRight w:val="0"/>
      <w:marTop w:val="0"/>
      <w:marBottom w:val="0"/>
      <w:divBdr>
        <w:top w:val="none" w:sz="0" w:space="0" w:color="auto"/>
        <w:left w:val="none" w:sz="0" w:space="0" w:color="auto"/>
        <w:bottom w:val="none" w:sz="0" w:space="0" w:color="auto"/>
        <w:right w:val="none" w:sz="0" w:space="0" w:color="auto"/>
      </w:divBdr>
    </w:div>
    <w:div w:id="859275002">
      <w:bodyDiv w:val="1"/>
      <w:marLeft w:val="0"/>
      <w:marRight w:val="0"/>
      <w:marTop w:val="0"/>
      <w:marBottom w:val="0"/>
      <w:divBdr>
        <w:top w:val="none" w:sz="0" w:space="0" w:color="auto"/>
        <w:left w:val="none" w:sz="0" w:space="0" w:color="auto"/>
        <w:bottom w:val="none" w:sz="0" w:space="0" w:color="auto"/>
        <w:right w:val="none" w:sz="0" w:space="0" w:color="auto"/>
      </w:divBdr>
    </w:div>
    <w:div w:id="993872209">
      <w:bodyDiv w:val="1"/>
      <w:marLeft w:val="0"/>
      <w:marRight w:val="0"/>
      <w:marTop w:val="0"/>
      <w:marBottom w:val="0"/>
      <w:divBdr>
        <w:top w:val="none" w:sz="0" w:space="0" w:color="auto"/>
        <w:left w:val="none" w:sz="0" w:space="0" w:color="auto"/>
        <w:bottom w:val="none" w:sz="0" w:space="0" w:color="auto"/>
        <w:right w:val="none" w:sz="0" w:space="0" w:color="auto"/>
      </w:divBdr>
    </w:div>
    <w:div w:id="1160851514">
      <w:bodyDiv w:val="1"/>
      <w:marLeft w:val="0"/>
      <w:marRight w:val="0"/>
      <w:marTop w:val="0"/>
      <w:marBottom w:val="0"/>
      <w:divBdr>
        <w:top w:val="none" w:sz="0" w:space="0" w:color="auto"/>
        <w:left w:val="none" w:sz="0" w:space="0" w:color="auto"/>
        <w:bottom w:val="none" w:sz="0" w:space="0" w:color="auto"/>
        <w:right w:val="none" w:sz="0" w:space="0" w:color="auto"/>
      </w:divBdr>
    </w:div>
    <w:div w:id="1182820986">
      <w:bodyDiv w:val="1"/>
      <w:marLeft w:val="0"/>
      <w:marRight w:val="0"/>
      <w:marTop w:val="0"/>
      <w:marBottom w:val="0"/>
      <w:divBdr>
        <w:top w:val="none" w:sz="0" w:space="0" w:color="auto"/>
        <w:left w:val="none" w:sz="0" w:space="0" w:color="auto"/>
        <w:bottom w:val="none" w:sz="0" w:space="0" w:color="auto"/>
        <w:right w:val="none" w:sz="0" w:space="0" w:color="auto"/>
      </w:divBdr>
    </w:div>
    <w:div w:id="1259026812">
      <w:bodyDiv w:val="1"/>
      <w:marLeft w:val="0"/>
      <w:marRight w:val="0"/>
      <w:marTop w:val="0"/>
      <w:marBottom w:val="0"/>
      <w:divBdr>
        <w:top w:val="none" w:sz="0" w:space="0" w:color="auto"/>
        <w:left w:val="none" w:sz="0" w:space="0" w:color="auto"/>
        <w:bottom w:val="none" w:sz="0" w:space="0" w:color="auto"/>
        <w:right w:val="none" w:sz="0" w:space="0" w:color="auto"/>
      </w:divBdr>
    </w:div>
    <w:div w:id="1360279531">
      <w:bodyDiv w:val="1"/>
      <w:marLeft w:val="0"/>
      <w:marRight w:val="0"/>
      <w:marTop w:val="0"/>
      <w:marBottom w:val="0"/>
      <w:divBdr>
        <w:top w:val="none" w:sz="0" w:space="0" w:color="auto"/>
        <w:left w:val="none" w:sz="0" w:space="0" w:color="auto"/>
        <w:bottom w:val="none" w:sz="0" w:space="0" w:color="auto"/>
        <w:right w:val="none" w:sz="0" w:space="0" w:color="auto"/>
      </w:divBdr>
    </w:div>
    <w:div w:id="1497845337">
      <w:bodyDiv w:val="1"/>
      <w:marLeft w:val="0"/>
      <w:marRight w:val="0"/>
      <w:marTop w:val="0"/>
      <w:marBottom w:val="0"/>
      <w:divBdr>
        <w:top w:val="none" w:sz="0" w:space="0" w:color="auto"/>
        <w:left w:val="none" w:sz="0" w:space="0" w:color="auto"/>
        <w:bottom w:val="none" w:sz="0" w:space="0" w:color="auto"/>
        <w:right w:val="none" w:sz="0" w:space="0" w:color="auto"/>
      </w:divBdr>
    </w:div>
    <w:div w:id="1583762072">
      <w:bodyDiv w:val="1"/>
      <w:marLeft w:val="0"/>
      <w:marRight w:val="0"/>
      <w:marTop w:val="0"/>
      <w:marBottom w:val="0"/>
      <w:divBdr>
        <w:top w:val="none" w:sz="0" w:space="0" w:color="auto"/>
        <w:left w:val="none" w:sz="0" w:space="0" w:color="auto"/>
        <w:bottom w:val="none" w:sz="0" w:space="0" w:color="auto"/>
        <w:right w:val="none" w:sz="0" w:space="0" w:color="auto"/>
      </w:divBdr>
    </w:div>
    <w:div w:id="1676885045">
      <w:bodyDiv w:val="1"/>
      <w:marLeft w:val="0"/>
      <w:marRight w:val="0"/>
      <w:marTop w:val="0"/>
      <w:marBottom w:val="0"/>
      <w:divBdr>
        <w:top w:val="none" w:sz="0" w:space="0" w:color="auto"/>
        <w:left w:val="none" w:sz="0" w:space="0" w:color="auto"/>
        <w:bottom w:val="none" w:sz="0" w:space="0" w:color="auto"/>
        <w:right w:val="none" w:sz="0" w:space="0" w:color="auto"/>
      </w:divBdr>
    </w:div>
    <w:div w:id="1682312409">
      <w:bodyDiv w:val="1"/>
      <w:marLeft w:val="0"/>
      <w:marRight w:val="0"/>
      <w:marTop w:val="0"/>
      <w:marBottom w:val="0"/>
      <w:divBdr>
        <w:top w:val="none" w:sz="0" w:space="0" w:color="auto"/>
        <w:left w:val="none" w:sz="0" w:space="0" w:color="auto"/>
        <w:bottom w:val="none" w:sz="0" w:space="0" w:color="auto"/>
        <w:right w:val="none" w:sz="0" w:space="0" w:color="auto"/>
      </w:divBdr>
    </w:div>
    <w:div w:id="1769736955">
      <w:bodyDiv w:val="1"/>
      <w:marLeft w:val="0"/>
      <w:marRight w:val="0"/>
      <w:marTop w:val="0"/>
      <w:marBottom w:val="0"/>
      <w:divBdr>
        <w:top w:val="none" w:sz="0" w:space="0" w:color="auto"/>
        <w:left w:val="none" w:sz="0" w:space="0" w:color="auto"/>
        <w:bottom w:val="none" w:sz="0" w:space="0" w:color="auto"/>
        <w:right w:val="none" w:sz="0" w:space="0" w:color="auto"/>
      </w:divBdr>
    </w:div>
    <w:div w:id="1868908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atem.cz/atem.php"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portal.chmi.cz/files/portal/docs/uoco/isko/ozko/ozko_CZ.html" TargetMode="Externa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wm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44</Pages>
  <Words>11885</Words>
  <Characters>68955</Characters>
  <Application>Microsoft Office Word</Application>
  <DocSecurity>0</DocSecurity>
  <Lines>574</Lines>
  <Paragraphs>161</Paragraphs>
  <ScaleCrop>false</ScaleCrop>
  <HeadingPairs>
    <vt:vector size="2" baseType="variant">
      <vt:variant>
        <vt:lpstr>Název</vt:lpstr>
      </vt:variant>
      <vt:variant>
        <vt:i4>1</vt:i4>
      </vt:variant>
    </vt:vector>
  </HeadingPairs>
  <TitlesOfParts>
    <vt:vector size="1" baseType="lpstr">
      <vt:lpstr> </vt:lpstr>
    </vt:vector>
  </TitlesOfParts>
  <Company>ATEM</Company>
  <LinksUpToDate>false</LinksUpToDate>
  <CharactersWithSpaces>80679</CharactersWithSpaces>
  <SharedDoc>false</SharedDoc>
  <HLinks>
    <vt:vector size="12" baseType="variant">
      <vt:variant>
        <vt:i4>3735660</vt:i4>
      </vt:variant>
      <vt:variant>
        <vt:i4>99</vt:i4>
      </vt:variant>
      <vt:variant>
        <vt:i4>0</vt:i4>
      </vt:variant>
      <vt:variant>
        <vt:i4>5</vt:i4>
      </vt:variant>
      <vt:variant>
        <vt:lpwstr>http://www.atem.cz/atem.php</vt:lpwstr>
      </vt:variant>
      <vt:variant>
        <vt:lpwstr/>
      </vt:variant>
      <vt:variant>
        <vt:i4>4915247</vt:i4>
      </vt:variant>
      <vt:variant>
        <vt:i4>96</vt:i4>
      </vt:variant>
      <vt:variant>
        <vt:i4>0</vt:i4>
      </vt:variant>
      <vt:variant>
        <vt:i4>5</vt:i4>
      </vt:variant>
      <vt:variant>
        <vt:lpwstr>http://portal.chmi.cz/files/portal/docs/uoco/isko/ozko/ozko_CZ.html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ES</dc:creator>
  <cp:keywords/>
  <cp:lastModifiedBy>Libor Krajíček</cp:lastModifiedBy>
  <cp:revision>3</cp:revision>
  <cp:lastPrinted>2023-03-29T17:59:00Z</cp:lastPrinted>
  <dcterms:created xsi:type="dcterms:W3CDTF">2021-11-15T01:32:00Z</dcterms:created>
  <dcterms:modified xsi:type="dcterms:W3CDTF">2023-03-29T17:59:00Z</dcterms:modified>
</cp:coreProperties>
</file>