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10.xml" ContentType="application/vnd.openxmlformats-officedocument.wordprocessingml.header+xml"/>
  <Override PartName="/word/footer8.xml" ContentType="application/vnd.openxmlformats-officedocument.wordprocessingml.footer+xml"/>
  <Override PartName="/word/header11.xml" ContentType="application/vnd.openxmlformats-officedocument.wordprocessingml.header+xml"/>
  <Override PartName="/word/footer9.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0.xml" ContentType="application/vnd.openxmlformats-officedocument.wordprocessingml.footer+xml"/>
  <Override PartName="/word/header14.xml" ContentType="application/vnd.openxmlformats-officedocument.wordprocessingml.header+xml"/>
  <Override PartName="/word/footer11.xml" ContentType="application/vnd.openxmlformats-officedocument.wordprocessingml.footer+xml"/>
  <Override PartName="/word/header15.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073689" w14:textId="15FE808C" w:rsidR="00C42F1D" w:rsidRPr="006B3F59" w:rsidRDefault="0063344A" w:rsidP="005536E6">
      <w:pPr>
        <w:tabs>
          <w:tab w:val="left" w:pos="9498"/>
        </w:tabs>
        <w:jc w:val="right"/>
        <w:rPr>
          <w:noProof/>
          <w:sz w:val="32"/>
          <w:szCs w:val="32"/>
          <w:lang w:eastAsia="cs-CZ"/>
        </w:rPr>
      </w:pPr>
      <w:r w:rsidRPr="006B3F59">
        <w:rPr>
          <w:noProof/>
          <w:sz w:val="32"/>
          <w:szCs w:val="32"/>
          <w:lang w:eastAsia="cs-CZ"/>
        </w:rPr>
        <w:drawing>
          <wp:anchor distT="0" distB="0" distL="114300" distR="114300" simplePos="0" relativeHeight="251646976" behindDoc="1" locked="0" layoutInCell="1" allowOverlap="1" wp14:anchorId="0A7AD431" wp14:editId="1079900B">
            <wp:simplePos x="0" y="0"/>
            <wp:positionH relativeFrom="margin">
              <wp:posOffset>-83185</wp:posOffset>
            </wp:positionH>
            <wp:positionV relativeFrom="paragraph">
              <wp:posOffset>-870404</wp:posOffset>
            </wp:positionV>
            <wp:extent cx="1663065" cy="10346055"/>
            <wp:effectExtent l="0" t="0" r="0" b="0"/>
            <wp:wrapNone/>
            <wp:docPr id="10"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63065" cy="10346055"/>
                    </a:xfrm>
                    <a:prstGeom prst="rect">
                      <a:avLst/>
                    </a:prstGeom>
                    <a:noFill/>
                  </pic:spPr>
                </pic:pic>
              </a:graphicData>
            </a:graphic>
            <wp14:sizeRelH relativeFrom="margin">
              <wp14:pctWidth>0</wp14:pctWidth>
            </wp14:sizeRelH>
            <wp14:sizeRelV relativeFrom="margin">
              <wp14:pctHeight>0</wp14:pctHeight>
            </wp14:sizeRelV>
          </wp:anchor>
        </w:drawing>
      </w:r>
    </w:p>
    <w:p w14:paraId="24C424ED" w14:textId="77777777" w:rsidR="00C42F1D" w:rsidRPr="006B3F59" w:rsidRDefault="00C42F1D" w:rsidP="005536E6">
      <w:pPr>
        <w:tabs>
          <w:tab w:val="left" w:pos="9498"/>
        </w:tabs>
        <w:jc w:val="right"/>
        <w:rPr>
          <w:noProof/>
          <w:sz w:val="32"/>
          <w:szCs w:val="32"/>
          <w:lang w:eastAsia="cs-CZ"/>
        </w:rPr>
      </w:pPr>
    </w:p>
    <w:p w14:paraId="13C95504" w14:textId="370355C7" w:rsidR="00C42F1D" w:rsidRPr="006B3F59" w:rsidRDefault="00C42F1D" w:rsidP="005536E6">
      <w:pPr>
        <w:tabs>
          <w:tab w:val="left" w:pos="9498"/>
        </w:tabs>
        <w:jc w:val="right"/>
        <w:rPr>
          <w:noProof/>
          <w:sz w:val="32"/>
          <w:szCs w:val="32"/>
          <w:lang w:eastAsia="cs-CZ"/>
        </w:rPr>
      </w:pPr>
    </w:p>
    <w:p w14:paraId="0967BE8E" w14:textId="10589895" w:rsidR="00C42F1D" w:rsidRPr="006B3F59" w:rsidRDefault="00C42F1D" w:rsidP="005536E6">
      <w:pPr>
        <w:tabs>
          <w:tab w:val="left" w:pos="9498"/>
        </w:tabs>
        <w:jc w:val="right"/>
        <w:rPr>
          <w:noProof/>
          <w:sz w:val="32"/>
          <w:szCs w:val="32"/>
          <w:lang w:eastAsia="cs-CZ"/>
        </w:rPr>
      </w:pPr>
    </w:p>
    <w:p w14:paraId="04018885" w14:textId="77777777" w:rsidR="00C42F1D" w:rsidRPr="006B3F59" w:rsidRDefault="00C42F1D" w:rsidP="005536E6">
      <w:pPr>
        <w:tabs>
          <w:tab w:val="left" w:pos="9498"/>
        </w:tabs>
        <w:jc w:val="right"/>
        <w:rPr>
          <w:noProof/>
          <w:sz w:val="32"/>
          <w:szCs w:val="32"/>
          <w:lang w:eastAsia="cs-CZ"/>
        </w:rPr>
      </w:pPr>
    </w:p>
    <w:p w14:paraId="49DF0705" w14:textId="20D681E3" w:rsidR="00C42F1D" w:rsidRPr="006B3F59" w:rsidRDefault="00340E02" w:rsidP="00340E02">
      <w:pPr>
        <w:tabs>
          <w:tab w:val="left" w:pos="6577"/>
          <w:tab w:val="left" w:pos="9498"/>
        </w:tabs>
        <w:rPr>
          <w:noProof/>
          <w:sz w:val="32"/>
          <w:szCs w:val="32"/>
          <w:lang w:eastAsia="cs-CZ"/>
        </w:rPr>
      </w:pPr>
      <w:r w:rsidRPr="006B3F59">
        <w:rPr>
          <w:noProof/>
          <w:sz w:val="32"/>
          <w:szCs w:val="32"/>
          <w:lang w:eastAsia="cs-CZ"/>
        </w:rPr>
        <w:tab/>
      </w:r>
      <w:r w:rsidRPr="006B3F59">
        <w:rPr>
          <w:noProof/>
          <w:sz w:val="32"/>
          <w:szCs w:val="32"/>
          <w:lang w:eastAsia="cs-CZ"/>
        </w:rPr>
        <w:tab/>
      </w:r>
    </w:p>
    <w:p w14:paraId="0C1D2735" w14:textId="77777777" w:rsidR="00C42F1D" w:rsidRPr="006B3F59" w:rsidRDefault="00C42F1D" w:rsidP="005536E6">
      <w:pPr>
        <w:tabs>
          <w:tab w:val="left" w:pos="9498"/>
        </w:tabs>
        <w:jc w:val="right"/>
        <w:rPr>
          <w:color w:val="5F2167"/>
          <w:sz w:val="36"/>
        </w:rPr>
      </w:pPr>
    </w:p>
    <w:p w14:paraId="5575CE4E" w14:textId="77777777" w:rsidR="002C7D92" w:rsidRPr="006B3F59" w:rsidRDefault="002C7D92" w:rsidP="005536E6">
      <w:pPr>
        <w:tabs>
          <w:tab w:val="left" w:pos="9498"/>
        </w:tabs>
      </w:pPr>
    </w:p>
    <w:p w14:paraId="23786D11" w14:textId="77777777" w:rsidR="00443EB1" w:rsidRPr="006B3F59" w:rsidRDefault="00443EB1" w:rsidP="005536E6">
      <w:pPr>
        <w:tabs>
          <w:tab w:val="left" w:pos="9498"/>
        </w:tabs>
      </w:pPr>
    </w:p>
    <w:p w14:paraId="5DFCD9C6" w14:textId="77777777" w:rsidR="00443EB1" w:rsidRPr="006B3F59" w:rsidRDefault="00443EB1" w:rsidP="005536E6">
      <w:pPr>
        <w:tabs>
          <w:tab w:val="left" w:pos="9498"/>
        </w:tabs>
      </w:pPr>
    </w:p>
    <w:p w14:paraId="483B6E66" w14:textId="77777777" w:rsidR="00443EB1" w:rsidRPr="006B3F59" w:rsidRDefault="00443EB1" w:rsidP="005536E6">
      <w:pPr>
        <w:tabs>
          <w:tab w:val="left" w:pos="9498"/>
        </w:tabs>
      </w:pPr>
    </w:p>
    <w:p w14:paraId="2B07275B" w14:textId="77777777" w:rsidR="00443EB1" w:rsidRPr="006B3F59" w:rsidRDefault="00443EB1" w:rsidP="005536E6">
      <w:pPr>
        <w:tabs>
          <w:tab w:val="left" w:pos="9498"/>
        </w:tabs>
      </w:pPr>
    </w:p>
    <w:p w14:paraId="4C7DA1E7" w14:textId="77777777" w:rsidR="00443EB1" w:rsidRPr="006B3F59" w:rsidRDefault="00443EB1" w:rsidP="005536E6">
      <w:pPr>
        <w:tabs>
          <w:tab w:val="left" w:pos="9498"/>
        </w:tabs>
      </w:pPr>
    </w:p>
    <w:p w14:paraId="0AB8FE94" w14:textId="77777777" w:rsidR="00443EB1" w:rsidRPr="006B3F59" w:rsidRDefault="00443EB1" w:rsidP="005536E6">
      <w:pPr>
        <w:tabs>
          <w:tab w:val="left" w:pos="9498"/>
        </w:tabs>
      </w:pPr>
    </w:p>
    <w:p w14:paraId="760B1734" w14:textId="77777777" w:rsidR="00443EB1" w:rsidRPr="006B3F59" w:rsidRDefault="00443EB1" w:rsidP="005536E6">
      <w:pPr>
        <w:tabs>
          <w:tab w:val="left" w:pos="9498"/>
        </w:tabs>
      </w:pPr>
    </w:p>
    <w:p w14:paraId="228622E0" w14:textId="6B098AA0" w:rsidR="00443EB1" w:rsidRPr="006B3F59" w:rsidRDefault="00443EB1" w:rsidP="005536E6">
      <w:pPr>
        <w:tabs>
          <w:tab w:val="left" w:pos="9498"/>
        </w:tabs>
      </w:pPr>
    </w:p>
    <w:p w14:paraId="0EF49DF4" w14:textId="22432DB4" w:rsidR="00443EB1" w:rsidRPr="006B3F59" w:rsidRDefault="00EC276C" w:rsidP="005536E6">
      <w:pPr>
        <w:tabs>
          <w:tab w:val="left" w:pos="9498"/>
        </w:tabs>
      </w:pPr>
      <w:r>
        <w:rPr>
          <w:noProof/>
        </w:rPr>
        <mc:AlternateContent>
          <mc:Choice Requires="wps">
            <w:drawing>
              <wp:anchor distT="0" distB="0" distL="114300" distR="114300" simplePos="0" relativeHeight="251661824" behindDoc="0" locked="0" layoutInCell="1" allowOverlap="1" wp14:anchorId="3CA94E43" wp14:editId="1A432E4F">
                <wp:simplePos x="0" y="0"/>
                <wp:positionH relativeFrom="column">
                  <wp:posOffset>323850</wp:posOffset>
                </wp:positionH>
                <wp:positionV relativeFrom="paragraph">
                  <wp:posOffset>44450</wp:posOffset>
                </wp:positionV>
                <wp:extent cx="6028690" cy="3702050"/>
                <wp:effectExtent l="0" t="0" r="0" b="0"/>
                <wp:wrapNone/>
                <wp:docPr id="601616604" name="Textové pole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28690" cy="3702050"/>
                        </a:xfrm>
                        <a:prstGeom prst="rect">
                          <a:avLst/>
                        </a:prstGeom>
                        <a:noFill/>
                        <a:ln w="6350">
                          <a:noFill/>
                        </a:ln>
                      </wps:spPr>
                      <wps:txbx>
                        <w:txbxContent>
                          <w:p w14:paraId="31A5162E" w14:textId="6D9735B3" w:rsidR="00A36775" w:rsidRPr="005320C9" w:rsidRDefault="00A36775" w:rsidP="00C80C21">
                            <w:pPr>
                              <w:tabs>
                                <w:tab w:val="left" w:pos="9498"/>
                              </w:tabs>
                              <w:spacing w:before="0" w:after="120"/>
                              <w:jc w:val="right"/>
                              <w:rPr>
                                <w:noProof/>
                                <w:color w:val="333333"/>
                                <w:sz w:val="40"/>
                                <w:szCs w:val="40"/>
                                <w:lang w:eastAsia="cs-CZ"/>
                              </w:rPr>
                            </w:pPr>
                            <w:r w:rsidRPr="005320C9">
                              <w:rPr>
                                <w:noProof/>
                                <w:color w:val="333333"/>
                                <w:sz w:val="40"/>
                                <w:szCs w:val="40"/>
                                <w:lang w:eastAsia="cs-CZ"/>
                              </w:rPr>
                              <w:t>„VYHODNOCENÍ VLIVŮ NA UDRŽITELNÝ ROZVOJ ÚZEMÍ PRO ZMĚNU Z 3</w:t>
                            </w:r>
                            <w:r>
                              <w:rPr>
                                <w:noProof/>
                                <w:color w:val="333333"/>
                                <w:sz w:val="40"/>
                                <w:szCs w:val="40"/>
                                <w:lang w:eastAsia="cs-CZ"/>
                              </w:rPr>
                              <w:t>827</w:t>
                            </w:r>
                            <w:r w:rsidRPr="005320C9">
                              <w:rPr>
                                <w:noProof/>
                                <w:color w:val="333333"/>
                                <w:sz w:val="40"/>
                                <w:szCs w:val="40"/>
                                <w:lang w:eastAsia="cs-CZ"/>
                              </w:rPr>
                              <w:t>/00 - ZKRÁCENĚ“</w:t>
                            </w:r>
                          </w:p>
                          <w:p w14:paraId="37B1E6C4" w14:textId="2550BB81" w:rsidR="00A36775" w:rsidRPr="005320C9" w:rsidRDefault="00A36775" w:rsidP="00746335">
                            <w:pPr>
                              <w:tabs>
                                <w:tab w:val="left" w:pos="9498"/>
                              </w:tabs>
                              <w:spacing w:before="240" w:after="120"/>
                              <w:jc w:val="right"/>
                              <w:rPr>
                                <w:color w:val="333333"/>
                                <w:sz w:val="32"/>
                                <w:szCs w:val="32"/>
                              </w:rPr>
                            </w:pPr>
                            <w:r w:rsidRPr="005320C9">
                              <w:rPr>
                                <w:color w:val="333333"/>
                                <w:sz w:val="32"/>
                                <w:szCs w:val="32"/>
                              </w:rPr>
                              <w:t>Vyhodnocení vlivu územně plánovací dokumentace na udržitelný rozvoj území</w:t>
                            </w:r>
                          </w:p>
                          <w:p w14:paraId="690EE5E6" w14:textId="77777777" w:rsidR="00A36775" w:rsidRPr="005320C9" w:rsidRDefault="00A36775" w:rsidP="00CC0030">
                            <w:pPr>
                              <w:tabs>
                                <w:tab w:val="left" w:pos="9498"/>
                              </w:tabs>
                              <w:spacing w:before="0"/>
                              <w:jc w:val="right"/>
                              <w:rPr>
                                <w:color w:val="333333"/>
                                <w:sz w:val="24"/>
                                <w:szCs w:val="24"/>
                              </w:rPr>
                            </w:pPr>
                            <w:r w:rsidRPr="005320C9">
                              <w:rPr>
                                <w:color w:val="333333"/>
                                <w:sz w:val="24"/>
                                <w:szCs w:val="24"/>
                              </w:rPr>
                              <w:t xml:space="preserve">Zpracováno ve smyslu § 10i zákona č. 100/2001 Sb., </w:t>
                            </w:r>
                          </w:p>
                          <w:p w14:paraId="7B969C3E" w14:textId="77777777" w:rsidR="00A36775" w:rsidRPr="005320C9" w:rsidRDefault="00A36775" w:rsidP="00CC0030">
                            <w:pPr>
                              <w:tabs>
                                <w:tab w:val="left" w:pos="9498"/>
                              </w:tabs>
                              <w:spacing w:before="0"/>
                              <w:jc w:val="right"/>
                              <w:rPr>
                                <w:color w:val="333333"/>
                                <w:sz w:val="24"/>
                                <w:szCs w:val="24"/>
                              </w:rPr>
                            </w:pPr>
                            <w:r w:rsidRPr="005320C9">
                              <w:rPr>
                                <w:color w:val="333333"/>
                                <w:sz w:val="24"/>
                                <w:szCs w:val="24"/>
                              </w:rPr>
                              <w:t>o posuzování vlivů na životní prostředí, v rozsahu</w:t>
                            </w:r>
                          </w:p>
                          <w:p w14:paraId="5BF4E1BF" w14:textId="77777777" w:rsidR="00A36775" w:rsidRPr="005320C9" w:rsidRDefault="00A36775" w:rsidP="00CC0030">
                            <w:pPr>
                              <w:tabs>
                                <w:tab w:val="left" w:pos="9498"/>
                              </w:tabs>
                              <w:spacing w:before="0"/>
                              <w:jc w:val="right"/>
                              <w:rPr>
                                <w:color w:val="333333"/>
                                <w:sz w:val="24"/>
                                <w:szCs w:val="24"/>
                              </w:rPr>
                            </w:pPr>
                            <w:r w:rsidRPr="005320C9">
                              <w:rPr>
                                <w:color w:val="333333"/>
                                <w:sz w:val="24"/>
                                <w:szCs w:val="24"/>
                              </w:rPr>
                              <w:t xml:space="preserve"> dle přílohy zákona č. 183/2006 Sb., o územním </w:t>
                            </w:r>
                          </w:p>
                          <w:p w14:paraId="5C853387" w14:textId="77777777" w:rsidR="00A36775" w:rsidRPr="005320C9" w:rsidRDefault="00A36775" w:rsidP="00CC0030">
                            <w:pPr>
                              <w:tabs>
                                <w:tab w:val="left" w:pos="9498"/>
                              </w:tabs>
                              <w:spacing w:before="0"/>
                              <w:jc w:val="right"/>
                              <w:rPr>
                                <w:color w:val="333333"/>
                                <w:sz w:val="24"/>
                                <w:szCs w:val="24"/>
                              </w:rPr>
                            </w:pPr>
                            <w:r w:rsidRPr="005320C9">
                              <w:rPr>
                                <w:color w:val="333333"/>
                                <w:sz w:val="24"/>
                                <w:szCs w:val="24"/>
                              </w:rPr>
                              <w:t xml:space="preserve">plánování a stavebním řádu (stavební zákon) </w:t>
                            </w:r>
                          </w:p>
                          <w:p w14:paraId="7D16A565" w14:textId="77777777" w:rsidR="00A36775" w:rsidRPr="005320C9" w:rsidRDefault="00A36775" w:rsidP="00CC0030">
                            <w:pPr>
                              <w:tabs>
                                <w:tab w:val="left" w:pos="9498"/>
                              </w:tabs>
                              <w:spacing w:before="0"/>
                              <w:jc w:val="right"/>
                              <w:rPr>
                                <w:color w:val="333333"/>
                                <w:sz w:val="24"/>
                                <w:szCs w:val="24"/>
                              </w:rPr>
                            </w:pPr>
                            <w:r w:rsidRPr="005320C9">
                              <w:rPr>
                                <w:color w:val="333333"/>
                                <w:sz w:val="24"/>
                                <w:szCs w:val="24"/>
                              </w:rPr>
                              <w:t xml:space="preserve">a dle prováděcí vyhlášky ke stavebnímu </w:t>
                            </w:r>
                          </w:p>
                          <w:p w14:paraId="6FFA00EB" w14:textId="77777777" w:rsidR="00A36775" w:rsidRPr="005320C9" w:rsidRDefault="00A36775" w:rsidP="00CC0030">
                            <w:pPr>
                              <w:tabs>
                                <w:tab w:val="left" w:pos="9498"/>
                              </w:tabs>
                              <w:spacing w:before="0"/>
                              <w:jc w:val="right"/>
                              <w:rPr>
                                <w:color w:val="333333"/>
                                <w:sz w:val="24"/>
                                <w:szCs w:val="24"/>
                              </w:rPr>
                            </w:pPr>
                            <w:r w:rsidRPr="005320C9">
                              <w:rPr>
                                <w:color w:val="333333"/>
                                <w:sz w:val="24"/>
                                <w:szCs w:val="24"/>
                              </w:rPr>
                              <w:t>zákonu č. 500/2006, v platném znění</w:t>
                            </w:r>
                            <w:bookmarkStart w:id="0" w:name="_Hlk92100901"/>
                            <w:r w:rsidRPr="005320C9">
                              <w:rPr>
                                <w:color w:val="333333"/>
                                <w:sz w:val="24"/>
                                <w:szCs w:val="24"/>
                              </w:rPr>
                              <w:t xml:space="preserve">, </w:t>
                            </w:r>
                          </w:p>
                          <w:p w14:paraId="68D40E59" w14:textId="145EB000" w:rsidR="00A36775" w:rsidRPr="005320C9" w:rsidRDefault="00A36775" w:rsidP="00CC0030">
                            <w:pPr>
                              <w:tabs>
                                <w:tab w:val="left" w:pos="9498"/>
                              </w:tabs>
                              <w:spacing w:before="0"/>
                              <w:jc w:val="right"/>
                              <w:rPr>
                                <w:color w:val="333333"/>
                                <w:sz w:val="24"/>
                                <w:szCs w:val="24"/>
                              </w:rPr>
                            </w:pPr>
                            <w:r w:rsidRPr="005320C9">
                              <w:rPr>
                                <w:color w:val="333333"/>
                                <w:sz w:val="24"/>
                                <w:szCs w:val="24"/>
                              </w:rPr>
                              <w:t>resp. dle nového stavebního zákona č. 283/2021 Sb.</w:t>
                            </w:r>
                          </w:p>
                          <w:bookmarkEnd w:id="0"/>
                          <w:p w14:paraId="1D2F6A64" w14:textId="77777777" w:rsidR="00A36775" w:rsidRPr="005320C9" w:rsidRDefault="00A36775" w:rsidP="00CC0030">
                            <w:pPr>
                              <w:tabs>
                                <w:tab w:val="left" w:pos="9498"/>
                              </w:tabs>
                              <w:spacing w:before="0"/>
                              <w:jc w:val="right"/>
                              <w:rPr>
                                <w:color w:val="333333"/>
                                <w:sz w:val="24"/>
                                <w:szCs w:val="24"/>
                              </w:rPr>
                            </w:pPr>
                          </w:p>
                          <w:p w14:paraId="2A375383" w14:textId="4FDC1478" w:rsidR="00A36775" w:rsidRPr="00E33890" w:rsidRDefault="00A24C1D" w:rsidP="00F42AA3">
                            <w:pPr>
                              <w:tabs>
                                <w:tab w:val="left" w:pos="9498"/>
                              </w:tabs>
                              <w:spacing w:before="240" w:after="120"/>
                              <w:jc w:val="right"/>
                              <w:rPr>
                                <w:color w:val="333333"/>
                                <w:sz w:val="32"/>
                                <w:szCs w:val="32"/>
                              </w:rPr>
                            </w:pPr>
                            <w:r>
                              <w:rPr>
                                <w:color w:val="333333"/>
                                <w:sz w:val="24"/>
                                <w:szCs w:val="24"/>
                              </w:rPr>
                              <w:t>srpen</w:t>
                            </w:r>
                            <w:r w:rsidRPr="005320C9">
                              <w:rPr>
                                <w:color w:val="333333"/>
                                <w:sz w:val="24"/>
                                <w:szCs w:val="24"/>
                              </w:rPr>
                              <w:t xml:space="preserve"> </w:t>
                            </w:r>
                            <w:r w:rsidR="00A36775" w:rsidRPr="005320C9">
                              <w:rPr>
                                <w:color w:val="333333"/>
                                <w:sz w:val="24"/>
                                <w:szCs w:val="24"/>
                              </w:rPr>
                              <w:t>2023</w:t>
                            </w:r>
                          </w:p>
                          <w:p w14:paraId="278B80A3" w14:textId="77777777" w:rsidR="00A36775" w:rsidRDefault="00A36775" w:rsidP="00F42AA3">
                            <w:pPr>
                              <w:pStyle w:val="vodnstrananadpis"/>
                              <w:suppressOverlap w:val="0"/>
                              <w:jc w:val="righ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CA94E43" id="_x0000_t202" coordsize="21600,21600" o:spt="202" path="m,l,21600r21600,l21600,xe">
                <v:stroke joinstyle="miter"/>
                <v:path gradientshapeok="t" o:connecttype="rect"/>
              </v:shapetype>
              <v:shape id="Textové pole 6" o:spid="_x0000_s1026" type="#_x0000_t202" style="position:absolute;left:0;text-align:left;margin-left:25.5pt;margin-top:3.5pt;width:474.7pt;height:291.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" filled="f" stroked="f" strokeweight=".5pt">
                <v:textbox>
                  <w:txbxContent>
                    <w:p w14:paraId="31A5162E" w14:textId="6D9735B3" w:rsidR="00A36775" w:rsidRPr="005320C9" w:rsidRDefault="00A36775" w:rsidP="00C80C21">
                      <w:pPr>
                        <w:tabs>
                          <w:tab w:val="left" w:pos="9498"/>
                        </w:tabs>
                        <w:spacing w:before="0" w:after="120"/>
                        <w:jc w:val="right"/>
                        <w:rPr>
                          <w:noProof/>
                          <w:color w:val="333333"/>
                          <w:sz w:val="40"/>
                          <w:szCs w:val="40"/>
                          <w:lang w:eastAsia="cs-CZ"/>
                        </w:rPr>
                      </w:pPr>
                      <w:r w:rsidRPr="005320C9">
                        <w:rPr>
                          <w:noProof/>
                          <w:color w:val="333333"/>
                          <w:sz w:val="40"/>
                          <w:szCs w:val="40"/>
                          <w:lang w:eastAsia="cs-CZ"/>
                        </w:rPr>
                        <w:t>„VYHODNOCENÍ VLIVŮ NA UDRŽITELNÝ ROZVOJ ÚZEMÍ PRO ZMĚNU Z 3</w:t>
                      </w:r>
                      <w:r>
                        <w:rPr>
                          <w:noProof/>
                          <w:color w:val="333333"/>
                          <w:sz w:val="40"/>
                          <w:szCs w:val="40"/>
                          <w:lang w:eastAsia="cs-CZ"/>
                        </w:rPr>
                        <w:t>827</w:t>
                      </w:r>
                      <w:r w:rsidRPr="005320C9">
                        <w:rPr>
                          <w:noProof/>
                          <w:color w:val="333333"/>
                          <w:sz w:val="40"/>
                          <w:szCs w:val="40"/>
                          <w:lang w:eastAsia="cs-CZ"/>
                        </w:rPr>
                        <w:t>/00 - ZKRÁCENĚ“</w:t>
                      </w:r>
                    </w:p>
                    <w:p w14:paraId="37B1E6C4" w14:textId="2550BB81" w:rsidR="00A36775" w:rsidRPr="005320C9" w:rsidRDefault="00A36775" w:rsidP="00746335">
                      <w:pPr>
                        <w:tabs>
                          <w:tab w:val="left" w:pos="9498"/>
                        </w:tabs>
                        <w:spacing w:before="240" w:after="120"/>
                        <w:jc w:val="right"/>
                        <w:rPr>
                          <w:color w:val="333333"/>
                          <w:sz w:val="32"/>
                          <w:szCs w:val="32"/>
                        </w:rPr>
                      </w:pPr>
                      <w:r w:rsidRPr="005320C9">
                        <w:rPr>
                          <w:color w:val="333333"/>
                          <w:sz w:val="32"/>
                          <w:szCs w:val="32"/>
                        </w:rPr>
                        <w:t>Vyhodnocení vlivu územně plánovací dokumentace na udržitelný rozvoj území</w:t>
                      </w:r>
                    </w:p>
                    <w:p w14:paraId="690EE5E6" w14:textId="77777777" w:rsidR="00A36775" w:rsidRPr="005320C9" w:rsidRDefault="00A36775" w:rsidP="00CC0030">
                      <w:pPr>
                        <w:tabs>
                          <w:tab w:val="left" w:pos="9498"/>
                        </w:tabs>
                        <w:spacing w:before="0"/>
                        <w:jc w:val="right"/>
                        <w:rPr>
                          <w:color w:val="333333"/>
                          <w:sz w:val="24"/>
                          <w:szCs w:val="24"/>
                        </w:rPr>
                      </w:pPr>
                      <w:r w:rsidRPr="005320C9">
                        <w:rPr>
                          <w:color w:val="333333"/>
                          <w:sz w:val="24"/>
                          <w:szCs w:val="24"/>
                        </w:rPr>
                        <w:t xml:space="preserve">Zpracováno ve smyslu § 10i zákona č. 100/2001 Sb., </w:t>
                      </w:r>
                    </w:p>
                    <w:p w14:paraId="7B969C3E" w14:textId="77777777" w:rsidR="00A36775" w:rsidRPr="005320C9" w:rsidRDefault="00A36775" w:rsidP="00CC0030">
                      <w:pPr>
                        <w:tabs>
                          <w:tab w:val="left" w:pos="9498"/>
                        </w:tabs>
                        <w:spacing w:before="0"/>
                        <w:jc w:val="right"/>
                        <w:rPr>
                          <w:color w:val="333333"/>
                          <w:sz w:val="24"/>
                          <w:szCs w:val="24"/>
                        </w:rPr>
                      </w:pPr>
                      <w:r w:rsidRPr="005320C9">
                        <w:rPr>
                          <w:color w:val="333333"/>
                          <w:sz w:val="24"/>
                          <w:szCs w:val="24"/>
                        </w:rPr>
                        <w:t>o posuzování vlivů na životní prostředí, v rozsahu</w:t>
                      </w:r>
                    </w:p>
                    <w:p w14:paraId="5BF4E1BF" w14:textId="77777777" w:rsidR="00A36775" w:rsidRPr="005320C9" w:rsidRDefault="00A36775" w:rsidP="00CC0030">
                      <w:pPr>
                        <w:tabs>
                          <w:tab w:val="left" w:pos="9498"/>
                        </w:tabs>
                        <w:spacing w:before="0"/>
                        <w:jc w:val="right"/>
                        <w:rPr>
                          <w:color w:val="333333"/>
                          <w:sz w:val="24"/>
                          <w:szCs w:val="24"/>
                        </w:rPr>
                      </w:pPr>
                      <w:r w:rsidRPr="005320C9">
                        <w:rPr>
                          <w:color w:val="333333"/>
                          <w:sz w:val="24"/>
                          <w:szCs w:val="24"/>
                        </w:rPr>
                        <w:t xml:space="preserve"> dle přílohy zákona č. 183/2006 Sb., o územním </w:t>
                      </w:r>
                    </w:p>
                    <w:p w14:paraId="5C853387" w14:textId="77777777" w:rsidR="00A36775" w:rsidRPr="005320C9" w:rsidRDefault="00A36775" w:rsidP="00CC0030">
                      <w:pPr>
                        <w:tabs>
                          <w:tab w:val="left" w:pos="9498"/>
                        </w:tabs>
                        <w:spacing w:before="0"/>
                        <w:jc w:val="right"/>
                        <w:rPr>
                          <w:color w:val="333333"/>
                          <w:sz w:val="24"/>
                          <w:szCs w:val="24"/>
                        </w:rPr>
                      </w:pPr>
                      <w:r w:rsidRPr="005320C9">
                        <w:rPr>
                          <w:color w:val="333333"/>
                          <w:sz w:val="24"/>
                          <w:szCs w:val="24"/>
                        </w:rPr>
                        <w:t xml:space="preserve">plánování a stavebním řádu (stavební zákon) </w:t>
                      </w:r>
                    </w:p>
                    <w:p w14:paraId="7D16A565" w14:textId="77777777" w:rsidR="00A36775" w:rsidRPr="005320C9" w:rsidRDefault="00A36775" w:rsidP="00CC0030">
                      <w:pPr>
                        <w:tabs>
                          <w:tab w:val="left" w:pos="9498"/>
                        </w:tabs>
                        <w:spacing w:before="0"/>
                        <w:jc w:val="right"/>
                        <w:rPr>
                          <w:color w:val="333333"/>
                          <w:sz w:val="24"/>
                          <w:szCs w:val="24"/>
                        </w:rPr>
                      </w:pPr>
                      <w:r w:rsidRPr="005320C9">
                        <w:rPr>
                          <w:color w:val="333333"/>
                          <w:sz w:val="24"/>
                          <w:szCs w:val="24"/>
                        </w:rPr>
                        <w:t xml:space="preserve">a dle prováděcí vyhlášky ke stavebnímu </w:t>
                      </w:r>
                    </w:p>
                    <w:p w14:paraId="6FFA00EB" w14:textId="77777777" w:rsidR="00A36775" w:rsidRPr="005320C9" w:rsidRDefault="00A36775" w:rsidP="00CC0030">
                      <w:pPr>
                        <w:tabs>
                          <w:tab w:val="left" w:pos="9498"/>
                        </w:tabs>
                        <w:spacing w:before="0"/>
                        <w:jc w:val="right"/>
                        <w:rPr>
                          <w:color w:val="333333"/>
                          <w:sz w:val="24"/>
                          <w:szCs w:val="24"/>
                        </w:rPr>
                      </w:pPr>
                      <w:r w:rsidRPr="005320C9">
                        <w:rPr>
                          <w:color w:val="333333"/>
                          <w:sz w:val="24"/>
                          <w:szCs w:val="24"/>
                        </w:rPr>
                        <w:t>zákonu č. 500/2006, v platném znění</w:t>
                      </w:r>
                      <w:bookmarkStart w:id="1" w:name="_Hlk92100901"/>
                      <w:r w:rsidRPr="005320C9">
                        <w:rPr>
                          <w:color w:val="333333"/>
                          <w:sz w:val="24"/>
                          <w:szCs w:val="24"/>
                        </w:rPr>
                        <w:t xml:space="preserve">, </w:t>
                      </w:r>
                    </w:p>
                    <w:p w14:paraId="68D40E59" w14:textId="145EB000" w:rsidR="00A36775" w:rsidRPr="005320C9" w:rsidRDefault="00A36775" w:rsidP="00CC0030">
                      <w:pPr>
                        <w:tabs>
                          <w:tab w:val="left" w:pos="9498"/>
                        </w:tabs>
                        <w:spacing w:before="0"/>
                        <w:jc w:val="right"/>
                        <w:rPr>
                          <w:color w:val="333333"/>
                          <w:sz w:val="24"/>
                          <w:szCs w:val="24"/>
                        </w:rPr>
                      </w:pPr>
                      <w:r w:rsidRPr="005320C9">
                        <w:rPr>
                          <w:color w:val="333333"/>
                          <w:sz w:val="24"/>
                          <w:szCs w:val="24"/>
                        </w:rPr>
                        <w:t>resp. dle nového stavebního zákona č. 283/2021 Sb.</w:t>
                      </w:r>
                    </w:p>
                    <w:bookmarkEnd w:id="1"/>
                    <w:p w14:paraId="1D2F6A64" w14:textId="77777777" w:rsidR="00A36775" w:rsidRPr="005320C9" w:rsidRDefault="00A36775" w:rsidP="00CC0030">
                      <w:pPr>
                        <w:tabs>
                          <w:tab w:val="left" w:pos="9498"/>
                        </w:tabs>
                        <w:spacing w:before="0"/>
                        <w:jc w:val="right"/>
                        <w:rPr>
                          <w:color w:val="333333"/>
                          <w:sz w:val="24"/>
                          <w:szCs w:val="24"/>
                        </w:rPr>
                      </w:pPr>
                    </w:p>
                    <w:p w14:paraId="2A375383" w14:textId="4FDC1478" w:rsidR="00A36775" w:rsidRPr="00E33890" w:rsidRDefault="00A24C1D" w:rsidP="00F42AA3">
                      <w:pPr>
                        <w:tabs>
                          <w:tab w:val="left" w:pos="9498"/>
                        </w:tabs>
                        <w:spacing w:before="240" w:after="120"/>
                        <w:jc w:val="right"/>
                        <w:rPr>
                          <w:color w:val="333333"/>
                          <w:sz w:val="32"/>
                          <w:szCs w:val="32"/>
                        </w:rPr>
                      </w:pPr>
                      <w:r>
                        <w:rPr>
                          <w:color w:val="333333"/>
                          <w:sz w:val="24"/>
                          <w:szCs w:val="24"/>
                        </w:rPr>
                        <w:t>srpen</w:t>
                      </w:r>
                      <w:r w:rsidRPr="005320C9">
                        <w:rPr>
                          <w:color w:val="333333"/>
                          <w:sz w:val="24"/>
                          <w:szCs w:val="24"/>
                        </w:rPr>
                        <w:t xml:space="preserve"> </w:t>
                      </w:r>
                      <w:r w:rsidR="00A36775" w:rsidRPr="005320C9">
                        <w:rPr>
                          <w:color w:val="333333"/>
                          <w:sz w:val="24"/>
                          <w:szCs w:val="24"/>
                        </w:rPr>
                        <w:t>2023</w:t>
                      </w:r>
                    </w:p>
                    <w:p w14:paraId="278B80A3" w14:textId="77777777" w:rsidR="00A36775" w:rsidRDefault="00A36775" w:rsidP="00F42AA3">
                      <w:pPr>
                        <w:pStyle w:val="vodnstrananadpis"/>
                        <w:suppressOverlap w:val="0"/>
                        <w:jc w:val="right"/>
                      </w:pPr>
                    </w:p>
                  </w:txbxContent>
                </v:textbox>
              </v:shape>
            </w:pict>
          </mc:Fallback>
        </mc:AlternateContent>
      </w:r>
    </w:p>
    <w:p w14:paraId="595C646B" w14:textId="77777777" w:rsidR="00443EB1" w:rsidRPr="006B3F59" w:rsidRDefault="00443EB1" w:rsidP="005536E6">
      <w:pPr>
        <w:tabs>
          <w:tab w:val="left" w:pos="9498"/>
        </w:tabs>
      </w:pPr>
    </w:p>
    <w:p w14:paraId="4885415A" w14:textId="77777777" w:rsidR="00443EB1" w:rsidRPr="006B3F59" w:rsidRDefault="00443EB1" w:rsidP="005536E6">
      <w:pPr>
        <w:tabs>
          <w:tab w:val="left" w:pos="9498"/>
        </w:tabs>
      </w:pPr>
    </w:p>
    <w:p w14:paraId="3B28E36D" w14:textId="77777777" w:rsidR="00443EB1" w:rsidRPr="006B3F59" w:rsidRDefault="00443EB1" w:rsidP="007216CB">
      <w:pPr>
        <w:tabs>
          <w:tab w:val="left" w:pos="9498"/>
        </w:tabs>
        <w:jc w:val="right"/>
      </w:pPr>
    </w:p>
    <w:p w14:paraId="2AA99C40" w14:textId="77777777" w:rsidR="00443EB1" w:rsidRPr="006B3F59" w:rsidRDefault="00443EB1" w:rsidP="005536E6">
      <w:pPr>
        <w:tabs>
          <w:tab w:val="left" w:pos="9498"/>
        </w:tabs>
      </w:pPr>
    </w:p>
    <w:p w14:paraId="47DBF9F3" w14:textId="77777777" w:rsidR="00443EB1" w:rsidRPr="006B3F59" w:rsidRDefault="00443EB1" w:rsidP="005536E6">
      <w:pPr>
        <w:tabs>
          <w:tab w:val="left" w:pos="9498"/>
        </w:tabs>
      </w:pPr>
    </w:p>
    <w:p w14:paraId="5D10A9AE" w14:textId="77777777" w:rsidR="00443EB1" w:rsidRPr="006B3F59" w:rsidRDefault="00443EB1" w:rsidP="005536E6">
      <w:pPr>
        <w:tabs>
          <w:tab w:val="left" w:pos="9498"/>
        </w:tabs>
      </w:pPr>
    </w:p>
    <w:p w14:paraId="634A6036" w14:textId="77777777" w:rsidR="00443EB1" w:rsidRPr="006B3F59" w:rsidRDefault="00443EB1" w:rsidP="00633C1A">
      <w:pPr>
        <w:tabs>
          <w:tab w:val="left" w:pos="9498"/>
        </w:tabs>
        <w:ind w:right="26"/>
      </w:pPr>
    </w:p>
    <w:p w14:paraId="3759D5F4" w14:textId="77777777" w:rsidR="00443EB1" w:rsidRPr="006B3F59" w:rsidRDefault="00443EB1" w:rsidP="005536E6">
      <w:pPr>
        <w:tabs>
          <w:tab w:val="left" w:pos="9498"/>
        </w:tabs>
      </w:pPr>
    </w:p>
    <w:p w14:paraId="0C71BF6B" w14:textId="77777777" w:rsidR="00443EB1" w:rsidRPr="006B3F59" w:rsidRDefault="00443EB1" w:rsidP="005536E6">
      <w:pPr>
        <w:tabs>
          <w:tab w:val="left" w:pos="9498"/>
        </w:tabs>
      </w:pPr>
    </w:p>
    <w:p w14:paraId="02C9342E" w14:textId="77777777" w:rsidR="00443EB1" w:rsidRPr="006B3F59" w:rsidRDefault="00443EB1" w:rsidP="005536E6">
      <w:pPr>
        <w:tabs>
          <w:tab w:val="left" w:pos="9498"/>
        </w:tabs>
      </w:pPr>
    </w:p>
    <w:p w14:paraId="7BE3870C" w14:textId="77777777" w:rsidR="00443EB1" w:rsidRPr="006B3F59" w:rsidRDefault="00443EB1" w:rsidP="005536E6">
      <w:pPr>
        <w:tabs>
          <w:tab w:val="left" w:pos="9498"/>
        </w:tabs>
      </w:pPr>
    </w:p>
    <w:p w14:paraId="62C0DC5C" w14:textId="77777777" w:rsidR="00443EB1" w:rsidRPr="006B3F59" w:rsidRDefault="00443EB1" w:rsidP="005536E6">
      <w:pPr>
        <w:tabs>
          <w:tab w:val="left" w:pos="9498"/>
        </w:tabs>
      </w:pPr>
    </w:p>
    <w:p w14:paraId="1BD28FB7" w14:textId="77777777" w:rsidR="00443EB1" w:rsidRPr="006B3F59" w:rsidRDefault="00443EB1" w:rsidP="005536E6">
      <w:pPr>
        <w:tabs>
          <w:tab w:val="left" w:pos="9498"/>
        </w:tabs>
      </w:pPr>
    </w:p>
    <w:p w14:paraId="77E00E3C" w14:textId="77777777" w:rsidR="00443EB1" w:rsidRPr="006B3F59" w:rsidRDefault="00443EB1" w:rsidP="005536E6">
      <w:pPr>
        <w:tabs>
          <w:tab w:val="left" w:pos="9498"/>
        </w:tabs>
      </w:pPr>
    </w:p>
    <w:p w14:paraId="698EFAD2" w14:textId="77777777" w:rsidR="00443EB1" w:rsidRPr="006B3F59" w:rsidRDefault="00443EB1" w:rsidP="005536E6">
      <w:pPr>
        <w:tabs>
          <w:tab w:val="left" w:pos="9498"/>
        </w:tabs>
      </w:pPr>
    </w:p>
    <w:p w14:paraId="2D394134" w14:textId="77777777" w:rsidR="00443EB1" w:rsidRPr="006B3F59" w:rsidRDefault="00443EB1" w:rsidP="005536E6">
      <w:pPr>
        <w:tabs>
          <w:tab w:val="left" w:pos="9498"/>
        </w:tabs>
      </w:pPr>
    </w:p>
    <w:p w14:paraId="0887257C" w14:textId="77777777" w:rsidR="00443EB1" w:rsidRPr="006B3F59" w:rsidRDefault="00443EB1" w:rsidP="005536E6">
      <w:pPr>
        <w:tabs>
          <w:tab w:val="left" w:pos="9498"/>
        </w:tabs>
      </w:pPr>
    </w:p>
    <w:p w14:paraId="682F548B" w14:textId="77777777" w:rsidR="0063344A" w:rsidRPr="006B3F59" w:rsidRDefault="0063344A" w:rsidP="005536E6">
      <w:pPr>
        <w:tabs>
          <w:tab w:val="left" w:pos="9498"/>
        </w:tabs>
      </w:pPr>
    </w:p>
    <w:p w14:paraId="43B5C55D" w14:textId="77777777" w:rsidR="00491A7D" w:rsidRPr="006B3F59" w:rsidRDefault="00491A7D" w:rsidP="005536E6">
      <w:pPr>
        <w:tabs>
          <w:tab w:val="left" w:pos="9498"/>
        </w:tabs>
      </w:pPr>
    </w:p>
    <w:p w14:paraId="2F6146EB" w14:textId="77777777" w:rsidR="002C7D92" w:rsidRPr="006B3F59" w:rsidRDefault="002C7D92" w:rsidP="002C7D92"/>
    <w:p w14:paraId="6099A5AC" w14:textId="77777777" w:rsidR="005C6234" w:rsidRPr="006B3F59" w:rsidRDefault="005C6234" w:rsidP="00A46477">
      <w:pPr>
        <w:pageBreakBefore/>
        <w:spacing w:after="120"/>
        <w:rPr>
          <w:color w:val="0070C0"/>
          <w:sz w:val="40"/>
          <w:szCs w:val="40"/>
        </w:rPr>
      </w:pPr>
      <w:r w:rsidRPr="006B3F59">
        <w:rPr>
          <w:color w:val="0070C0"/>
          <w:sz w:val="40"/>
          <w:szCs w:val="40"/>
        </w:rPr>
        <w:lastRenderedPageBreak/>
        <w:t>Údaje o autorech</w:t>
      </w:r>
    </w:p>
    <w:p w14:paraId="0175ABDA" w14:textId="4110200C" w:rsidR="00CC0030" w:rsidRPr="006B3F59" w:rsidRDefault="00CC0030" w:rsidP="00CC0030">
      <w:pPr>
        <w:rPr>
          <w:rFonts w:eastAsia="Times New Roman"/>
          <w:szCs w:val="20"/>
          <w:lang w:eastAsia="cs-CZ"/>
        </w:rPr>
      </w:pPr>
      <w:r w:rsidRPr="006B3F59">
        <w:rPr>
          <w:rFonts w:eastAsia="Times New Roman"/>
          <w:szCs w:val="20"/>
          <w:lang w:eastAsia="cs-CZ"/>
        </w:rPr>
        <w:t>Autor/</w:t>
      </w:r>
      <w:proofErr w:type="spellStart"/>
      <w:r w:rsidRPr="006B3F59">
        <w:rPr>
          <w:rFonts w:eastAsia="Times New Roman"/>
          <w:szCs w:val="20"/>
          <w:lang w:eastAsia="cs-CZ"/>
        </w:rPr>
        <w:t>ka</w:t>
      </w:r>
      <w:proofErr w:type="spellEnd"/>
      <w:r w:rsidRPr="006B3F59">
        <w:rPr>
          <w:rFonts w:eastAsia="Times New Roman"/>
          <w:szCs w:val="20"/>
          <w:lang w:eastAsia="cs-CZ"/>
        </w:rPr>
        <w:t>:</w:t>
      </w:r>
      <w:r w:rsidRPr="006B3F59">
        <w:rPr>
          <w:rFonts w:eastAsia="Times New Roman"/>
          <w:szCs w:val="20"/>
          <w:lang w:eastAsia="cs-CZ"/>
        </w:rPr>
        <w:tab/>
      </w:r>
      <w:r w:rsidRPr="006B3F59">
        <w:rPr>
          <w:rFonts w:eastAsia="Times New Roman"/>
          <w:szCs w:val="20"/>
          <w:lang w:eastAsia="cs-CZ"/>
        </w:rPr>
        <w:tab/>
      </w:r>
    </w:p>
    <w:p w14:paraId="1A4E810C" w14:textId="3D75DEBE" w:rsidR="00CC0030" w:rsidRPr="006B3F59" w:rsidRDefault="00CC0030" w:rsidP="00CC0030">
      <w:pPr>
        <w:rPr>
          <w:noProof/>
          <w:lang w:eastAsia="cs-CZ"/>
        </w:rPr>
      </w:pPr>
    </w:p>
    <w:p w14:paraId="50B95B56" w14:textId="4688C9A5" w:rsidR="00CC0030" w:rsidRPr="006B3F59" w:rsidRDefault="00CC0030" w:rsidP="00CC0030">
      <w:pPr>
        <w:rPr>
          <w:rFonts w:eastAsia="Times New Roman"/>
          <w:szCs w:val="20"/>
          <w:lang w:eastAsia="cs-CZ"/>
        </w:rPr>
      </w:pPr>
    </w:p>
    <w:p w14:paraId="71F1DD80" w14:textId="77777777" w:rsidR="00CC0030" w:rsidRPr="006B3F59" w:rsidRDefault="00CC0030" w:rsidP="00CC0030">
      <w:pPr>
        <w:rPr>
          <w:rFonts w:eastAsia="Times New Roman"/>
          <w:szCs w:val="20"/>
          <w:lang w:eastAsia="cs-CZ"/>
        </w:rPr>
      </w:pPr>
    </w:p>
    <w:p w14:paraId="66CB6531" w14:textId="77777777" w:rsidR="00CC0030" w:rsidRPr="006B3F59" w:rsidRDefault="00CC0030" w:rsidP="00CC0030">
      <w:pPr>
        <w:ind w:left="1440" w:firstLine="828"/>
        <w:rPr>
          <w:rFonts w:eastAsia="Times New Roman"/>
          <w:szCs w:val="20"/>
          <w:lang w:eastAsia="cs-CZ"/>
        </w:rPr>
      </w:pPr>
      <w:r w:rsidRPr="006B3F59">
        <w:rPr>
          <w:rFonts w:eastAsia="Times New Roman"/>
          <w:szCs w:val="20"/>
          <w:lang w:eastAsia="cs-CZ"/>
        </w:rPr>
        <w:t>Mgr. Jana Švábová Nezvalová</w:t>
      </w:r>
    </w:p>
    <w:p w14:paraId="5BE18646" w14:textId="77777777" w:rsidR="00F80CDD" w:rsidRPr="006B3F59" w:rsidRDefault="00CC0030" w:rsidP="00F80CDD">
      <w:pPr>
        <w:tabs>
          <w:tab w:val="left" w:pos="2268"/>
        </w:tabs>
        <w:spacing w:before="0"/>
        <w:ind w:firstLine="828"/>
        <w:rPr>
          <w:rFonts w:eastAsia="Times New Roman"/>
          <w:sz w:val="18"/>
          <w:szCs w:val="20"/>
          <w:lang w:eastAsia="cs-CZ"/>
        </w:rPr>
      </w:pPr>
      <w:r w:rsidRPr="006B3F59">
        <w:rPr>
          <w:rFonts w:eastAsia="Times New Roman"/>
          <w:szCs w:val="20"/>
          <w:lang w:eastAsia="cs-CZ"/>
        </w:rPr>
        <w:tab/>
      </w:r>
      <w:r w:rsidR="00F80CDD" w:rsidRPr="006B3F59">
        <w:rPr>
          <w:rFonts w:eastAsia="Times New Roman"/>
          <w:sz w:val="18"/>
          <w:szCs w:val="20"/>
          <w:lang w:eastAsia="cs-CZ"/>
        </w:rPr>
        <w:t>držitelka autorizace k posuzování vlivů na životní prostředí MŽP</w:t>
      </w:r>
    </w:p>
    <w:p w14:paraId="75E90856" w14:textId="77777777" w:rsidR="00F80CDD" w:rsidRPr="006B3F59" w:rsidRDefault="00F80CDD" w:rsidP="00F80CDD">
      <w:pPr>
        <w:tabs>
          <w:tab w:val="left" w:pos="2268"/>
        </w:tabs>
        <w:spacing w:before="0"/>
        <w:ind w:firstLine="828"/>
        <w:jc w:val="left"/>
        <w:rPr>
          <w:rFonts w:eastAsia="Times New Roman"/>
          <w:sz w:val="18"/>
          <w:szCs w:val="20"/>
          <w:lang w:eastAsia="cs-CZ"/>
        </w:rPr>
      </w:pPr>
      <w:r w:rsidRPr="006B3F59">
        <w:rPr>
          <w:rFonts w:eastAsia="Times New Roman"/>
          <w:sz w:val="18"/>
          <w:szCs w:val="20"/>
          <w:lang w:eastAsia="cs-CZ"/>
        </w:rPr>
        <w:tab/>
        <w:t>č. j. 32190/ENV/09, naposledy prodloužena rozhodnutím a rozhodnutím ZP/2022/710/2067</w:t>
      </w:r>
    </w:p>
    <w:p w14:paraId="2F69FB29" w14:textId="77777777" w:rsidR="00F80CDD" w:rsidRPr="006B3F59" w:rsidRDefault="00F80CDD" w:rsidP="00F80CDD">
      <w:pPr>
        <w:tabs>
          <w:tab w:val="left" w:pos="2268"/>
        </w:tabs>
        <w:spacing w:before="0"/>
        <w:ind w:firstLine="828"/>
        <w:rPr>
          <w:rFonts w:eastAsia="Times New Roman"/>
          <w:szCs w:val="20"/>
          <w:lang w:eastAsia="cs-CZ"/>
        </w:rPr>
      </w:pPr>
    </w:p>
    <w:p w14:paraId="3865D009" w14:textId="06EF8FBD" w:rsidR="00CC0030" w:rsidRPr="006B3F59" w:rsidRDefault="00CC0030" w:rsidP="00F80CDD">
      <w:pPr>
        <w:tabs>
          <w:tab w:val="left" w:pos="2268"/>
        </w:tabs>
        <w:spacing w:before="0"/>
        <w:ind w:firstLine="828"/>
        <w:rPr>
          <w:rFonts w:eastAsia="Times New Roman"/>
          <w:szCs w:val="20"/>
          <w:lang w:eastAsia="cs-CZ"/>
        </w:rPr>
      </w:pPr>
      <w:r w:rsidRPr="006B3F59">
        <w:rPr>
          <w:rFonts w:eastAsia="Times New Roman"/>
          <w:szCs w:val="20"/>
          <w:lang w:eastAsia="cs-CZ"/>
        </w:rPr>
        <w:tab/>
      </w:r>
      <w:r w:rsidR="00E33890" w:rsidRPr="006B3F59">
        <w:rPr>
          <w:rFonts w:eastAsia="Times New Roman"/>
          <w:szCs w:val="20"/>
          <w:lang w:eastAsia="cs-CZ"/>
        </w:rPr>
        <w:t>Jacobs Clean Energy</w:t>
      </w:r>
      <w:r w:rsidRPr="006B3F59">
        <w:rPr>
          <w:rFonts w:eastAsia="Times New Roman"/>
          <w:szCs w:val="20"/>
          <w:lang w:eastAsia="cs-CZ"/>
        </w:rPr>
        <w:t>, s.r.o., Křenová 58, 602 00 Brno</w:t>
      </w:r>
      <w:r w:rsidRPr="006B3F59">
        <w:rPr>
          <w:rFonts w:eastAsia="Times New Roman"/>
          <w:szCs w:val="20"/>
          <w:lang w:eastAsia="cs-CZ"/>
        </w:rPr>
        <w:tab/>
      </w:r>
      <w:r w:rsidRPr="006B3F59">
        <w:rPr>
          <w:rFonts w:eastAsia="Times New Roman"/>
          <w:szCs w:val="20"/>
          <w:lang w:eastAsia="cs-CZ"/>
        </w:rPr>
        <w:tab/>
      </w:r>
      <w:r w:rsidRPr="006B3F59">
        <w:rPr>
          <w:rFonts w:eastAsia="Times New Roman"/>
          <w:szCs w:val="20"/>
          <w:lang w:eastAsia="cs-CZ"/>
        </w:rPr>
        <w:tab/>
        <w:t>tel: 725 607 977</w:t>
      </w:r>
    </w:p>
    <w:p w14:paraId="34EAA883" w14:textId="76E03D1D" w:rsidR="00CC0030" w:rsidRPr="006B3F59" w:rsidRDefault="00CC0030" w:rsidP="00CC0030">
      <w:pPr>
        <w:tabs>
          <w:tab w:val="left" w:pos="2268"/>
        </w:tabs>
        <w:ind w:firstLine="828"/>
        <w:rPr>
          <w:rFonts w:eastAsia="Times New Roman"/>
          <w:szCs w:val="20"/>
          <w:lang w:val="en-AU" w:eastAsia="cs-CZ"/>
        </w:rPr>
      </w:pPr>
      <w:r w:rsidRPr="006B3F59">
        <w:rPr>
          <w:rFonts w:eastAsia="Times New Roman"/>
          <w:szCs w:val="20"/>
          <w:lang w:eastAsia="cs-CZ"/>
        </w:rPr>
        <w:tab/>
        <w:t xml:space="preserve">email: </w:t>
      </w:r>
      <w:r w:rsidR="00E33890" w:rsidRPr="006B3F59">
        <w:rPr>
          <w:rFonts w:eastAsia="Times New Roman"/>
          <w:szCs w:val="20"/>
          <w:lang w:eastAsia="cs-CZ"/>
        </w:rPr>
        <w:t>nezvalova</w:t>
      </w:r>
      <w:r w:rsidR="00E33890" w:rsidRPr="006B3F59">
        <w:rPr>
          <w:rFonts w:eastAsia="Times New Roman"/>
          <w:szCs w:val="20"/>
          <w:lang w:val="en-AU" w:eastAsia="cs-CZ"/>
        </w:rPr>
        <w:t>@jacobscz.cz</w:t>
      </w:r>
    </w:p>
    <w:p w14:paraId="294F68C2" w14:textId="77777777" w:rsidR="00CC0030" w:rsidRPr="006B3F59" w:rsidRDefault="00CC0030" w:rsidP="00CC0030">
      <w:pPr>
        <w:tabs>
          <w:tab w:val="left" w:pos="2127"/>
        </w:tabs>
        <w:rPr>
          <w:rFonts w:eastAsia="Times New Roman"/>
          <w:szCs w:val="20"/>
          <w:lang w:eastAsia="cs-CZ"/>
        </w:rPr>
      </w:pPr>
    </w:p>
    <w:p w14:paraId="667292AC" w14:textId="49280D6C" w:rsidR="00CC0030" w:rsidRPr="006B3F59" w:rsidRDefault="00CC0030" w:rsidP="00CC0030">
      <w:pPr>
        <w:rPr>
          <w:rFonts w:eastAsia="Times New Roman"/>
          <w:szCs w:val="20"/>
          <w:lang w:eastAsia="cs-CZ"/>
        </w:rPr>
      </w:pPr>
      <w:r w:rsidRPr="006B3F59">
        <w:rPr>
          <w:rFonts w:eastAsia="Times New Roman"/>
          <w:szCs w:val="20"/>
          <w:lang w:eastAsia="cs-CZ"/>
        </w:rPr>
        <w:t>Datum zpracování:</w:t>
      </w:r>
      <w:r w:rsidRPr="006B3F59">
        <w:rPr>
          <w:rFonts w:eastAsia="Times New Roman"/>
          <w:szCs w:val="20"/>
          <w:lang w:eastAsia="cs-CZ"/>
        </w:rPr>
        <w:tab/>
      </w:r>
      <w:r w:rsidR="00A24C1D">
        <w:rPr>
          <w:rFonts w:eastAsia="Times New Roman"/>
          <w:szCs w:val="20"/>
          <w:lang w:eastAsia="cs-CZ"/>
        </w:rPr>
        <w:t>7</w:t>
      </w:r>
      <w:r w:rsidR="00A06033" w:rsidRPr="006B3F59">
        <w:rPr>
          <w:rFonts w:eastAsia="Times New Roman"/>
          <w:szCs w:val="20"/>
          <w:lang w:eastAsia="cs-CZ"/>
        </w:rPr>
        <w:t xml:space="preserve">. </w:t>
      </w:r>
      <w:r w:rsidR="00A24C1D">
        <w:rPr>
          <w:rFonts w:eastAsia="Times New Roman"/>
          <w:szCs w:val="20"/>
          <w:lang w:eastAsia="cs-CZ"/>
        </w:rPr>
        <w:t>8</w:t>
      </w:r>
      <w:r w:rsidR="00A06033" w:rsidRPr="006B3F59">
        <w:rPr>
          <w:rFonts w:eastAsia="Times New Roman"/>
          <w:szCs w:val="20"/>
          <w:lang w:eastAsia="cs-CZ"/>
        </w:rPr>
        <w:t xml:space="preserve">. </w:t>
      </w:r>
      <w:r w:rsidR="00DA2096" w:rsidRPr="006B3F59">
        <w:rPr>
          <w:rFonts w:eastAsia="Times New Roman"/>
          <w:szCs w:val="20"/>
          <w:lang w:eastAsia="cs-CZ"/>
        </w:rPr>
        <w:t>202</w:t>
      </w:r>
      <w:r w:rsidR="00F80CDD" w:rsidRPr="006B3F59">
        <w:rPr>
          <w:rFonts w:eastAsia="Times New Roman"/>
          <w:szCs w:val="20"/>
          <w:lang w:eastAsia="cs-CZ"/>
        </w:rPr>
        <w:t>3</w:t>
      </w:r>
    </w:p>
    <w:p w14:paraId="5471B32A" w14:textId="77777777" w:rsidR="00CC0030" w:rsidRPr="006B3F59" w:rsidRDefault="00CC0030" w:rsidP="00CC0030">
      <w:pPr>
        <w:rPr>
          <w:rFonts w:eastAsia="Times New Roman"/>
          <w:szCs w:val="20"/>
          <w:lang w:eastAsia="cs-CZ"/>
        </w:rPr>
      </w:pPr>
    </w:p>
    <w:p w14:paraId="28F33491" w14:textId="77777777" w:rsidR="00CC0030" w:rsidRPr="006B3F59" w:rsidRDefault="00CC0030" w:rsidP="00CC0030">
      <w:pPr>
        <w:rPr>
          <w:rFonts w:eastAsia="Times New Roman"/>
          <w:szCs w:val="20"/>
          <w:lang w:eastAsia="cs-CZ"/>
        </w:rPr>
      </w:pPr>
      <w:r w:rsidRPr="006B3F59">
        <w:rPr>
          <w:rFonts w:eastAsia="Times New Roman"/>
          <w:szCs w:val="20"/>
          <w:lang w:eastAsia="cs-CZ"/>
        </w:rPr>
        <w:t>Vedoucí projektu, autorizovaná osoba:</w:t>
      </w:r>
    </w:p>
    <w:p w14:paraId="15345E25" w14:textId="77777777" w:rsidR="00CC0030" w:rsidRPr="006B3F59" w:rsidRDefault="00CC0030" w:rsidP="00CC0030">
      <w:pPr>
        <w:tabs>
          <w:tab w:val="left" w:pos="2268"/>
        </w:tabs>
        <w:rPr>
          <w:rFonts w:eastAsia="Times New Roman"/>
          <w:szCs w:val="20"/>
          <w:lang w:eastAsia="cs-CZ"/>
        </w:rPr>
      </w:pPr>
      <w:r w:rsidRPr="006B3F59">
        <w:rPr>
          <w:rFonts w:eastAsia="Times New Roman"/>
          <w:szCs w:val="20"/>
          <w:lang w:eastAsia="cs-CZ"/>
        </w:rPr>
        <w:tab/>
        <w:t>Mgr. Jana Švábová Nezvalová</w:t>
      </w:r>
    </w:p>
    <w:p w14:paraId="66F68931" w14:textId="17C89CFA" w:rsidR="00F80CDD" w:rsidRPr="006B3F59" w:rsidRDefault="005822D0" w:rsidP="00F80CDD">
      <w:pPr>
        <w:tabs>
          <w:tab w:val="left" w:pos="2127"/>
        </w:tabs>
        <w:spacing w:before="0"/>
        <w:rPr>
          <w:rFonts w:eastAsia="Times New Roman"/>
          <w:sz w:val="18"/>
          <w:szCs w:val="18"/>
          <w:lang w:eastAsia="cs-CZ"/>
        </w:rPr>
      </w:pPr>
      <w:r w:rsidRPr="006B3F59">
        <w:rPr>
          <w:rFonts w:eastAsia="Times New Roman"/>
          <w:sz w:val="18"/>
          <w:szCs w:val="18"/>
          <w:lang w:eastAsia="cs-CZ"/>
        </w:rPr>
        <w:tab/>
      </w:r>
      <w:r w:rsidRPr="006B3F59">
        <w:rPr>
          <w:rFonts w:eastAsia="Times New Roman"/>
          <w:sz w:val="18"/>
          <w:szCs w:val="18"/>
          <w:lang w:eastAsia="cs-CZ"/>
        </w:rPr>
        <w:tab/>
      </w:r>
      <w:r w:rsidR="00F80CDD" w:rsidRPr="006B3F59">
        <w:rPr>
          <w:rFonts w:eastAsia="Times New Roman"/>
          <w:sz w:val="18"/>
          <w:szCs w:val="18"/>
          <w:lang w:eastAsia="cs-CZ"/>
        </w:rPr>
        <w:t>držitelka autorizace k posuzování vlivů na životní prostředí MŽP</w:t>
      </w:r>
    </w:p>
    <w:p w14:paraId="1AF9F8F7" w14:textId="77777777" w:rsidR="00F80CDD" w:rsidRPr="006B3F59" w:rsidRDefault="00F80CDD" w:rsidP="00F80CDD">
      <w:pPr>
        <w:tabs>
          <w:tab w:val="left" w:pos="2127"/>
        </w:tabs>
        <w:spacing w:before="0"/>
        <w:ind w:firstLine="2268"/>
        <w:rPr>
          <w:rFonts w:eastAsia="Times New Roman" w:cs="Arial"/>
          <w:sz w:val="18"/>
          <w:szCs w:val="20"/>
          <w:lang w:eastAsia="cs-CZ"/>
        </w:rPr>
      </w:pPr>
      <w:r w:rsidRPr="006B3F59">
        <w:rPr>
          <w:rFonts w:eastAsia="Times New Roman" w:cs="Arial"/>
          <w:sz w:val="18"/>
          <w:szCs w:val="20"/>
          <w:lang w:eastAsia="cs-CZ"/>
        </w:rPr>
        <w:t xml:space="preserve">č. j. 32190/ENV/09, naposledy prodloužena rozhodnutím MŽP </w:t>
      </w:r>
    </w:p>
    <w:p w14:paraId="02D0DF3F" w14:textId="77777777" w:rsidR="00F80CDD" w:rsidRPr="006B3F59" w:rsidRDefault="00F80CDD" w:rsidP="00F80CDD">
      <w:pPr>
        <w:tabs>
          <w:tab w:val="left" w:pos="2127"/>
        </w:tabs>
        <w:spacing w:before="0"/>
        <w:ind w:firstLine="2268"/>
      </w:pPr>
      <w:r w:rsidRPr="006B3F59">
        <w:rPr>
          <w:rFonts w:eastAsia="Times New Roman" w:cs="Arial"/>
          <w:sz w:val="18"/>
          <w:szCs w:val="20"/>
          <w:lang w:eastAsia="cs-CZ"/>
        </w:rPr>
        <w:t xml:space="preserve">č. j.: MZP/2022/710/2067 ze dne </w:t>
      </w:r>
      <w:r w:rsidRPr="006B3F59">
        <w:rPr>
          <w:sz w:val="16"/>
          <w:szCs w:val="18"/>
        </w:rPr>
        <w:t>31. května 2022</w:t>
      </w:r>
    </w:p>
    <w:p w14:paraId="150C5F27" w14:textId="22111A41" w:rsidR="00CC0030" w:rsidRPr="006B3F59" w:rsidRDefault="00CC0030" w:rsidP="00F80CDD">
      <w:pPr>
        <w:tabs>
          <w:tab w:val="left" w:pos="2127"/>
        </w:tabs>
        <w:spacing w:before="0"/>
        <w:rPr>
          <w:rFonts w:eastAsia="Times New Roman"/>
          <w:sz w:val="18"/>
          <w:szCs w:val="18"/>
          <w:lang w:eastAsia="cs-CZ"/>
        </w:rPr>
      </w:pPr>
    </w:p>
    <w:p w14:paraId="4EE34483" w14:textId="77777777" w:rsidR="00F350F5" w:rsidRPr="006B3F59" w:rsidRDefault="00F350F5" w:rsidP="00CC0030">
      <w:pPr>
        <w:suppressLineNumbers/>
        <w:tabs>
          <w:tab w:val="left" w:pos="2127"/>
        </w:tabs>
        <w:suppressAutoHyphens/>
        <w:ind w:firstLine="142"/>
        <w:rPr>
          <w:rFonts w:eastAsia="Times New Roman"/>
          <w:szCs w:val="20"/>
          <w:lang w:eastAsia="cs-CZ"/>
        </w:rPr>
      </w:pPr>
    </w:p>
    <w:p w14:paraId="7FC82EFA" w14:textId="5CB9BDB8" w:rsidR="00CC0030" w:rsidRPr="006B3F59" w:rsidRDefault="00CC0030" w:rsidP="00CC0030">
      <w:pPr>
        <w:spacing w:after="120"/>
        <w:rPr>
          <w:rFonts w:eastAsia="Times New Roman"/>
          <w:szCs w:val="20"/>
          <w:lang w:eastAsia="cs-CZ"/>
        </w:rPr>
      </w:pPr>
      <w:r w:rsidRPr="006B3F59">
        <w:rPr>
          <w:rFonts w:eastAsia="Times New Roman"/>
          <w:szCs w:val="20"/>
          <w:lang w:eastAsia="cs-CZ"/>
        </w:rPr>
        <w:t>Spolupracovali:</w:t>
      </w:r>
    </w:p>
    <w:tbl>
      <w:tblPr>
        <w:tblW w:w="5035" w:type="pct"/>
        <w:tblInd w:w="108" w:type="dxa"/>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1E0" w:firstRow="1" w:lastRow="1" w:firstColumn="1" w:lastColumn="1" w:noHBand="0" w:noVBand="0"/>
      </w:tblPr>
      <w:tblGrid>
        <w:gridCol w:w="1152"/>
        <w:gridCol w:w="876"/>
        <w:gridCol w:w="1431"/>
        <w:gridCol w:w="2214"/>
        <w:gridCol w:w="1521"/>
        <w:gridCol w:w="2491"/>
      </w:tblGrid>
      <w:tr w:rsidR="00CC0030" w:rsidRPr="006B3F59" w14:paraId="2EA0F5E4" w14:textId="77777777" w:rsidTr="001D749A">
        <w:tc>
          <w:tcPr>
            <w:tcW w:w="595" w:type="pct"/>
            <w:shd w:val="clear" w:color="auto" w:fill="auto"/>
            <w:vAlign w:val="center"/>
          </w:tcPr>
          <w:p w14:paraId="3DBF2169" w14:textId="77777777" w:rsidR="00CC0030" w:rsidRPr="006B3F59" w:rsidRDefault="00CC0030" w:rsidP="00CC0030">
            <w:pPr>
              <w:spacing w:before="60" w:after="60"/>
              <w:rPr>
                <w:rFonts w:eastAsia="Times New Roman"/>
                <w:b/>
                <w:bCs/>
                <w:sz w:val="18"/>
                <w:szCs w:val="18"/>
                <w:lang w:eastAsia="cs-CZ"/>
              </w:rPr>
            </w:pPr>
            <w:r w:rsidRPr="006B3F59">
              <w:rPr>
                <w:rFonts w:eastAsia="Times New Roman"/>
                <w:b/>
                <w:bCs/>
                <w:sz w:val="18"/>
                <w:szCs w:val="18"/>
                <w:lang w:eastAsia="cs-CZ"/>
              </w:rPr>
              <w:t>Titul</w:t>
            </w:r>
          </w:p>
        </w:tc>
        <w:tc>
          <w:tcPr>
            <w:tcW w:w="452" w:type="pct"/>
            <w:shd w:val="clear" w:color="auto" w:fill="auto"/>
            <w:vAlign w:val="center"/>
          </w:tcPr>
          <w:p w14:paraId="687184E5" w14:textId="77777777" w:rsidR="00CC0030" w:rsidRPr="006B3F59" w:rsidRDefault="00CC0030" w:rsidP="00CC0030">
            <w:pPr>
              <w:spacing w:before="60" w:after="60"/>
              <w:rPr>
                <w:rFonts w:eastAsia="Times New Roman"/>
                <w:b/>
                <w:bCs/>
                <w:sz w:val="18"/>
                <w:szCs w:val="18"/>
                <w:lang w:eastAsia="cs-CZ"/>
              </w:rPr>
            </w:pPr>
            <w:r w:rsidRPr="006B3F59">
              <w:rPr>
                <w:rFonts w:eastAsia="Times New Roman"/>
                <w:b/>
                <w:bCs/>
                <w:sz w:val="18"/>
                <w:szCs w:val="18"/>
                <w:lang w:eastAsia="cs-CZ"/>
              </w:rPr>
              <w:t>Jméno</w:t>
            </w:r>
          </w:p>
        </w:tc>
        <w:tc>
          <w:tcPr>
            <w:tcW w:w="739" w:type="pct"/>
            <w:shd w:val="clear" w:color="auto" w:fill="auto"/>
            <w:vAlign w:val="center"/>
          </w:tcPr>
          <w:p w14:paraId="66043788" w14:textId="77777777" w:rsidR="00CC0030" w:rsidRPr="006B3F59" w:rsidRDefault="00CC0030" w:rsidP="00CC0030">
            <w:pPr>
              <w:spacing w:before="60" w:after="60"/>
              <w:rPr>
                <w:rFonts w:eastAsia="Times New Roman"/>
                <w:b/>
                <w:bCs/>
                <w:sz w:val="18"/>
                <w:szCs w:val="18"/>
                <w:lang w:eastAsia="cs-CZ"/>
              </w:rPr>
            </w:pPr>
            <w:r w:rsidRPr="006B3F59">
              <w:rPr>
                <w:rFonts w:eastAsia="Times New Roman"/>
                <w:b/>
                <w:bCs/>
                <w:sz w:val="18"/>
                <w:szCs w:val="18"/>
                <w:lang w:eastAsia="cs-CZ"/>
              </w:rPr>
              <w:t>Příjmení</w:t>
            </w:r>
          </w:p>
        </w:tc>
        <w:tc>
          <w:tcPr>
            <w:tcW w:w="1143" w:type="pct"/>
            <w:shd w:val="clear" w:color="auto" w:fill="auto"/>
            <w:vAlign w:val="center"/>
          </w:tcPr>
          <w:p w14:paraId="4AD33D4A" w14:textId="77777777" w:rsidR="00CC0030" w:rsidRPr="006B3F59" w:rsidRDefault="00CC0030" w:rsidP="00CC0030">
            <w:pPr>
              <w:spacing w:before="60" w:after="60"/>
              <w:rPr>
                <w:rFonts w:eastAsia="Times New Roman"/>
                <w:b/>
                <w:bCs/>
                <w:sz w:val="18"/>
                <w:szCs w:val="18"/>
                <w:lang w:eastAsia="cs-CZ"/>
              </w:rPr>
            </w:pPr>
            <w:r w:rsidRPr="006B3F59">
              <w:rPr>
                <w:rFonts w:eastAsia="Times New Roman"/>
                <w:b/>
                <w:bCs/>
                <w:sz w:val="18"/>
                <w:szCs w:val="18"/>
                <w:lang w:eastAsia="cs-CZ"/>
              </w:rPr>
              <w:t>Firma</w:t>
            </w:r>
          </w:p>
        </w:tc>
        <w:tc>
          <w:tcPr>
            <w:tcW w:w="785" w:type="pct"/>
            <w:shd w:val="clear" w:color="auto" w:fill="auto"/>
            <w:vAlign w:val="center"/>
          </w:tcPr>
          <w:p w14:paraId="24E31467" w14:textId="77777777" w:rsidR="00CC0030" w:rsidRPr="006B3F59" w:rsidRDefault="00CC0030" w:rsidP="00CC0030">
            <w:pPr>
              <w:spacing w:before="60" w:after="60"/>
              <w:rPr>
                <w:rFonts w:eastAsia="Times New Roman"/>
                <w:b/>
                <w:bCs/>
                <w:sz w:val="18"/>
                <w:szCs w:val="18"/>
                <w:lang w:eastAsia="cs-CZ"/>
              </w:rPr>
            </w:pPr>
            <w:r w:rsidRPr="006B3F59">
              <w:rPr>
                <w:rFonts w:eastAsia="Times New Roman"/>
                <w:b/>
                <w:bCs/>
                <w:sz w:val="18"/>
                <w:szCs w:val="18"/>
                <w:lang w:eastAsia="cs-CZ"/>
              </w:rPr>
              <w:t>Telefon</w:t>
            </w:r>
          </w:p>
        </w:tc>
        <w:tc>
          <w:tcPr>
            <w:tcW w:w="1286" w:type="pct"/>
            <w:shd w:val="clear" w:color="auto" w:fill="auto"/>
            <w:vAlign w:val="center"/>
          </w:tcPr>
          <w:p w14:paraId="36928910" w14:textId="77777777" w:rsidR="00CC0030" w:rsidRPr="006B3F59" w:rsidRDefault="00CC0030" w:rsidP="00CC0030">
            <w:pPr>
              <w:spacing w:before="60" w:after="60"/>
              <w:rPr>
                <w:rFonts w:eastAsia="Times New Roman"/>
                <w:b/>
                <w:bCs/>
                <w:sz w:val="18"/>
                <w:szCs w:val="18"/>
                <w:lang w:eastAsia="cs-CZ"/>
              </w:rPr>
            </w:pPr>
            <w:r w:rsidRPr="006B3F59">
              <w:rPr>
                <w:rFonts w:eastAsia="Times New Roman"/>
                <w:b/>
                <w:bCs/>
                <w:sz w:val="18"/>
                <w:szCs w:val="18"/>
                <w:lang w:eastAsia="cs-CZ"/>
              </w:rPr>
              <w:t>Email</w:t>
            </w:r>
          </w:p>
        </w:tc>
      </w:tr>
      <w:tr w:rsidR="00E33890" w:rsidRPr="006B3F59" w14:paraId="374C5AD6" w14:textId="77777777" w:rsidTr="001D749A">
        <w:tc>
          <w:tcPr>
            <w:tcW w:w="595" w:type="pct"/>
            <w:shd w:val="clear" w:color="auto" w:fill="auto"/>
            <w:vAlign w:val="center"/>
          </w:tcPr>
          <w:p w14:paraId="4C4AF0F2" w14:textId="59C1AD6A" w:rsidR="00E33890" w:rsidRPr="006B3F59" w:rsidRDefault="00E33890" w:rsidP="00975CF0">
            <w:pPr>
              <w:spacing w:before="40" w:after="40"/>
              <w:rPr>
                <w:rFonts w:eastAsia="Times New Roman"/>
                <w:bCs/>
                <w:sz w:val="16"/>
                <w:szCs w:val="16"/>
                <w:lang w:eastAsia="cs-CZ"/>
              </w:rPr>
            </w:pPr>
            <w:r w:rsidRPr="006B3F59">
              <w:rPr>
                <w:rFonts w:eastAsia="Times New Roman"/>
                <w:bCs/>
                <w:sz w:val="16"/>
                <w:szCs w:val="16"/>
                <w:lang w:eastAsia="cs-CZ"/>
              </w:rPr>
              <w:t>RNDr. Ph.D.</w:t>
            </w:r>
          </w:p>
        </w:tc>
        <w:tc>
          <w:tcPr>
            <w:tcW w:w="452" w:type="pct"/>
            <w:shd w:val="clear" w:color="auto" w:fill="auto"/>
            <w:vAlign w:val="center"/>
          </w:tcPr>
          <w:p w14:paraId="720A58D7" w14:textId="402B5634" w:rsidR="00E33890" w:rsidRPr="006B3F59" w:rsidRDefault="00E33890" w:rsidP="00975CF0">
            <w:pPr>
              <w:spacing w:before="40" w:after="40"/>
              <w:rPr>
                <w:rFonts w:eastAsia="Times New Roman"/>
                <w:bCs/>
                <w:sz w:val="16"/>
                <w:szCs w:val="16"/>
                <w:lang w:eastAsia="cs-CZ"/>
              </w:rPr>
            </w:pPr>
            <w:r w:rsidRPr="006B3F59">
              <w:rPr>
                <w:rFonts w:eastAsia="Times New Roman"/>
                <w:bCs/>
                <w:sz w:val="16"/>
                <w:szCs w:val="16"/>
                <w:lang w:eastAsia="cs-CZ"/>
              </w:rPr>
              <w:t xml:space="preserve">Jitka </w:t>
            </w:r>
          </w:p>
        </w:tc>
        <w:tc>
          <w:tcPr>
            <w:tcW w:w="739" w:type="pct"/>
            <w:shd w:val="clear" w:color="auto" w:fill="auto"/>
            <w:vAlign w:val="center"/>
          </w:tcPr>
          <w:p w14:paraId="11FF23A6" w14:textId="094916DB" w:rsidR="00E33890" w:rsidRPr="006B3F59" w:rsidRDefault="00E33890" w:rsidP="00975CF0">
            <w:pPr>
              <w:spacing w:before="40" w:after="40"/>
              <w:rPr>
                <w:rFonts w:eastAsia="Times New Roman"/>
                <w:bCs/>
                <w:sz w:val="16"/>
                <w:szCs w:val="16"/>
                <w:lang w:eastAsia="cs-CZ"/>
              </w:rPr>
            </w:pPr>
            <w:r w:rsidRPr="006B3F59">
              <w:rPr>
                <w:rFonts w:eastAsia="Times New Roman"/>
                <w:bCs/>
                <w:sz w:val="16"/>
                <w:szCs w:val="16"/>
                <w:lang w:eastAsia="cs-CZ"/>
              </w:rPr>
              <w:t>Heikenwalderová</w:t>
            </w:r>
          </w:p>
        </w:tc>
        <w:tc>
          <w:tcPr>
            <w:tcW w:w="1143" w:type="pct"/>
            <w:shd w:val="clear" w:color="auto" w:fill="auto"/>
            <w:vAlign w:val="center"/>
          </w:tcPr>
          <w:p w14:paraId="04074E3B" w14:textId="7C5870BD" w:rsidR="00E33890" w:rsidRPr="006B3F59" w:rsidRDefault="00E33890" w:rsidP="00975CF0">
            <w:pPr>
              <w:spacing w:before="40" w:after="40"/>
              <w:rPr>
                <w:rFonts w:eastAsia="Times New Roman"/>
                <w:bCs/>
                <w:sz w:val="16"/>
                <w:szCs w:val="16"/>
                <w:lang w:eastAsia="cs-CZ"/>
              </w:rPr>
            </w:pPr>
            <w:r w:rsidRPr="006B3F59">
              <w:rPr>
                <w:rFonts w:eastAsia="Times New Roman"/>
                <w:bCs/>
                <w:sz w:val="16"/>
                <w:szCs w:val="16"/>
                <w:lang w:eastAsia="cs-CZ"/>
              </w:rPr>
              <w:t>Jacobs Clean Energy s.r.o.</w:t>
            </w:r>
          </w:p>
        </w:tc>
        <w:tc>
          <w:tcPr>
            <w:tcW w:w="785" w:type="pct"/>
            <w:shd w:val="clear" w:color="auto" w:fill="auto"/>
            <w:vAlign w:val="center"/>
          </w:tcPr>
          <w:p w14:paraId="2750E662" w14:textId="17B62773" w:rsidR="00E33890" w:rsidRPr="006B3F59" w:rsidRDefault="00E33890" w:rsidP="00975CF0">
            <w:pPr>
              <w:spacing w:before="40" w:after="40"/>
              <w:rPr>
                <w:rFonts w:eastAsia="Times New Roman"/>
                <w:bCs/>
                <w:sz w:val="16"/>
                <w:szCs w:val="16"/>
                <w:lang w:eastAsia="cs-CZ"/>
              </w:rPr>
            </w:pPr>
            <w:r w:rsidRPr="006B3F59">
              <w:rPr>
                <w:rFonts w:eastAsia="Times New Roman"/>
                <w:bCs/>
                <w:sz w:val="16"/>
                <w:szCs w:val="16"/>
                <w:lang w:eastAsia="cs-CZ"/>
              </w:rPr>
              <w:t>+420 725 607 968</w:t>
            </w:r>
          </w:p>
        </w:tc>
        <w:tc>
          <w:tcPr>
            <w:tcW w:w="1286" w:type="pct"/>
            <w:shd w:val="clear" w:color="auto" w:fill="auto"/>
            <w:vAlign w:val="center"/>
          </w:tcPr>
          <w:p w14:paraId="65A2F2E0" w14:textId="185F9FDE" w:rsidR="00E33890" w:rsidRPr="006B3F59" w:rsidRDefault="00E33890" w:rsidP="00935CC0">
            <w:pPr>
              <w:spacing w:before="40" w:after="40"/>
              <w:rPr>
                <w:sz w:val="16"/>
                <w:szCs w:val="16"/>
              </w:rPr>
            </w:pPr>
            <w:r w:rsidRPr="006B3F59">
              <w:rPr>
                <w:rFonts w:eastAsia="Times New Roman"/>
                <w:bCs/>
                <w:sz w:val="16"/>
                <w:szCs w:val="16"/>
                <w:lang w:eastAsia="cs-CZ"/>
              </w:rPr>
              <w:t>heikenwalderova(a)</w:t>
            </w:r>
            <w:r w:rsidRPr="006B3F59">
              <w:rPr>
                <w:rFonts w:eastAsia="Times New Roman"/>
                <w:sz w:val="16"/>
                <w:szCs w:val="16"/>
                <w:lang w:eastAsia="cs-CZ"/>
              </w:rPr>
              <w:t>jacobscz</w:t>
            </w:r>
            <w:r w:rsidRPr="006B3F59">
              <w:rPr>
                <w:rFonts w:eastAsia="Times New Roman"/>
                <w:bCs/>
                <w:sz w:val="16"/>
                <w:szCs w:val="16"/>
                <w:lang w:eastAsia="cs-CZ"/>
              </w:rPr>
              <w:t>.cz</w:t>
            </w:r>
          </w:p>
        </w:tc>
      </w:tr>
      <w:tr w:rsidR="00935CC0" w:rsidRPr="006B3F59" w14:paraId="751F25B0" w14:textId="77777777" w:rsidTr="001D749A">
        <w:tc>
          <w:tcPr>
            <w:tcW w:w="595" w:type="pct"/>
            <w:shd w:val="clear" w:color="auto" w:fill="auto"/>
            <w:vAlign w:val="center"/>
          </w:tcPr>
          <w:p w14:paraId="101ADCA7" w14:textId="41AA5C18" w:rsidR="00935CC0" w:rsidRPr="006B3F59" w:rsidRDefault="00935CC0" w:rsidP="00975CF0">
            <w:pPr>
              <w:spacing w:before="40" w:after="40"/>
              <w:rPr>
                <w:rFonts w:eastAsia="Times New Roman"/>
                <w:bCs/>
                <w:sz w:val="16"/>
                <w:szCs w:val="16"/>
                <w:lang w:eastAsia="cs-CZ"/>
              </w:rPr>
            </w:pPr>
            <w:r w:rsidRPr="006B3F59">
              <w:rPr>
                <w:rFonts w:eastAsia="Times New Roman"/>
                <w:bCs/>
                <w:sz w:val="16"/>
                <w:szCs w:val="16"/>
                <w:lang w:eastAsia="cs-CZ"/>
              </w:rPr>
              <w:t xml:space="preserve">Ing. arch. </w:t>
            </w:r>
          </w:p>
        </w:tc>
        <w:tc>
          <w:tcPr>
            <w:tcW w:w="452" w:type="pct"/>
            <w:shd w:val="clear" w:color="auto" w:fill="auto"/>
            <w:vAlign w:val="center"/>
          </w:tcPr>
          <w:p w14:paraId="718FA431" w14:textId="5B95F006" w:rsidR="00935CC0" w:rsidRPr="006B3F59" w:rsidRDefault="00935CC0" w:rsidP="00975CF0">
            <w:pPr>
              <w:spacing w:before="40" w:after="40"/>
              <w:rPr>
                <w:rFonts w:eastAsia="Times New Roman"/>
                <w:bCs/>
                <w:sz w:val="16"/>
                <w:szCs w:val="16"/>
                <w:lang w:eastAsia="cs-CZ"/>
              </w:rPr>
            </w:pPr>
            <w:r w:rsidRPr="006B3F59">
              <w:rPr>
                <w:rFonts w:eastAsia="Times New Roman"/>
                <w:bCs/>
                <w:sz w:val="16"/>
                <w:szCs w:val="16"/>
                <w:lang w:eastAsia="cs-CZ"/>
              </w:rPr>
              <w:t>Pavel</w:t>
            </w:r>
          </w:p>
        </w:tc>
        <w:tc>
          <w:tcPr>
            <w:tcW w:w="739" w:type="pct"/>
            <w:shd w:val="clear" w:color="auto" w:fill="auto"/>
            <w:vAlign w:val="center"/>
          </w:tcPr>
          <w:p w14:paraId="2E9AEE7A" w14:textId="24BD9E42" w:rsidR="00935CC0" w:rsidRPr="006B3F59" w:rsidRDefault="00935CC0" w:rsidP="00975CF0">
            <w:pPr>
              <w:spacing w:before="40" w:after="40"/>
              <w:rPr>
                <w:rFonts w:eastAsia="Times New Roman"/>
                <w:bCs/>
                <w:sz w:val="16"/>
                <w:szCs w:val="16"/>
                <w:lang w:eastAsia="cs-CZ"/>
              </w:rPr>
            </w:pPr>
            <w:r w:rsidRPr="006B3F59">
              <w:rPr>
                <w:rFonts w:eastAsia="Times New Roman"/>
                <w:bCs/>
                <w:sz w:val="16"/>
                <w:szCs w:val="16"/>
                <w:lang w:eastAsia="cs-CZ"/>
              </w:rPr>
              <w:t>Šemora</w:t>
            </w:r>
          </w:p>
        </w:tc>
        <w:tc>
          <w:tcPr>
            <w:tcW w:w="1143" w:type="pct"/>
            <w:shd w:val="clear" w:color="auto" w:fill="auto"/>
            <w:vAlign w:val="center"/>
          </w:tcPr>
          <w:p w14:paraId="08BB8FC5" w14:textId="2AED7FED" w:rsidR="00935CC0" w:rsidRPr="006B3F59" w:rsidRDefault="00E33890" w:rsidP="00975CF0">
            <w:pPr>
              <w:spacing w:before="40" w:after="40"/>
              <w:rPr>
                <w:rFonts w:eastAsia="Times New Roman"/>
                <w:bCs/>
                <w:sz w:val="16"/>
                <w:szCs w:val="16"/>
                <w:lang w:eastAsia="cs-CZ"/>
              </w:rPr>
            </w:pPr>
            <w:r w:rsidRPr="006B3F59">
              <w:rPr>
                <w:rFonts w:eastAsia="Times New Roman"/>
                <w:bCs/>
                <w:sz w:val="16"/>
                <w:szCs w:val="16"/>
                <w:lang w:eastAsia="cs-CZ"/>
              </w:rPr>
              <w:t>Jacobs Clean Energy s.r.o.</w:t>
            </w:r>
          </w:p>
        </w:tc>
        <w:tc>
          <w:tcPr>
            <w:tcW w:w="785" w:type="pct"/>
            <w:shd w:val="clear" w:color="auto" w:fill="auto"/>
            <w:vAlign w:val="center"/>
          </w:tcPr>
          <w:p w14:paraId="1E873D0E" w14:textId="3096C2C4" w:rsidR="00935CC0" w:rsidRPr="006B3F59" w:rsidRDefault="00935CC0" w:rsidP="00935CC0">
            <w:pPr>
              <w:spacing w:before="40" w:after="40"/>
              <w:rPr>
                <w:rFonts w:eastAsia="Times New Roman"/>
                <w:bCs/>
                <w:sz w:val="16"/>
                <w:szCs w:val="16"/>
                <w:lang w:eastAsia="cs-CZ"/>
              </w:rPr>
            </w:pPr>
            <w:r w:rsidRPr="006B3F59">
              <w:rPr>
                <w:rFonts w:eastAsia="Times New Roman"/>
                <w:bCs/>
                <w:sz w:val="16"/>
                <w:szCs w:val="16"/>
                <w:lang w:eastAsia="cs-CZ"/>
              </w:rPr>
              <w:t>+420 774 738 101</w:t>
            </w:r>
          </w:p>
        </w:tc>
        <w:tc>
          <w:tcPr>
            <w:tcW w:w="1286" w:type="pct"/>
            <w:shd w:val="clear" w:color="auto" w:fill="auto"/>
            <w:vAlign w:val="center"/>
          </w:tcPr>
          <w:p w14:paraId="453DF650" w14:textId="75C76C61" w:rsidR="00935CC0" w:rsidRPr="006B3F59" w:rsidRDefault="00000000" w:rsidP="00E33890">
            <w:pPr>
              <w:spacing w:before="40" w:after="40"/>
              <w:rPr>
                <w:sz w:val="16"/>
                <w:szCs w:val="16"/>
              </w:rPr>
            </w:pPr>
            <w:hyperlink r:id="rId9" w:history="1">
              <w:r w:rsidR="00FE22F0" w:rsidRPr="006B3F59">
                <w:rPr>
                  <w:rFonts w:eastAsia="Times New Roman"/>
                  <w:bCs/>
                  <w:sz w:val="16"/>
                  <w:szCs w:val="16"/>
                  <w:lang w:eastAsia="cs-CZ"/>
                </w:rPr>
                <w:t>semora</w:t>
              </w:r>
              <w:r w:rsidR="00935CC0" w:rsidRPr="006B3F59">
                <w:rPr>
                  <w:rFonts w:eastAsia="Times New Roman"/>
                  <w:bCs/>
                  <w:sz w:val="16"/>
                  <w:szCs w:val="16"/>
                  <w:lang w:eastAsia="cs-CZ"/>
                </w:rPr>
                <w:t>(a</w:t>
              </w:r>
              <w:r w:rsidR="00E33890" w:rsidRPr="006B3F59">
                <w:rPr>
                  <w:rFonts w:eastAsia="Times New Roman"/>
                  <w:bCs/>
                  <w:sz w:val="16"/>
                  <w:szCs w:val="16"/>
                  <w:lang w:eastAsia="cs-CZ"/>
                </w:rPr>
                <w:t>)jacobcz</w:t>
              </w:r>
              <w:r w:rsidR="00935CC0" w:rsidRPr="006B3F59">
                <w:rPr>
                  <w:rFonts w:eastAsia="Times New Roman"/>
                  <w:bCs/>
                  <w:sz w:val="16"/>
                  <w:szCs w:val="16"/>
                  <w:lang w:eastAsia="cs-CZ"/>
                </w:rPr>
                <w:t>.cz</w:t>
              </w:r>
            </w:hyperlink>
            <w:r w:rsidR="00935CC0" w:rsidRPr="006B3F59">
              <w:rPr>
                <w:rFonts w:eastAsia="Times New Roman"/>
                <w:bCs/>
                <w:sz w:val="16"/>
                <w:szCs w:val="16"/>
                <w:lang w:eastAsia="cs-CZ"/>
              </w:rPr>
              <w:t xml:space="preserve"> </w:t>
            </w:r>
          </w:p>
        </w:tc>
      </w:tr>
      <w:tr w:rsidR="00E33890" w:rsidRPr="006B3F59" w14:paraId="2D07E620" w14:textId="77777777" w:rsidTr="001D749A">
        <w:tc>
          <w:tcPr>
            <w:tcW w:w="595" w:type="pct"/>
            <w:shd w:val="clear" w:color="auto" w:fill="auto"/>
            <w:vAlign w:val="center"/>
          </w:tcPr>
          <w:p w14:paraId="700605D0" w14:textId="77777777" w:rsidR="00E33890" w:rsidRPr="006B3F59" w:rsidRDefault="00E33890" w:rsidP="00975CF0">
            <w:pPr>
              <w:spacing w:before="40" w:after="40"/>
              <w:rPr>
                <w:rFonts w:eastAsia="Times New Roman"/>
                <w:bCs/>
                <w:sz w:val="16"/>
                <w:szCs w:val="16"/>
                <w:lang w:eastAsia="cs-CZ"/>
              </w:rPr>
            </w:pPr>
            <w:r w:rsidRPr="006B3F59">
              <w:rPr>
                <w:rFonts w:eastAsia="Times New Roman"/>
                <w:bCs/>
                <w:sz w:val="16"/>
                <w:szCs w:val="16"/>
                <w:lang w:eastAsia="cs-CZ"/>
              </w:rPr>
              <w:t>RNDr., Ph.D.</w:t>
            </w:r>
          </w:p>
        </w:tc>
        <w:tc>
          <w:tcPr>
            <w:tcW w:w="452" w:type="pct"/>
            <w:shd w:val="clear" w:color="auto" w:fill="auto"/>
            <w:vAlign w:val="center"/>
          </w:tcPr>
          <w:p w14:paraId="321A0289" w14:textId="77777777" w:rsidR="00E33890" w:rsidRPr="006B3F59" w:rsidRDefault="00E33890" w:rsidP="00975CF0">
            <w:pPr>
              <w:spacing w:before="40" w:after="40"/>
              <w:rPr>
                <w:rFonts w:eastAsia="Times New Roman"/>
                <w:bCs/>
                <w:sz w:val="16"/>
                <w:szCs w:val="16"/>
                <w:lang w:eastAsia="cs-CZ"/>
              </w:rPr>
            </w:pPr>
            <w:r w:rsidRPr="006B3F59">
              <w:rPr>
                <w:rFonts w:eastAsia="Times New Roman"/>
                <w:bCs/>
                <w:sz w:val="16"/>
                <w:szCs w:val="16"/>
                <w:lang w:eastAsia="cs-CZ"/>
              </w:rPr>
              <w:t>Tomáš</w:t>
            </w:r>
          </w:p>
        </w:tc>
        <w:tc>
          <w:tcPr>
            <w:tcW w:w="739" w:type="pct"/>
            <w:shd w:val="clear" w:color="auto" w:fill="auto"/>
            <w:vAlign w:val="center"/>
          </w:tcPr>
          <w:p w14:paraId="2AE012EB" w14:textId="77777777" w:rsidR="00E33890" w:rsidRPr="006B3F59" w:rsidRDefault="00E33890" w:rsidP="00975CF0">
            <w:pPr>
              <w:spacing w:before="40" w:after="40"/>
              <w:rPr>
                <w:rFonts w:eastAsia="Times New Roman"/>
                <w:bCs/>
                <w:sz w:val="16"/>
                <w:szCs w:val="16"/>
                <w:lang w:eastAsia="cs-CZ"/>
              </w:rPr>
            </w:pPr>
            <w:r w:rsidRPr="006B3F59">
              <w:rPr>
                <w:rFonts w:eastAsia="Times New Roman"/>
                <w:bCs/>
                <w:sz w:val="16"/>
                <w:szCs w:val="16"/>
                <w:lang w:eastAsia="cs-CZ"/>
              </w:rPr>
              <w:t>Bartoš</w:t>
            </w:r>
          </w:p>
        </w:tc>
        <w:tc>
          <w:tcPr>
            <w:tcW w:w="1143" w:type="pct"/>
            <w:shd w:val="clear" w:color="auto" w:fill="auto"/>
            <w:vAlign w:val="center"/>
          </w:tcPr>
          <w:p w14:paraId="71429058" w14:textId="3EB3FFD3" w:rsidR="00E33890" w:rsidRPr="006B3F59" w:rsidRDefault="00E33890" w:rsidP="00975CF0">
            <w:pPr>
              <w:spacing w:before="40" w:after="40"/>
              <w:rPr>
                <w:rFonts w:eastAsia="Times New Roman"/>
                <w:bCs/>
                <w:sz w:val="16"/>
                <w:szCs w:val="16"/>
                <w:lang w:eastAsia="cs-CZ"/>
              </w:rPr>
            </w:pPr>
            <w:r w:rsidRPr="006B3F59">
              <w:rPr>
                <w:rFonts w:eastAsia="Times New Roman"/>
                <w:bCs/>
                <w:sz w:val="16"/>
                <w:szCs w:val="16"/>
                <w:lang w:eastAsia="cs-CZ"/>
              </w:rPr>
              <w:t>Jacobs Clean Energy s.r.o.</w:t>
            </w:r>
          </w:p>
        </w:tc>
        <w:tc>
          <w:tcPr>
            <w:tcW w:w="785" w:type="pct"/>
            <w:shd w:val="clear" w:color="auto" w:fill="auto"/>
            <w:vAlign w:val="center"/>
          </w:tcPr>
          <w:p w14:paraId="21A86B0B" w14:textId="756DEE44" w:rsidR="00E33890" w:rsidRPr="006B3F59" w:rsidRDefault="00E33890" w:rsidP="00975CF0">
            <w:pPr>
              <w:spacing w:before="40" w:after="40"/>
              <w:rPr>
                <w:rFonts w:eastAsia="Times New Roman"/>
                <w:bCs/>
                <w:sz w:val="16"/>
                <w:szCs w:val="16"/>
                <w:lang w:eastAsia="cs-CZ"/>
              </w:rPr>
            </w:pPr>
            <w:r w:rsidRPr="006B3F59">
              <w:rPr>
                <w:rFonts w:eastAsia="Times New Roman"/>
                <w:bCs/>
                <w:sz w:val="16"/>
                <w:szCs w:val="16"/>
                <w:lang w:eastAsia="cs-CZ"/>
              </w:rPr>
              <w:t>+420 725 607 967</w:t>
            </w:r>
          </w:p>
        </w:tc>
        <w:tc>
          <w:tcPr>
            <w:tcW w:w="1286" w:type="pct"/>
            <w:shd w:val="clear" w:color="auto" w:fill="auto"/>
            <w:vAlign w:val="center"/>
          </w:tcPr>
          <w:p w14:paraId="551F4E33" w14:textId="531514C4" w:rsidR="00E33890" w:rsidRPr="006B3F59" w:rsidRDefault="00000000" w:rsidP="00975CF0">
            <w:pPr>
              <w:spacing w:before="40" w:after="40"/>
              <w:rPr>
                <w:rFonts w:eastAsia="Times New Roman"/>
                <w:bCs/>
                <w:sz w:val="16"/>
                <w:szCs w:val="16"/>
                <w:lang w:eastAsia="cs-CZ"/>
              </w:rPr>
            </w:pPr>
            <w:hyperlink r:id="rId10" w:history="1">
              <w:proofErr w:type="spellStart"/>
              <w:r w:rsidR="00E33890" w:rsidRPr="006B3F59">
                <w:rPr>
                  <w:rFonts w:eastAsia="Times New Roman"/>
                  <w:bCs/>
                  <w:sz w:val="16"/>
                  <w:szCs w:val="16"/>
                  <w:lang w:eastAsia="cs-CZ"/>
                </w:rPr>
                <w:t>bartos</w:t>
              </w:r>
              <w:proofErr w:type="spellEnd"/>
              <w:r w:rsidR="00E33890" w:rsidRPr="006B3F59">
                <w:rPr>
                  <w:rFonts w:eastAsia="Times New Roman"/>
                  <w:bCs/>
                  <w:sz w:val="16"/>
                  <w:szCs w:val="16"/>
                  <w:lang w:eastAsia="cs-CZ"/>
                </w:rPr>
                <w:t>(a)</w:t>
              </w:r>
              <w:r w:rsidR="00E33890" w:rsidRPr="006B3F59">
                <w:rPr>
                  <w:rFonts w:eastAsia="Times New Roman"/>
                  <w:sz w:val="16"/>
                  <w:szCs w:val="16"/>
                  <w:lang w:eastAsia="cs-CZ"/>
                </w:rPr>
                <w:t>jacobscz</w:t>
              </w:r>
              <w:r w:rsidR="00E33890" w:rsidRPr="006B3F59">
                <w:rPr>
                  <w:rFonts w:eastAsia="Times New Roman"/>
                  <w:bCs/>
                  <w:sz w:val="16"/>
                  <w:szCs w:val="16"/>
                  <w:lang w:eastAsia="cs-CZ"/>
                </w:rPr>
                <w:t>.cz</w:t>
              </w:r>
            </w:hyperlink>
            <w:r w:rsidR="00E33890" w:rsidRPr="006B3F59">
              <w:rPr>
                <w:rFonts w:eastAsia="Times New Roman"/>
                <w:bCs/>
                <w:sz w:val="16"/>
                <w:szCs w:val="16"/>
                <w:lang w:eastAsia="cs-CZ"/>
              </w:rPr>
              <w:t xml:space="preserve"> </w:t>
            </w:r>
          </w:p>
        </w:tc>
      </w:tr>
      <w:tr w:rsidR="00E33890" w:rsidRPr="006B3F59" w14:paraId="341DD2D8" w14:textId="77777777" w:rsidTr="001D749A">
        <w:tc>
          <w:tcPr>
            <w:tcW w:w="595" w:type="pct"/>
            <w:shd w:val="clear" w:color="auto" w:fill="auto"/>
            <w:vAlign w:val="center"/>
          </w:tcPr>
          <w:p w14:paraId="1FD561A1" w14:textId="3298A233" w:rsidR="00E33890" w:rsidRPr="006B3F59" w:rsidRDefault="00E33890" w:rsidP="00975CF0">
            <w:pPr>
              <w:spacing w:before="40" w:after="40"/>
              <w:rPr>
                <w:rFonts w:eastAsia="Times New Roman"/>
                <w:bCs/>
                <w:sz w:val="16"/>
                <w:szCs w:val="16"/>
                <w:lang w:eastAsia="cs-CZ"/>
              </w:rPr>
            </w:pPr>
            <w:r w:rsidRPr="006B3F59">
              <w:rPr>
                <w:rFonts w:eastAsia="Times New Roman"/>
                <w:bCs/>
                <w:sz w:val="16"/>
                <w:szCs w:val="16"/>
                <w:lang w:eastAsia="cs-CZ"/>
              </w:rPr>
              <w:t>Mgr.</w:t>
            </w:r>
          </w:p>
        </w:tc>
        <w:tc>
          <w:tcPr>
            <w:tcW w:w="452" w:type="pct"/>
            <w:shd w:val="clear" w:color="auto" w:fill="auto"/>
            <w:vAlign w:val="center"/>
          </w:tcPr>
          <w:p w14:paraId="580F233F" w14:textId="4489761F" w:rsidR="00E33890" w:rsidRPr="006B3F59" w:rsidRDefault="00E33890" w:rsidP="00975CF0">
            <w:pPr>
              <w:spacing w:before="40" w:after="40"/>
              <w:rPr>
                <w:rFonts w:eastAsia="Times New Roman"/>
                <w:bCs/>
                <w:sz w:val="16"/>
                <w:szCs w:val="16"/>
                <w:lang w:eastAsia="cs-CZ"/>
              </w:rPr>
            </w:pPr>
            <w:r w:rsidRPr="006B3F59">
              <w:rPr>
                <w:rFonts w:eastAsia="Times New Roman"/>
                <w:bCs/>
                <w:sz w:val="16"/>
                <w:szCs w:val="16"/>
                <w:lang w:eastAsia="cs-CZ"/>
              </w:rPr>
              <w:t>Katarína</w:t>
            </w:r>
          </w:p>
        </w:tc>
        <w:tc>
          <w:tcPr>
            <w:tcW w:w="739" w:type="pct"/>
            <w:shd w:val="clear" w:color="auto" w:fill="auto"/>
            <w:vAlign w:val="center"/>
          </w:tcPr>
          <w:p w14:paraId="57C805D8" w14:textId="5EECE4A4" w:rsidR="00E33890" w:rsidRPr="006B3F59" w:rsidRDefault="00E33890" w:rsidP="00975CF0">
            <w:pPr>
              <w:spacing w:before="40" w:after="40"/>
              <w:rPr>
                <w:rFonts w:eastAsia="Times New Roman"/>
                <w:bCs/>
                <w:sz w:val="16"/>
                <w:szCs w:val="16"/>
                <w:lang w:eastAsia="cs-CZ"/>
              </w:rPr>
            </w:pPr>
            <w:r w:rsidRPr="006B3F59">
              <w:rPr>
                <w:rFonts w:eastAsia="Times New Roman"/>
                <w:bCs/>
                <w:sz w:val="16"/>
                <w:szCs w:val="16"/>
                <w:lang w:eastAsia="cs-CZ"/>
              </w:rPr>
              <w:t>Vysloužilová</w:t>
            </w:r>
          </w:p>
        </w:tc>
        <w:tc>
          <w:tcPr>
            <w:tcW w:w="1143" w:type="pct"/>
            <w:shd w:val="clear" w:color="auto" w:fill="auto"/>
            <w:vAlign w:val="center"/>
          </w:tcPr>
          <w:p w14:paraId="2F952721" w14:textId="12836604" w:rsidR="00E33890" w:rsidRPr="006B3F59" w:rsidRDefault="00E33890" w:rsidP="00975CF0">
            <w:pPr>
              <w:spacing w:before="40" w:after="40"/>
              <w:rPr>
                <w:rFonts w:eastAsia="Times New Roman"/>
                <w:bCs/>
                <w:sz w:val="16"/>
                <w:szCs w:val="16"/>
                <w:lang w:eastAsia="cs-CZ"/>
              </w:rPr>
            </w:pPr>
            <w:r w:rsidRPr="006B3F59">
              <w:rPr>
                <w:rFonts w:eastAsia="Times New Roman"/>
                <w:bCs/>
                <w:sz w:val="16"/>
                <w:szCs w:val="16"/>
                <w:lang w:eastAsia="cs-CZ"/>
              </w:rPr>
              <w:t>Jacobs Clean Energy s.r.o.</w:t>
            </w:r>
          </w:p>
        </w:tc>
        <w:tc>
          <w:tcPr>
            <w:tcW w:w="785" w:type="pct"/>
            <w:shd w:val="clear" w:color="auto" w:fill="auto"/>
            <w:vAlign w:val="center"/>
          </w:tcPr>
          <w:p w14:paraId="080AF9E7" w14:textId="0CE3185A" w:rsidR="00E33890" w:rsidRPr="006B3F59" w:rsidRDefault="00E33890" w:rsidP="00975CF0">
            <w:pPr>
              <w:spacing w:before="40" w:after="40"/>
              <w:rPr>
                <w:rFonts w:eastAsia="Times New Roman"/>
                <w:bCs/>
                <w:sz w:val="16"/>
                <w:szCs w:val="16"/>
                <w:lang w:eastAsia="cs-CZ"/>
              </w:rPr>
            </w:pPr>
            <w:r w:rsidRPr="006B3F59">
              <w:rPr>
                <w:rFonts w:eastAsia="Times New Roman"/>
                <w:bCs/>
                <w:sz w:val="16"/>
                <w:szCs w:val="16"/>
                <w:lang w:eastAsia="cs-CZ"/>
              </w:rPr>
              <w:t>+420 725 607 973</w:t>
            </w:r>
          </w:p>
        </w:tc>
        <w:tc>
          <w:tcPr>
            <w:tcW w:w="1286" w:type="pct"/>
            <w:shd w:val="clear" w:color="auto" w:fill="auto"/>
            <w:vAlign w:val="center"/>
          </w:tcPr>
          <w:p w14:paraId="2821CF63" w14:textId="0877323C" w:rsidR="00E33890" w:rsidRPr="006B3F59" w:rsidRDefault="00E33890" w:rsidP="00975CF0">
            <w:pPr>
              <w:spacing w:before="40" w:after="40"/>
              <w:rPr>
                <w:rFonts w:eastAsia="Times New Roman"/>
                <w:bCs/>
                <w:sz w:val="16"/>
                <w:szCs w:val="16"/>
                <w:lang w:eastAsia="cs-CZ"/>
              </w:rPr>
            </w:pPr>
            <w:proofErr w:type="spellStart"/>
            <w:r w:rsidRPr="006B3F59">
              <w:rPr>
                <w:rFonts w:eastAsia="Times New Roman"/>
                <w:bCs/>
                <w:sz w:val="16"/>
                <w:szCs w:val="16"/>
                <w:lang w:eastAsia="cs-CZ"/>
              </w:rPr>
              <w:t>vyslouzilova</w:t>
            </w:r>
            <w:proofErr w:type="spellEnd"/>
            <w:r w:rsidRPr="006B3F59">
              <w:rPr>
                <w:rFonts w:eastAsia="Times New Roman"/>
                <w:bCs/>
                <w:sz w:val="16"/>
                <w:szCs w:val="16"/>
                <w:lang w:eastAsia="cs-CZ"/>
              </w:rPr>
              <w:t>(a)</w:t>
            </w:r>
            <w:r w:rsidRPr="006B3F59">
              <w:rPr>
                <w:rFonts w:eastAsia="Times New Roman"/>
                <w:sz w:val="16"/>
                <w:szCs w:val="16"/>
                <w:lang w:eastAsia="cs-CZ"/>
              </w:rPr>
              <w:t>jacobscz</w:t>
            </w:r>
            <w:r w:rsidRPr="006B3F59">
              <w:rPr>
                <w:rFonts w:eastAsia="Times New Roman"/>
                <w:bCs/>
                <w:sz w:val="16"/>
                <w:szCs w:val="16"/>
                <w:lang w:eastAsia="cs-CZ"/>
              </w:rPr>
              <w:t>.cz</w:t>
            </w:r>
          </w:p>
        </w:tc>
      </w:tr>
      <w:tr w:rsidR="00E33890" w:rsidRPr="006B3F59" w14:paraId="4CE60B2A" w14:textId="77777777" w:rsidTr="001D749A">
        <w:tc>
          <w:tcPr>
            <w:tcW w:w="595" w:type="pct"/>
            <w:tcBorders>
              <w:top w:val="single" w:sz="4" w:space="0" w:color="auto"/>
              <w:left w:val="single" w:sz="8" w:space="0" w:color="auto"/>
              <w:bottom w:val="single" w:sz="8" w:space="0" w:color="auto"/>
              <w:right w:val="single" w:sz="4" w:space="0" w:color="auto"/>
            </w:tcBorders>
            <w:shd w:val="clear" w:color="auto" w:fill="auto"/>
            <w:vAlign w:val="center"/>
          </w:tcPr>
          <w:p w14:paraId="7287050A" w14:textId="409200F5" w:rsidR="00E33890" w:rsidRPr="006B3F59" w:rsidRDefault="00E33890" w:rsidP="00975CF0">
            <w:pPr>
              <w:spacing w:before="40" w:after="40"/>
              <w:jc w:val="left"/>
              <w:rPr>
                <w:rFonts w:eastAsia="Times New Roman"/>
                <w:bCs/>
                <w:sz w:val="16"/>
                <w:szCs w:val="16"/>
                <w:lang w:eastAsia="cs-CZ"/>
              </w:rPr>
            </w:pPr>
            <w:r w:rsidRPr="006B3F59">
              <w:rPr>
                <w:rFonts w:eastAsia="Times New Roman"/>
                <w:bCs/>
                <w:sz w:val="16"/>
                <w:szCs w:val="16"/>
                <w:lang w:eastAsia="cs-CZ"/>
              </w:rPr>
              <w:t>Ing.</w:t>
            </w:r>
          </w:p>
        </w:tc>
        <w:tc>
          <w:tcPr>
            <w:tcW w:w="452" w:type="pct"/>
            <w:tcBorders>
              <w:top w:val="single" w:sz="4" w:space="0" w:color="auto"/>
              <w:left w:val="single" w:sz="4" w:space="0" w:color="auto"/>
              <w:bottom w:val="single" w:sz="8" w:space="0" w:color="auto"/>
              <w:right w:val="single" w:sz="4" w:space="0" w:color="auto"/>
            </w:tcBorders>
            <w:shd w:val="clear" w:color="auto" w:fill="auto"/>
            <w:vAlign w:val="center"/>
          </w:tcPr>
          <w:p w14:paraId="40D94200" w14:textId="5413C16F" w:rsidR="00E33890" w:rsidRPr="006B3F59" w:rsidRDefault="00E33890" w:rsidP="00975CF0">
            <w:pPr>
              <w:spacing w:before="40" w:after="40"/>
              <w:jc w:val="left"/>
              <w:rPr>
                <w:rFonts w:eastAsia="Times New Roman"/>
                <w:bCs/>
                <w:sz w:val="16"/>
                <w:szCs w:val="16"/>
                <w:lang w:eastAsia="cs-CZ"/>
              </w:rPr>
            </w:pPr>
            <w:r w:rsidRPr="006B3F59">
              <w:rPr>
                <w:rFonts w:eastAsia="Times New Roman"/>
                <w:bCs/>
                <w:sz w:val="16"/>
                <w:szCs w:val="16"/>
                <w:lang w:eastAsia="cs-CZ"/>
              </w:rPr>
              <w:t xml:space="preserve">Kateřina </w:t>
            </w:r>
          </w:p>
        </w:tc>
        <w:tc>
          <w:tcPr>
            <w:tcW w:w="739" w:type="pct"/>
            <w:tcBorders>
              <w:top w:val="single" w:sz="4" w:space="0" w:color="auto"/>
              <w:left w:val="single" w:sz="4" w:space="0" w:color="auto"/>
              <w:bottom w:val="single" w:sz="8" w:space="0" w:color="auto"/>
              <w:right w:val="single" w:sz="4" w:space="0" w:color="auto"/>
            </w:tcBorders>
            <w:shd w:val="clear" w:color="auto" w:fill="auto"/>
            <w:vAlign w:val="center"/>
          </w:tcPr>
          <w:p w14:paraId="69C5CD18" w14:textId="6D8CADCA" w:rsidR="00E33890" w:rsidRPr="006B3F59" w:rsidRDefault="00E33890" w:rsidP="00975CF0">
            <w:pPr>
              <w:spacing w:before="40" w:after="40"/>
              <w:jc w:val="left"/>
              <w:rPr>
                <w:rFonts w:eastAsia="Times New Roman"/>
                <w:bCs/>
                <w:sz w:val="16"/>
                <w:szCs w:val="16"/>
                <w:lang w:eastAsia="cs-CZ"/>
              </w:rPr>
            </w:pPr>
            <w:r w:rsidRPr="006B3F59">
              <w:rPr>
                <w:rFonts w:eastAsia="Times New Roman"/>
                <w:bCs/>
                <w:sz w:val="16"/>
                <w:szCs w:val="16"/>
                <w:lang w:eastAsia="cs-CZ"/>
              </w:rPr>
              <w:t>Maříková</w:t>
            </w:r>
          </w:p>
        </w:tc>
        <w:tc>
          <w:tcPr>
            <w:tcW w:w="1143" w:type="pct"/>
            <w:tcBorders>
              <w:top w:val="single" w:sz="4" w:space="0" w:color="auto"/>
              <w:left w:val="single" w:sz="4" w:space="0" w:color="auto"/>
              <w:bottom w:val="single" w:sz="8" w:space="0" w:color="auto"/>
              <w:right w:val="single" w:sz="4" w:space="0" w:color="auto"/>
            </w:tcBorders>
            <w:shd w:val="clear" w:color="auto" w:fill="auto"/>
            <w:vAlign w:val="center"/>
          </w:tcPr>
          <w:p w14:paraId="6459FC6A" w14:textId="55B10FFC" w:rsidR="00E33890" w:rsidRPr="006B3F59" w:rsidRDefault="00E33890" w:rsidP="00975CF0">
            <w:pPr>
              <w:spacing w:before="40" w:after="40"/>
              <w:jc w:val="left"/>
              <w:rPr>
                <w:rFonts w:eastAsia="Times New Roman"/>
                <w:bCs/>
                <w:sz w:val="16"/>
                <w:szCs w:val="16"/>
                <w:lang w:eastAsia="cs-CZ"/>
              </w:rPr>
            </w:pPr>
            <w:r w:rsidRPr="006B3F59">
              <w:rPr>
                <w:rFonts w:eastAsia="Times New Roman"/>
                <w:bCs/>
                <w:sz w:val="16"/>
                <w:szCs w:val="16"/>
                <w:lang w:eastAsia="cs-CZ"/>
              </w:rPr>
              <w:t>Jacobs Clean Energy s.r.o.</w:t>
            </w:r>
          </w:p>
        </w:tc>
        <w:tc>
          <w:tcPr>
            <w:tcW w:w="785" w:type="pct"/>
            <w:tcBorders>
              <w:top w:val="single" w:sz="4" w:space="0" w:color="auto"/>
              <w:left w:val="single" w:sz="4" w:space="0" w:color="auto"/>
              <w:bottom w:val="single" w:sz="8" w:space="0" w:color="auto"/>
              <w:right w:val="single" w:sz="4" w:space="0" w:color="auto"/>
            </w:tcBorders>
            <w:shd w:val="clear" w:color="auto" w:fill="auto"/>
            <w:vAlign w:val="center"/>
          </w:tcPr>
          <w:p w14:paraId="6B356185" w14:textId="302F5FC9" w:rsidR="00E33890" w:rsidRPr="006B3F59" w:rsidRDefault="00E33890" w:rsidP="00975CF0">
            <w:pPr>
              <w:spacing w:before="40" w:after="40"/>
              <w:jc w:val="left"/>
              <w:rPr>
                <w:rFonts w:eastAsia="Times New Roman"/>
                <w:bCs/>
                <w:sz w:val="16"/>
                <w:szCs w:val="16"/>
                <w:lang w:eastAsia="cs-CZ"/>
              </w:rPr>
            </w:pPr>
            <w:r w:rsidRPr="006B3F59">
              <w:rPr>
                <w:rFonts w:eastAsia="Times New Roman"/>
                <w:bCs/>
                <w:sz w:val="16"/>
                <w:szCs w:val="16"/>
                <w:lang w:eastAsia="cs-CZ"/>
              </w:rPr>
              <w:t>+420 725 607 971</w:t>
            </w:r>
          </w:p>
        </w:tc>
        <w:tc>
          <w:tcPr>
            <w:tcW w:w="1286" w:type="pct"/>
            <w:tcBorders>
              <w:top w:val="single" w:sz="4" w:space="0" w:color="auto"/>
              <w:left w:val="single" w:sz="4" w:space="0" w:color="auto"/>
              <w:bottom w:val="single" w:sz="8" w:space="0" w:color="auto"/>
              <w:right w:val="single" w:sz="8" w:space="0" w:color="auto"/>
            </w:tcBorders>
            <w:shd w:val="clear" w:color="auto" w:fill="auto"/>
            <w:vAlign w:val="center"/>
          </w:tcPr>
          <w:p w14:paraId="79EB248C" w14:textId="088728C3" w:rsidR="00E33890" w:rsidRPr="006B3F59" w:rsidRDefault="00E33890" w:rsidP="00975CF0">
            <w:pPr>
              <w:spacing w:before="40" w:after="40"/>
              <w:jc w:val="left"/>
              <w:rPr>
                <w:rFonts w:eastAsia="Times New Roman"/>
                <w:bCs/>
                <w:sz w:val="16"/>
                <w:szCs w:val="16"/>
                <w:lang w:eastAsia="cs-CZ"/>
              </w:rPr>
            </w:pPr>
            <w:proofErr w:type="spellStart"/>
            <w:r w:rsidRPr="006B3F59">
              <w:rPr>
                <w:rFonts w:eastAsia="Times New Roman"/>
                <w:bCs/>
                <w:sz w:val="16"/>
                <w:szCs w:val="16"/>
                <w:lang w:eastAsia="cs-CZ"/>
              </w:rPr>
              <w:t>marikova</w:t>
            </w:r>
            <w:proofErr w:type="spellEnd"/>
            <w:r w:rsidRPr="006B3F59">
              <w:rPr>
                <w:rFonts w:eastAsia="Times New Roman"/>
                <w:bCs/>
                <w:sz w:val="16"/>
                <w:szCs w:val="16"/>
                <w:lang w:eastAsia="cs-CZ"/>
              </w:rPr>
              <w:t>(a)</w:t>
            </w:r>
            <w:r w:rsidRPr="006B3F59">
              <w:rPr>
                <w:rFonts w:eastAsia="Times New Roman"/>
                <w:sz w:val="16"/>
                <w:szCs w:val="16"/>
                <w:lang w:eastAsia="cs-CZ"/>
              </w:rPr>
              <w:t>jacobscz</w:t>
            </w:r>
            <w:r w:rsidRPr="006B3F59">
              <w:rPr>
                <w:rFonts w:eastAsia="Times New Roman"/>
                <w:bCs/>
                <w:sz w:val="16"/>
                <w:szCs w:val="16"/>
                <w:lang w:eastAsia="cs-CZ"/>
              </w:rPr>
              <w:t>.cz</w:t>
            </w:r>
          </w:p>
        </w:tc>
      </w:tr>
    </w:tbl>
    <w:p w14:paraId="30473149" w14:textId="7F36A5E0" w:rsidR="00CC0030" w:rsidRPr="006B3F59" w:rsidRDefault="00CC0030" w:rsidP="00CC0030">
      <w:pPr>
        <w:spacing w:before="0"/>
        <w:rPr>
          <w:rFonts w:eastAsia="Times New Roman"/>
          <w:szCs w:val="20"/>
          <w:lang w:eastAsia="cs-CZ"/>
        </w:rPr>
      </w:pPr>
    </w:p>
    <w:p w14:paraId="6E866FD8" w14:textId="0E3D1AAE" w:rsidR="00E0052F" w:rsidRPr="006B3F59" w:rsidRDefault="00E0052F" w:rsidP="00CC0030">
      <w:pPr>
        <w:spacing w:before="0"/>
        <w:rPr>
          <w:rFonts w:eastAsia="Times New Roman"/>
          <w:szCs w:val="20"/>
          <w:lang w:eastAsia="cs-CZ"/>
        </w:rPr>
      </w:pPr>
    </w:p>
    <w:p w14:paraId="59354A12" w14:textId="6C676B9A" w:rsidR="00E0052F" w:rsidRPr="006B3F59" w:rsidRDefault="00E0052F" w:rsidP="00CC0030">
      <w:pPr>
        <w:spacing w:before="0"/>
        <w:rPr>
          <w:rFonts w:eastAsia="Times New Roman"/>
          <w:szCs w:val="20"/>
          <w:lang w:eastAsia="cs-CZ"/>
        </w:rPr>
      </w:pPr>
    </w:p>
    <w:p w14:paraId="5697F5B2" w14:textId="1EB98628" w:rsidR="00E0052F" w:rsidRPr="006B3F59" w:rsidRDefault="00E0052F" w:rsidP="00CC0030">
      <w:pPr>
        <w:spacing w:before="0"/>
        <w:rPr>
          <w:rFonts w:eastAsia="Times New Roman"/>
          <w:szCs w:val="20"/>
          <w:lang w:eastAsia="cs-CZ"/>
        </w:rPr>
      </w:pPr>
    </w:p>
    <w:p w14:paraId="4E5C73DD" w14:textId="4BD5BC20" w:rsidR="00E0052F" w:rsidRPr="006B3F59" w:rsidRDefault="00E0052F" w:rsidP="00CC0030">
      <w:pPr>
        <w:spacing w:before="0"/>
        <w:rPr>
          <w:rFonts w:eastAsia="Times New Roman"/>
          <w:szCs w:val="20"/>
          <w:lang w:eastAsia="cs-CZ"/>
        </w:rPr>
      </w:pPr>
    </w:p>
    <w:p w14:paraId="619F0578" w14:textId="5E163FEE" w:rsidR="00E0052F" w:rsidRPr="006B3F59" w:rsidRDefault="00E0052F" w:rsidP="00CC0030">
      <w:pPr>
        <w:spacing w:before="0"/>
        <w:rPr>
          <w:rFonts w:eastAsia="Times New Roman"/>
          <w:szCs w:val="20"/>
          <w:lang w:eastAsia="cs-CZ"/>
        </w:rPr>
      </w:pPr>
    </w:p>
    <w:p w14:paraId="169F6AAD" w14:textId="670E61A3" w:rsidR="00E0052F" w:rsidRPr="006B3F59" w:rsidRDefault="00E0052F" w:rsidP="00CC0030">
      <w:pPr>
        <w:spacing w:before="0"/>
        <w:rPr>
          <w:rFonts w:eastAsia="Times New Roman"/>
          <w:szCs w:val="20"/>
          <w:lang w:eastAsia="cs-CZ"/>
        </w:rPr>
      </w:pPr>
    </w:p>
    <w:p w14:paraId="2DC4919E" w14:textId="00CB6C53" w:rsidR="00E0052F" w:rsidRPr="006B3F59" w:rsidRDefault="00E0052F" w:rsidP="00CC0030">
      <w:pPr>
        <w:spacing w:before="0"/>
        <w:rPr>
          <w:rFonts w:eastAsia="Times New Roman"/>
          <w:szCs w:val="20"/>
          <w:lang w:eastAsia="cs-CZ"/>
        </w:rPr>
      </w:pPr>
    </w:p>
    <w:p w14:paraId="17076B2B" w14:textId="3FB6414E" w:rsidR="00E0052F" w:rsidRPr="006B3F59" w:rsidRDefault="00E0052F" w:rsidP="00CC0030">
      <w:pPr>
        <w:spacing w:before="0"/>
        <w:rPr>
          <w:rFonts w:eastAsia="Times New Roman"/>
          <w:szCs w:val="20"/>
          <w:lang w:eastAsia="cs-CZ"/>
        </w:rPr>
      </w:pPr>
    </w:p>
    <w:p w14:paraId="4DF42FDE" w14:textId="1F59D1F7" w:rsidR="00E0052F" w:rsidRPr="006B3F59" w:rsidRDefault="00E0052F" w:rsidP="00CC0030">
      <w:pPr>
        <w:spacing w:before="0"/>
        <w:rPr>
          <w:rFonts w:eastAsia="Times New Roman"/>
          <w:szCs w:val="20"/>
          <w:lang w:eastAsia="cs-CZ"/>
        </w:rPr>
      </w:pPr>
    </w:p>
    <w:p w14:paraId="53D8A854" w14:textId="462EA3EE" w:rsidR="00E0052F" w:rsidRPr="006B3F59" w:rsidRDefault="00E0052F" w:rsidP="00CC0030">
      <w:pPr>
        <w:spacing w:before="0"/>
        <w:rPr>
          <w:rFonts w:eastAsia="Times New Roman"/>
          <w:szCs w:val="20"/>
          <w:lang w:eastAsia="cs-CZ"/>
        </w:rPr>
      </w:pPr>
    </w:p>
    <w:p w14:paraId="0653C8B7" w14:textId="6DA978A2" w:rsidR="00E0052F" w:rsidRPr="006B3F59" w:rsidRDefault="00E0052F" w:rsidP="00CC0030">
      <w:pPr>
        <w:spacing w:before="0"/>
        <w:rPr>
          <w:rFonts w:eastAsia="Times New Roman"/>
          <w:szCs w:val="20"/>
          <w:lang w:eastAsia="cs-CZ"/>
        </w:rPr>
      </w:pPr>
    </w:p>
    <w:p w14:paraId="363A8DFE" w14:textId="77777777" w:rsidR="00CC0030" w:rsidRPr="006B3F59" w:rsidRDefault="00CC0030" w:rsidP="00CC0030">
      <w:pPr>
        <w:rPr>
          <w:color w:val="88C540"/>
          <w:sz w:val="32"/>
        </w:rPr>
      </w:pPr>
      <w:r w:rsidRPr="006B3F59">
        <w:rPr>
          <w:rFonts w:eastAsia="Times New Roman"/>
          <w:szCs w:val="20"/>
          <w:lang w:eastAsia="cs-CZ"/>
        </w:rPr>
        <w:t>Dokument je zpracován textovým editorem MS Word, registrovaným u společnosti Microsoft.</w:t>
      </w:r>
    </w:p>
    <w:p w14:paraId="7F662642" w14:textId="77777777" w:rsidR="000B6260" w:rsidRPr="006B3F59" w:rsidRDefault="000B6260" w:rsidP="00756AD2">
      <w:pPr>
        <w:pageBreakBefore/>
        <w:spacing w:before="360" w:after="240"/>
        <w:rPr>
          <w:color w:val="0070C0"/>
          <w:sz w:val="40"/>
          <w:szCs w:val="40"/>
        </w:rPr>
      </w:pPr>
      <w:r w:rsidRPr="006B3F59">
        <w:rPr>
          <w:color w:val="0070C0"/>
          <w:sz w:val="40"/>
          <w:szCs w:val="40"/>
        </w:rPr>
        <w:lastRenderedPageBreak/>
        <w:t>O</w:t>
      </w:r>
      <w:bookmarkStart w:id="2" w:name="Obsah"/>
      <w:bookmarkEnd w:id="2"/>
      <w:r w:rsidRPr="006B3F59">
        <w:rPr>
          <w:color w:val="0070C0"/>
          <w:sz w:val="40"/>
          <w:szCs w:val="40"/>
        </w:rPr>
        <w:t>bsah</w:t>
      </w:r>
    </w:p>
    <w:p w14:paraId="11969356" w14:textId="153BAD67" w:rsidR="00FC24B6" w:rsidRDefault="002D1155">
      <w:pPr>
        <w:pStyle w:val="Obsah1"/>
        <w:rPr>
          <w:rFonts w:asciiTheme="minorHAnsi" w:eastAsiaTheme="minorEastAsia" w:hAnsiTheme="minorHAnsi" w:cstheme="minorBidi"/>
          <w:caps w:val="0"/>
          <w:noProof/>
          <w:color w:val="auto"/>
          <w:kern w:val="2"/>
          <w:sz w:val="22"/>
          <w:lang w:eastAsia="cs-CZ"/>
          <w14:ligatures w14:val="standardContextual"/>
        </w:rPr>
      </w:pPr>
      <w:r w:rsidRPr="006B3F59">
        <w:rPr>
          <w:rFonts w:eastAsia="Times New Roman"/>
          <w:noProof/>
          <w:szCs w:val="20"/>
          <w:lang w:eastAsia="cs-CZ"/>
        </w:rPr>
        <w:fldChar w:fldCharType="begin"/>
      </w:r>
      <w:r w:rsidRPr="006B3F59">
        <w:rPr>
          <w:rFonts w:eastAsia="Times New Roman"/>
          <w:noProof/>
          <w:szCs w:val="20"/>
          <w:lang w:eastAsia="cs-CZ"/>
        </w:rPr>
        <w:instrText xml:space="preserve"> TOC \o "1-3" </w:instrText>
      </w:r>
      <w:r w:rsidRPr="006B3F59">
        <w:rPr>
          <w:rFonts w:eastAsia="Times New Roman"/>
          <w:noProof/>
          <w:szCs w:val="20"/>
          <w:lang w:eastAsia="cs-CZ"/>
        </w:rPr>
        <w:fldChar w:fldCharType="separate"/>
      </w:r>
      <w:r w:rsidR="00FC24B6">
        <w:rPr>
          <w:noProof/>
        </w:rPr>
        <w:t>Použité zdroje informací</w:t>
      </w:r>
      <w:r w:rsidR="00FC24B6">
        <w:rPr>
          <w:noProof/>
        </w:rPr>
        <w:tab/>
      </w:r>
      <w:r w:rsidR="00FC24B6">
        <w:rPr>
          <w:noProof/>
        </w:rPr>
        <w:fldChar w:fldCharType="begin"/>
      </w:r>
      <w:r w:rsidR="00FC24B6">
        <w:rPr>
          <w:noProof/>
        </w:rPr>
        <w:instrText xml:space="preserve"> PAGEREF _Toc138848094 \h </w:instrText>
      </w:r>
      <w:r w:rsidR="00FC24B6">
        <w:rPr>
          <w:noProof/>
        </w:rPr>
      </w:r>
      <w:r w:rsidR="00FC24B6">
        <w:rPr>
          <w:noProof/>
        </w:rPr>
        <w:fldChar w:fldCharType="separate"/>
      </w:r>
      <w:r w:rsidR="00F45A70">
        <w:rPr>
          <w:noProof/>
        </w:rPr>
        <w:t>7</w:t>
      </w:r>
      <w:r w:rsidR="00FC24B6">
        <w:rPr>
          <w:noProof/>
        </w:rPr>
        <w:fldChar w:fldCharType="end"/>
      </w:r>
    </w:p>
    <w:p w14:paraId="589F0C8D" w14:textId="72A20859" w:rsidR="00FC24B6" w:rsidRDefault="00FC24B6">
      <w:pPr>
        <w:pStyle w:val="Obsah1"/>
        <w:rPr>
          <w:rFonts w:asciiTheme="minorHAnsi" w:eastAsiaTheme="minorEastAsia" w:hAnsiTheme="minorHAnsi" w:cstheme="minorBidi"/>
          <w:caps w:val="0"/>
          <w:noProof/>
          <w:color w:val="auto"/>
          <w:kern w:val="2"/>
          <w:sz w:val="22"/>
          <w:lang w:eastAsia="cs-CZ"/>
          <w14:ligatures w14:val="standardContextual"/>
        </w:rPr>
      </w:pPr>
      <w:r>
        <w:rPr>
          <w:noProof/>
        </w:rPr>
        <w:t>Přehled zkratek</w:t>
      </w:r>
      <w:r>
        <w:rPr>
          <w:noProof/>
        </w:rPr>
        <w:tab/>
      </w:r>
      <w:r>
        <w:rPr>
          <w:noProof/>
        </w:rPr>
        <w:fldChar w:fldCharType="begin"/>
      </w:r>
      <w:r>
        <w:rPr>
          <w:noProof/>
        </w:rPr>
        <w:instrText xml:space="preserve"> PAGEREF _Toc138848095 \h </w:instrText>
      </w:r>
      <w:r>
        <w:rPr>
          <w:noProof/>
        </w:rPr>
      </w:r>
      <w:r>
        <w:rPr>
          <w:noProof/>
        </w:rPr>
        <w:fldChar w:fldCharType="separate"/>
      </w:r>
      <w:r w:rsidR="00F45A70">
        <w:rPr>
          <w:noProof/>
        </w:rPr>
        <w:t>9</w:t>
      </w:r>
      <w:r>
        <w:rPr>
          <w:noProof/>
        </w:rPr>
        <w:fldChar w:fldCharType="end"/>
      </w:r>
    </w:p>
    <w:p w14:paraId="68B173E8" w14:textId="72BFA04F" w:rsidR="00FC24B6" w:rsidRDefault="00FC24B6">
      <w:pPr>
        <w:pStyle w:val="Obsah1"/>
        <w:rPr>
          <w:rFonts w:asciiTheme="minorHAnsi" w:eastAsiaTheme="minorEastAsia" w:hAnsiTheme="minorHAnsi" w:cstheme="minorBidi"/>
          <w:caps w:val="0"/>
          <w:noProof/>
          <w:color w:val="auto"/>
          <w:kern w:val="2"/>
          <w:sz w:val="22"/>
          <w:lang w:eastAsia="cs-CZ"/>
          <w14:ligatures w14:val="standardContextual"/>
        </w:rPr>
      </w:pPr>
      <w:r>
        <w:rPr>
          <w:noProof/>
        </w:rPr>
        <w:t>Úvod</w:t>
      </w:r>
      <w:r>
        <w:rPr>
          <w:noProof/>
        </w:rPr>
        <w:tab/>
      </w:r>
      <w:r>
        <w:rPr>
          <w:noProof/>
        </w:rPr>
        <w:tab/>
      </w:r>
      <w:r>
        <w:rPr>
          <w:noProof/>
        </w:rPr>
        <w:fldChar w:fldCharType="begin"/>
      </w:r>
      <w:r>
        <w:rPr>
          <w:noProof/>
        </w:rPr>
        <w:instrText xml:space="preserve"> PAGEREF _Toc138848096 \h </w:instrText>
      </w:r>
      <w:r>
        <w:rPr>
          <w:noProof/>
        </w:rPr>
      </w:r>
      <w:r>
        <w:rPr>
          <w:noProof/>
        </w:rPr>
        <w:fldChar w:fldCharType="separate"/>
      </w:r>
      <w:r w:rsidR="00F45A70">
        <w:rPr>
          <w:noProof/>
        </w:rPr>
        <w:t>10</w:t>
      </w:r>
      <w:r>
        <w:rPr>
          <w:noProof/>
        </w:rPr>
        <w:fldChar w:fldCharType="end"/>
      </w:r>
    </w:p>
    <w:p w14:paraId="7AB880B1" w14:textId="11D90CE9" w:rsidR="00FC24B6" w:rsidRDefault="00FC24B6">
      <w:pPr>
        <w:pStyle w:val="Obsah1"/>
        <w:rPr>
          <w:rFonts w:asciiTheme="minorHAnsi" w:eastAsiaTheme="minorEastAsia" w:hAnsiTheme="minorHAnsi" w:cstheme="minorBidi"/>
          <w:caps w:val="0"/>
          <w:noProof/>
          <w:color w:val="auto"/>
          <w:kern w:val="2"/>
          <w:sz w:val="22"/>
          <w:lang w:eastAsia="cs-CZ"/>
          <w14:ligatures w14:val="standardContextual"/>
        </w:rPr>
      </w:pPr>
      <w:r>
        <w:rPr>
          <w:noProof/>
        </w:rPr>
        <w:t>ČÁST A</w:t>
      </w:r>
      <w:r>
        <w:rPr>
          <w:rFonts w:asciiTheme="minorHAnsi" w:eastAsiaTheme="minorEastAsia" w:hAnsiTheme="minorHAnsi" w:cstheme="minorBidi"/>
          <w:caps w:val="0"/>
          <w:noProof/>
          <w:color w:val="auto"/>
          <w:kern w:val="2"/>
          <w:sz w:val="22"/>
          <w:lang w:eastAsia="cs-CZ"/>
          <w14:ligatures w14:val="standardContextual"/>
        </w:rPr>
        <w:tab/>
      </w:r>
      <w:r>
        <w:rPr>
          <w:noProof/>
        </w:rPr>
        <w:t>Vyhodnocení vlivů návrhu územního plánu na životní prostředí – dokumentace vyhodnocení vlivů na životní prostředí (SEA)</w:t>
      </w:r>
      <w:r>
        <w:rPr>
          <w:noProof/>
        </w:rPr>
        <w:tab/>
      </w:r>
      <w:r>
        <w:rPr>
          <w:noProof/>
        </w:rPr>
        <w:fldChar w:fldCharType="begin"/>
      </w:r>
      <w:r>
        <w:rPr>
          <w:noProof/>
        </w:rPr>
        <w:instrText xml:space="preserve"> PAGEREF _Toc138848097 \h </w:instrText>
      </w:r>
      <w:r>
        <w:rPr>
          <w:noProof/>
        </w:rPr>
      </w:r>
      <w:r>
        <w:rPr>
          <w:noProof/>
        </w:rPr>
        <w:fldChar w:fldCharType="separate"/>
      </w:r>
      <w:r w:rsidR="00F45A70">
        <w:rPr>
          <w:noProof/>
        </w:rPr>
        <w:t>18</w:t>
      </w:r>
      <w:r>
        <w:rPr>
          <w:noProof/>
        </w:rPr>
        <w:fldChar w:fldCharType="end"/>
      </w:r>
    </w:p>
    <w:p w14:paraId="132DF858" w14:textId="4379D907" w:rsidR="00FC24B6" w:rsidRDefault="00FC24B6">
      <w:pPr>
        <w:pStyle w:val="Obsah2"/>
        <w:rPr>
          <w:rFonts w:asciiTheme="minorHAnsi" w:eastAsiaTheme="minorEastAsia" w:hAnsiTheme="minorHAnsi" w:cstheme="minorBidi"/>
          <w:noProof/>
          <w:kern w:val="2"/>
          <w:sz w:val="22"/>
          <w:lang w:eastAsia="cs-CZ"/>
          <w14:ligatures w14:val="standardContextual"/>
        </w:rPr>
      </w:pPr>
      <w:r>
        <w:rPr>
          <w:noProof/>
        </w:rPr>
        <w:t>A.I</w:t>
      </w:r>
      <w:r>
        <w:rPr>
          <w:rFonts w:asciiTheme="minorHAnsi" w:eastAsiaTheme="minorEastAsia" w:hAnsiTheme="minorHAnsi" w:cstheme="minorBidi"/>
          <w:noProof/>
          <w:kern w:val="2"/>
          <w:sz w:val="22"/>
          <w:lang w:eastAsia="cs-CZ"/>
          <w14:ligatures w14:val="standardContextual"/>
        </w:rPr>
        <w:tab/>
      </w:r>
      <w:r>
        <w:rPr>
          <w:noProof/>
        </w:rPr>
        <w:t>Stručné shrnutí obsahu a hlavních cílů územně plánovací dokumentace, vztah k jiným koncepcím</w:t>
      </w:r>
      <w:r>
        <w:rPr>
          <w:noProof/>
        </w:rPr>
        <w:tab/>
      </w:r>
      <w:r>
        <w:rPr>
          <w:noProof/>
        </w:rPr>
        <w:fldChar w:fldCharType="begin"/>
      </w:r>
      <w:r>
        <w:rPr>
          <w:noProof/>
        </w:rPr>
        <w:instrText xml:space="preserve"> PAGEREF _Toc138848098 \h </w:instrText>
      </w:r>
      <w:r>
        <w:rPr>
          <w:noProof/>
        </w:rPr>
      </w:r>
      <w:r>
        <w:rPr>
          <w:noProof/>
        </w:rPr>
        <w:fldChar w:fldCharType="separate"/>
      </w:r>
      <w:r w:rsidR="00F45A70">
        <w:rPr>
          <w:noProof/>
        </w:rPr>
        <w:t>18</w:t>
      </w:r>
      <w:r>
        <w:rPr>
          <w:noProof/>
        </w:rPr>
        <w:fldChar w:fldCharType="end"/>
      </w:r>
    </w:p>
    <w:p w14:paraId="659D0D20" w14:textId="54E1DF25"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A.I.1</w:t>
      </w:r>
      <w:r>
        <w:rPr>
          <w:rFonts w:asciiTheme="minorHAnsi" w:eastAsiaTheme="minorEastAsia" w:hAnsiTheme="minorHAnsi" w:cstheme="minorBidi"/>
          <w:noProof/>
          <w:kern w:val="2"/>
          <w:sz w:val="22"/>
          <w:lang w:eastAsia="cs-CZ"/>
          <w14:ligatures w14:val="standardContextual"/>
        </w:rPr>
        <w:tab/>
      </w:r>
      <w:r>
        <w:rPr>
          <w:noProof/>
        </w:rPr>
        <w:t>Obsah řešené územně plánovací dokumentace</w:t>
      </w:r>
      <w:r>
        <w:rPr>
          <w:noProof/>
        </w:rPr>
        <w:tab/>
      </w:r>
      <w:r>
        <w:rPr>
          <w:noProof/>
        </w:rPr>
        <w:fldChar w:fldCharType="begin"/>
      </w:r>
      <w:r>
        <w:rPr>
          <w:noProof/>
        </w:rPr>
        <w:instrText xml:space="preserve"> PAGEREF _Toc138848099 \h </w:instrText>
      </w:r>
      <w:r>
        <w:rPr>
          <w:noProof/>
        </w:rPr>
      </w:r>
      <w:r>
        <w:rPr>
          <w:noProof/>
        </w:rPr>
        <w:fldChar w:fldCharType="separate"/>
      </w:r>
      <w:r w:rsidR="00F45A70">
        <w:rPr>
          <w:noProof/>
        </w:rPr>
        <w:t>18</w:t>
      </w:r>
      <w:r>
        <w:rPr>
          <w:noProof/>
        </w:rPr>
        <w:fldChar w:fldCharType="end"/>
      </w:r>
    </w:p>
    <w:p w14:paraId="550D7790" w14:textId="75B66D31"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A.I.2</w:t>
      </w:r>
      <w:r>
        <w:rPr>
          <w:rFonts w:asciiTheme="minorHAnsi" w:eastAsiaTheme="minorEastAsia" w:hAnsiTheme="minorHAnsi" w:cstheme="minorBidi"/>
          <w:noProof/>
          <w:kern w:val="2"/>
          <w:sz w:val="22"/>
          <w:lang w:eastAsia="cs-CZ"/>
          <w14:ligatures w14:val="standardContextual"/>
        </w:rPr>
        <w:tab/>
      </w:r>
      <w:r>
        <w:rPr>
          <w:noProof/>
        </w:rPr>
        <w:t>Hlavní cíle územně plánovací dokumentace</w:t>
      </w:r>
      <w:r>
        <w:rPr>
          <w:noProof/>
        </w:rPr>
        <w:tab/>
      </w:r>
      <w:r>
        <w:rPr>
          <w:noProof/>
        </w:rPr>
        <w:fldChar w:fldCharType="begin"/>
      </w:r>
      <w:r>
        <w:rPr>
          <w:noProof/>
        </w:rPr>
        <w:instrText xml:space="preserve"> PAGEREF _Toc138848100 \h </w:instrText>
      </w:r>
      <w:r>
        <w:rPr>
          <w:noProof/>
        </w:rPr>
      </w:r>
      <w:r>
        <w:rPr>
          <w:noProof/>
        </w:rPr>
        <w:fldChar w:fldCharType="separate"/>
      </w:r>
      <w:r w:rsidR="00F45A70">
        <w:rPr>
          <w:noProof/>
        </w:rPr>
        <w:t>30</w:t>
      </w:r>
      <w:r>
        <w:rPr>
          <w:noProof/>
        </w:rPr>
        <w:fldChar w:fldCharType="end"/>
      </w:r>
    </w:p>
    <w:p w14:paraId="00B0C195" w14:textId="654F386F"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A.I.3</w:t>
      </w:r>
      <w:r>
        <w:rPr>
          <w:rFonts w:asciiTheme="minorHAnsi" w:eastAsiaTheme="minorEastAsia" w:hAnsiTheme="minorHAnsi" w:cstheme="minorBidi"/>
          <w:noProof/>
          <w:kern w:val="2"/>
          <w:sz w:val="22"/>
          <w:lang w:eastAsia="cs-CZ"/>
          <w14:ligatures w14:val="standardContextual"/>
        </w:rPr>
        <w:tab/>
      </w:r>
      <w:r>
        <w:rPr>
          <w:noProof/>
        </w:rPr>
        <w:t>Vztah k jiným koncepcím</w:t>
      </w:r>
      <w:r>
        <w:rPr>
          <w:noProof/>
        </w:rPr>
        <w:tab/>
      </w:r>
      <w:r>
        <w:rPr>
          <w:noProof/>
        </w:rPr>
        <w:fldChar w:fldCharType="begin"/>
      </w:r>
      <w:r>
        <w:rPr>
          <w:noProof/>
        </w:rPr>
        <w:instrText xml:space="preserve"> PAGEREF _Toc138848101 \h </w:instrText>
      </w:r>
      <w:r>
        <w:rPr>
          <w:noProof/>
        </w:rPr>
      </w:r>
      <w:r>
        <w:rPr>
          <w:noProof/>
        </w:rPr>
        <w:fldChar w:fldCharType="separate"/>
      </w:r>
      <w:r w:rsidR="00F45A70">
        <w:rPr>
          <w:noProof/>
        </w:rPr>
        <w:t>30</w:t>
      </w:r>
      <w:r>
        <w:rPr>
          <w:noProof/>
        </w:rPr>
        <w:fldChar w:fldCharType="end"/>
      </w:r>
    </w:p>
    <w:p w14:paraId="17FF24AF" w14:textId="2870B641" w:rsidR="00FC24B6" w:rsidRDefault="00FC24B6">
      <w:pPr>
        <w:pStyle w:val="Obsah2"/>
        <w:rPr>
          <w:rFonts w:asciiTheme="minorHAnsi" w:eastAsiaTheme="minorEastAsia" w:hAnsiTheme="minorHAnsi" w:cstheme="minorBidi"/>
          <w:noProof/>
          <w:kern w:val="2"/>
          <w:sz w:val="22"/>
          <w:lang w:eastAsia="cs-CZ"/>
          <w14:ligatures w14:val="standardContextual"/>
        </w:rPr>
      </w:pPr>
      <w:r>
        <w:rPr>
          <w:noProof/>
        </w:rPr>
        <w:t>A.II</w:t>
      </w:r>
      <w:r>
        <w:rPr>
          <w:rFonts w:asciiTheme="minorHAnsi" w:eastAsiaTheme="minorEastAsia" w:hAnsiTheme="minorHAnsi" w:cstheme="minorBidi"/>
          <w:noProof/>
          <w:kern w:val="2"/>
          <w:sz w:val="22"/>
          <w:lang w:eastAsia="cs-CZ"/>
          <w14:ligatures w14:val="standardContextual"/>
        </w:rPr>
        <w:tab/>
      </w:r>
      <w:r>
        <w:rPr>
          <w:noProof/>
        </w:rPr>
        <w:t>Zhodnocení vztahu územně plánovací dokumentace k cílům ochrany životního prostředí přijatým na vnitrostátní úrovni.</w:t>
      </w:r>
      <w:r>
        <w:rPr>
          <w:noProof/>
        </w:rPr>
        <w:tab/>
      </w:r>
      <w:r>
        <w:rPr>
          <w:noProof/>
        </w:rPr>
        <w:fldChar w:fldCharType="begin"/>
      </w:r>
      <w:r>
        <w:rPr>
          <w:noProof/>
        </w:rPr>
        <w:instrText xml:space="preserve"> PAGEREF _Toc138848102 \h </w:instrText>
      </w:r>
      <w:r>
        <w:rPr>
          <w:noProof/>
        </w:rPr>
      </w:r>
      <w:r>
        <w:rPr>
          <w:noProof/>
        </w:rPr>
        <w:fldChar w:fldCharType="separate"/>
      </w:r>
      <w:r w:rsidR="00F45A70">
        <w:rPr>
          <w:noProof/>
        </w:rPr>
        <w:t>35</w:t>
      </w:r>
      <w:r>
        <w:rPr>
          <w:noProof/>
        </w:rPr>
        <w:fldChar w:fldCharType="end"/>
      </w:r>
    </w:p>
    <w:p w14:paraId="322EFFDA" w14:textId="0AF39356" w:rsidR="00FC24B6" w:rsidRDefault="00FC24B6">
      <w:pPr>
        <w:pStyle w:val="Obsah2"/>
        <w:rPr>
          <w:rFonts w:asciiTheme="minorHAnsi" w:eastAsiaTheme="minorEastAsia" w:hAnsiTheme="minorHAnsi" w:cstheme="minorBidi"/>
          <w:noProof/>
          <w:kern w:val="2"/>
          <w:sz w:val="22"/>
          <w:lang w:eastAsia="cs-CZ"/>
          <w14:ligatures w14:val="standardContextual"/>
        </w:rPr>
      </w:pPr>
      <w:r>
        <w:rPr>
          <w:noProof/>
        </w:rPr>
        <w:t>A.III</w:t>
      </w:r>
      <w:r>
        <w:rPr>
          <w:rFonts w:asciiTheme="minorHAnsi" w:eastAsiaTheme="minorEastAsia" w:hAnsiTheme="minorHAnsi" w:cstheme="minorBidi"/>
          <w:noProof/>
          <w:kern w:val="2"/>
          <w:sz w:val="22"/>
          <w:lang w:eastAsia="cs-CZ"/>
          <w14:ligatures w14:val="standardContextual"/>
        </w:rPr>
        <w:tab/>
      </w:r>
      <w:r>
        <w:rPr>
          <w:noProof/>
        </w:rPr>
        <w:t>Údaje o současném stavu životního prostředí v řešeném území a jeho předpokládaném vývoji, pokud by nebyla uplatněna územně plánovací dokumentace.</w:t>
      </w:r>
      <w:r>
        <w:rPr>
          <w:noProof/>
        </w:rPr>
        <w:tab/>
      </w:r>
      <w:r>
        <w:rPr>
          <w:noProof/>
        </w:rPr>
        <w:fldChar w:fldCharType="begin"/>
      </w:r>
      <w:r>
        <w:rPr>
          <w:noProof/>
        </w:rPr>
        <w:instrText xml:space="preserve"> PAGEREF _Toc138848103 \h </w:instrText>
      </w:r>
      <w:r>
        <w:rPr>
          <w:noProof/>
        </w:rPr>
      </w:r>
      <w:r>
        <w:rPr>
          <w:noProof/>
        </w:rPr>
        <w:fldChar w:fldCharType="separate"/>
      </w:r>
      <w:r w:rsidR="00F45A70">
        <w:rPr>
          <w:noProof/>
        </w:rPr>
        <w:t>49</w:t>
      </w:r>
      <w:r>
        <w:rPr>
          <w:noProof/>
        </w:rPr>
        <w:fldChar w:fldCharType="end"/>
      </w:r>
    </w:p>
    <w:p w14:paraId="501A2EF7" w14:textId="5B717703"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A.III.1</w:t>
      </w:r>
      <w:r>
        <w:rPr>
          <w:rFonts w:asciiTheme="minorHAnsi" w:eastAsiaTheme="minorEastAsia" w:hAnsiTheme="minorHAnsi" w:cstheme="minorBidi"/>
          <w:noProof/>
          <w:kern w:val="2"/>
          <w:sz w:val="22"/>
          <w:lang w:eastAsia="cs-CZ"/>
          <w14:ligatures w14:val="standardContextual"/>
        </w:rPr>
        <w:tab/>
      </w:r>
      <w:r>
        <w:rPr>
          <w:noProof/>
        </w:rPr>
        <w:t>Sledované složky životního prostředí a veřejného zdraví</w:t>
      </w:r>
      <w:r>
        <w:rPr>
          <w:noProof/>
        </w:rPr>
        <w:tab/>
      </w:r>
      <w:r>
        <w:rPr>
          <w:noProof/>
        </w:rPr>
        <w:fldChar w:fldCharType="begin"/>
      </w:r>
      <w:r>
        <w:rPr>
          <w:noProof/>
        </w:rPr>
        <w:instrText xml:space="preserve"> PAGEREF _Toc138848104 \h </w:instrText>
      </w:r>
      <w:r>
        <w:rPr>
          <w:noProof/>
        </w:rPr>
      </w:r>
      <w:r>
        <w:rPr>
          <w:noProof/>
        </w:rPr>
        <w:fldChar w:fldCharType="separate"/>
      </w:r>
      <w:r w:rsidR="00F45A70">
        <w:rPr>
          <w:noProof/>
        </w:rPr>
        <w:t>49</w:t>
      </w:r>
      <w:r>
        <w:rPr>
          <w:noProof/>
        </w:rPr>
        <w:fldChar w:fldCharType="end"/>
      </w:r>
    </w:p>
    <w:p w14:paraId="178896FB" w14:textId="43F3737A"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A.III.2</w:t>
      </w:r>
      <w:r>
        <w:rPr>
          <w:rFonts w:asciiTheme="minorHAnsi" w:eastAsiaTheme="minorEastAsia" w:hAnsiTheme="minorHAnsi" w:cstheme="minorBidi"/>
          <w:noProof/>
          <w:kern w:val="2"/>
          <w:sz w:val="22"/>
          <w:lang w:eastAsia="cs-CZ"/>
          <w14:ligatures w14:val="standardContextual"/>
        </w:rPr>
        <w:tab/>
      </w:r>
      <w:r>
        <w:rPr>
          <w:noProof/>
        </w:rPr>
        <w:t>Obyvatelstvo a veřejné zdraví</w:t>
      </w:r>
      <w:r>
        <w:rPr>
          <w:noProof/>
        </w:rPr>
        <w:tab/>
      </w:r>
      <w:r>
        <w:rPr>
          <w:noProof/>
        </w:rPr>
        <w:fldChar w:fldCharType="begin"/>
      </w:r>
      <w:r>
        <w:rPr>
          <w:noProof/>
        </w:rPr>
        <w:instrText xml:space="preserve"> PAGEREF _Toc138848105 \h </w:instrText>
      </w:r>
      <w:r>
        <w:rPr>
          <w:noProof/>
        </w:rPr>
      </w:r>
      <w:r>
        <w:rPr>
          <w:noProof/>
        </w:rPr>
        <w:fldChar w:fldCharType="separate"/>
      </w:r>
      <w:r w:rsidR="00F45A70">
        <w:rPr>
          <w:noProof/>
        </w:rPr>
        <w:t>49</w:t>
      </w:r>
      <w:r>
        <w:rPr>
          <w:noProof/>
        </w:rPr>
        <w:fldChar w:fldCharType="end"/>
      </w:r>
    </w:p>
    <w:p w14:paraId="6E14E3DD" w14:textId="75867211"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A.III.3</w:t>
      </w:r>
      <w:r>
        <w:rPr>
          <w:rFonts w:asciiTheme="minorHAnsi" w:eastAsiaTheme="minorEastAsia" w:hAnsiTheme="minorHAnsi" w:cstheme="minorBidi"/>
          <w:noProof/>
          <w:kern w:val="2"/>
          <w:sz w:val="22"/>
          <w:lang w:eastAsia="cs-CZ"/>
          <w14:ligatures w14:val="standardContextual"/>
        </w:rPr>
        <w:tab/>
      </w:r>
      <w:r>
        <w:rPr>
          <w:noProof/>
        </w:rPr>
        <w:t>Fauna a flóra, biodiverzita, ochrana přírody a krajiny</w:t>
      </w:r>
      <w:r>
        <w:rPr>
          <w:noProof/>
        </w:rPr>
        <w:tab/>
      </w:r>
      <w:r>
        <w:rPr>
          <w:noProof/>
        </w:rPr>
        <w:fldChar w:fldCharType="begin"/>
      </w:r>
      <w:r>
        <w:rPr>
          <w:noProof/>
        </w:rPr>
        <w:instrText xml:space="preserve"> PAGEREF _Toc138848106 \h </w:instrText>
      </w:r>
      <w:r>
        <w:rPr>
          <w:noProof/>
        </w:rPr>
      </w:r>
      <w:r>
        <w:rPr>
          <w:noProof/>
        </w:rPr>
        <w:fldChar w:fldCharType="separate"/>
      </w:r>
      <w:r w:rsidR="00F45A70">
        <w:rPr>
          <w:noProof/>
        </w:rPr>
        <w:t>52</w:t>
      </w:r>
      <w:r>
        <w:rPr>
          <w:noProof/>
        </w:rPr>
        <w:fldChar w:fldCharType="end"/>
      </w:r>
    </w:p>
    <w:p w14:paraId="32767678" w14:textId="536B4E32"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A.III.4</w:t>
      </w:r>
      <w:r>
        <w:rPr>
          <w:rFonts w:asciiTheme="minorHAnsi" w:eastAsiaTheme="minorEastAsia" w:hAnsiTheme="minorHAnsi" w:cstheme="minorBidi"/>
          <w:noProof/>
          <w:kern w:val="2"/>
          <w:sz w:val="22"/>
          <w:lang w:eastAsia="cs-CZ"/>
          <w14:ligatures w14:val="standardContextual"/>
        </w:rPr>
        <w:tab/>
      </w:r>
      <w:r>
        <w:rPr>
          <w:noProof/>
        </w:rPr>
        <w:t>Půda</w:t>
      </w:r>
      <w:r>
        <w:rPr>
          <w:noProof/>
        </w:rPr>
        <w:tab/>
      </w:r>
      <w:r>
        <w:rPr>
          <w:noProof/>
        </w:rPr>
        <w:fldChar w:fldCharType="begin"/>
      </w:r>
      <w:r>
        <w:rPr>
          <w:noProof/>
        </w:rPr>
        <w:instrText xml:space="preserve"> PAGEREF _Toc138848107 \h </w:instrText>
      </w:r>
      <w:r>
        <w:rPr>
          <w:noProof/>
        </w:rPr>
      </w:r>
      <w:r>
        <w:rPr>
          <w:noProof/>
        </w:rPr>
        <w:fldChar w:fldCharType="separate"/>
      </w:r>
      <w:r w:rsidR="00F45A70">
        <w:rPr>
          <w:noProof/>
        </w:rPr>
        <w:t>65</w:t>
      </w:r>
      <w:r>
        <w:rPr>
          <w:noProof/>
        </w:rPr>
        <w:fldChar w:fldCharType="end"/>
      </w:r>
    </w:p>
    <w:p w14:paraId="05ABA3B4" w14:textId="5F1DDC21"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A.III.5</w:t>
      </w:r>
      <w:r>
        <w:rPr>
          <w:rFonts w:asciiTheme="minorHAnsi" w:eastAsiaTheme="minorEastAsia" w:hAnsiTheme="minorHAnsi" w:cstheme="minorBidi"/>
          <w:noProof/>
          <w:kern w:val="2"/>
          <w:sz w:val="22"/>
          <w:lang w:eastAsia="cs-CZ"/>
          <w14:ligatures w14:val="standardContextual"/>
        </w:rPr>
        <w:tab/>
      </w:r>
      <w:r>
        <w:rPr>
          <w:noProof/>
        </w:rPr>
        <w:t>Horninové prostředí</w:t>
      </w:r>
      <w:r>
        <w:rPr>
          <w:noProof/>
        </w:rPr>
        <w:tab/>
      </w:r>
      <w:r>
        <w:rPr>
          <w:noProof/>
        </w:rPr>
        <w:fldChar w:fldCharType="begin"/>
      </w:r>
      <w:r>
        <w:rPr>
          <w:noProof/>
        </w:rPr>
        <w:instrText xml:space="preserve"> PAGEREF _Toc138848108 \h </w:instrText>
      </w:r>
      <w:r>
        <w:rPr>
          <w:noProof/>
        </w:rPr>
      </w:r>
      <w:r>
        <w:rPr>
          <w:noProof/>
        </w:rPr>
        <w:fldChar w:fldCharType="separate"/>
      </w:r>
      <w:r w:rsidR="00F45A70">
        <w:rPr>
          <w:noProof/>
        </w:rPr>
        <w:t>67</w:t>
      </w:r>
      <w:r>
        <w:rPr>
          <w:noProof/>
        </w:rPr>
        <w:fldChar w:fldCharType="end"/>
      </w:r>
    </w:p>
    <w:p w14:paraId="24B3D628" w14:textId="76A54384"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A.III.6</w:t>
      </w:r>
      <w:r>
        <w:rPr>
          <w:rFonts w:asciiTheme="minorHAnsi" w:eastAsiaTheme="minorEastAsia" w:hAnsiTheme="minorHAnsi" w:cstheme="minorBidi"/>
          <w:noProof/>
          <w:kern w:val="2"/>
          <w:sz w:val="22"/>
          <w:lang w:eastAsia="cs-CZ"/>
          <w14:ligatures w14:val="standardContextual"/>
        </w:rPr>
        <w:tab/>
      </w:r>
      <w:r>
        <w:rPr>
          <w:noProof/>
        </w:rPr>
        <w:t>Voda</w:t>
      </w:r>
      <w:r>
        <w:rPr>
          <w:noProof/>
        </w:rPr>
        <w:tab/>
      </w:r>
      <w:r>
        <w:rPr>
          <w:noProof/>
        </w:rPr>
        <w:fldChar w:fldCharType="begin"/>
      </w:r>
      <w:r>
        <w:rPr>
          <w:noProof/>
        </w:rPr>
        <w:instrText xml:space="preserve"> PAGEREF _Toc138848109 \h </w:instrText>
      </w:r>
      <w:r>
        <w:rPr>
          <w:noProof/>
        </w:rPr>
      </w:r>
      <w:r>
        <w:rPr>
          <w:noProof/>
        </w:rPr>
        <w:fldChar w:fldCharType="separate"/>
      </w:r>
      <w:r w:rsidR="00F45A70">
        <w:rPr>
          <w:noProof/>
        </w:rPr>
        <w:t>75</w:t>
      </w:r>
      <w:r>
        <w:rPr>
          <w:noProof/>
        </w:rPr>
        <w:fldChar w:fldCharType="end"/>
      </w:r>
    </w:p>
    <w:p w14:paraId="222B84FD" w14:textId="78D04B46"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A.III.7</w:t>
      </w:r>
      <w:r>
        <w:rPr>
          <w:rFonts w:asciiTheme="minorHAnsi" w:eastAsiaTheme="minorEastAsia" w:hAnsiTheme="minorHAnsi" w:cstheme="minorBidi"/>
          <w:noProof/>
          <w:kern w:val="2"/>
          <w:sz w:val="22"/>
          <w:lang w:eastAsia="cs-CZ"/>
          <w14:ligatures w14:val="standardContextual"/>
        </w:rPr>
        <w:tab/>
      </w:r>
      <w:r>
        <w:rPr>
          <w:noProof/>
        </w:rPr>
        <w:t>Ovzduší</w:t>
      </w:r>
      <w:r>
        <w:rPr>
          <w:noProof/>
        </w:rPr>
        <w:tab/>
      </w:r>
      <w:r>
        <w:rPr>
          <w:noProof/>
        </w:rPr>
        <w:fldChar w:fldCharType="begin"/>
      </w:r>
      <w:r>
        <w:rPr>
          <w:noProof/>
        </w:rPr>
        <w:instrText xml:space="preserve"> PAGEREF _Toc138848110 \h </w:instrText>
      </w:r>
      <w:r>
        <w:rPr>
          <w:noProof/>
        </w:rPr>
      </w:r>
      <w:r>
        <w:rPr>
          <w:noProof/>
        </w:rPr>
        <w:fldChar w:fldCharType="separate"/>
      </w:r>
      <w:r w:rsidR="00F45A70">
        <w:rPr>
          <w:noProof/>
        </w:rPr>
        <w:t>76</w:t>
      </w:r>
      <w:r>
        <w:rPr>
          <w:noProof/>
        </w:rPr>
        <w:fldChar w:fldCharType="end"/>
      </w:r>
    </w:p>
    <w:p w14:paraId="7A99AA2F" w14:textId="086FF5CE"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A.III.8</w:t>
      </w:r>
      <w:r>
        <w:rPr>
          <w:rFonts w:asciiTheme="minorHAnsi" w:eastAsiaTheme="minorEastAsia" w:hAnsiTheme="minorHAnsi" w:cstheme="minorBidi"/>
          <w:noProof/>
          <w:kern w:val="2"/>
          <w:sz w:val="22"/>
          <w:lang w:eastAsia="cs-CZ"/>
          <w14:ligatures w14:val="standardContextual"/>
        </w:rPr>
        <w:tab/>
      </w:r>
      <w:r>
        <w:rPr>
          <w:noProof/>
        </w:rPr>
        <w:t>Klima</w:t>
      </w:r>
      <w:r>
        <w:rPr>
          <w:noProof/>
        </w:rPr>
        <w:tab/>
      </w:r>
      <w:r>
        <w:rPr>
          <w:noProof/>
        </w:rPr>
        <w:fldChar w:fldCharType="begin"/>
      </w:r>
      <w:r>
        <w:rPr>
          <w:noProof/>
        </w:rPr>
        <w:instrText xml:space="preserve"> PAGEREF _Toc138848111 \h </w:instrText>
      </w:r>
      <w:r>
        <w:rPr>
          <w:noProof/>
        </w:rPr>
      </w:r>
      <w:r>
        <w:rPr>
          <w:noProof/>
        </w:rPr>
        <w:fldChar w:fldCharType="separate"/>
      </w:r>
      <w:r w:rsidR="00F45A70">
        <w:rPr>
          <w:noProof/>
        </w:rPr>
        <w:t>78</w:t>
      </w:r>
      <w:r>
        <w:rPr>
          <w:noProof/>
        </w:rPr>
        <w:fldChar w:fldCharType="end"/>
      </w:r>
    </w:p>
    <w:p w14:paraId="7422C9D4" w14:textId="045E55DE"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A.III.9</w:t>
      </w:r>
      <w:r>
        <w:rPr>
          <w:rFonts w:asciiTheme="minorHAnsi" w:eastAsiaTheme="minorEastAsia" w:hAnsiTheme="minorHAnsi" w:cstheme="minorBidi"/>
          <w:noProof/>
          <w:kern w:val="2"/>
          <w:sz w:val="22"/>
          <w:lang w:eastAsia="cs-CZ"/>
          <w14:ligatures w14:val="standardContextual"/>
        </w:rPr>
        <w:tab/>
      </w:r>
      <w:r>
        <w:rPr>
          <w:noProof/>
        </w:rPr>
        <w:t>Hluková zátěž</w:t>
      </w:r>
      <w:r>
        <w:rPr>
          <w:noProof/>
        </w:rPr>
        <w:tab/>
      </w:r>
      <w:r>
        <w:rPr>
          <w:noProof/>
        </w:rPr>
        <w:fldChar w:fldCharType="begin"/>
      </w:r>
      <w:r>
        <w:rPr>
          <w:noProof/>
        </w:rPr>
        <w:instrText xml:space="preserve"> PAGEREF _Toc138848112 \h </w:instrText>
      </w:r>
      <w:r>
        <w:rPr>
          <w:noProof/>
        </w:rPr>
      </w:r>
      <w:r>
        <w:rPr>
          <w:noProof/>
        </w:rPr>
        <w:fldChar w:fldCharType="separate"/>
      </w:r>
      <w:r w:rsidR="00F45A70">
        <w:rPr>
          <w:noProof/>
        </w:rPr>
        <w:t>83</w:t>
      </w:r>
      <w:r>
        <w:rPr>
          <w:noProof/>
        </w:rPr>
        <w:fldChar w:fldCharType="end"/>
      </w:r>
    </w:p>
    <w:p w14:paraId="75A5B47C" w14:textId="4BF34BF6"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A.III.10</w:t>
      </w:r>
      <w:r>
        <w:rPr>
          <w:rFonts w:asciiTheme="minorHAnsi" w:eastAsiaTheme="minorEastAsia" w:hAnsiTheme="minorHAnsi" w:cstheme="minorBidi"/>
          <w:noProof/>
          <w:kern w:val="2"/>
          <w:sz w:val="22"/>
          <w:lang w:eastAsia="cs-CZ"/>
          <w14:ligatures w14:val="standardContextual"/>
        </w:rPr>
        <w:tab/>
      </w:r>
      <w:r>
        <w:rPr>
          <w:noProof/>
        </w:rPr>
        <w:t>Krajina, sídla a urbanismus</w:t>
      </w:r>
      <w:r>
        <w:rPr>
          <w:noProof/>
        </w:rPr>
        <w:tab/>
      </w:r>
      <w:r>
        <w:rPr>
          <w:noProof/>
        </w:rPr>
        <w:fldChar w:fldCharType="begin"/>
      </w:r>
      <w:r>
        <w:rPr>
          <w:noProof/>
        </w:rPr>
        <w:instrText xml:space="preserve"> PAGEREF _Toc138848113 \h </w:instrText>
      </w:r>
      <w:r>
        <w:rPr>
          <w:noProof/>
        </w:rPr>
      </w:r>
      <w:r>
        <w:rPr>
          <w:noProof/>
        </w:rPr>
        <w:fldChar w:fldCharType="separate"/>
      </w:r>
      <w:r w:rsidR="00F45A70">
        <w:rPr>
          <w:noProof/>
        </w:rPr>
        <w:t>85</w:t>
      </w:r>
      <w:r>
        <w:rPr>
          <w:noProof/>
        </w:rPr>
        <w:fldChar w:fldCharType="end"/>
      </w:r>
    </w:p>
    <w:p w14:paraId="7109FD98" w14:textId="111DD32A"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A.III.11</w:t>
      </w:r>
      <w:r>
        <w:rPr>
          <w:rFonts w:asciiTheme="minorHAnsi" w:eastAsiaTheme="minorEastAsia" w:hAnsiTheme="minorHAnsi" w:cstheme="minorBidi"/>
          <w:noProof/>
          <w:kern w:val="2"/>
          <w:sz w:val="22"/>
          <w:lang w:eastAsia="cs-CZ"/>
          <w14:ligatures w14:val="standardContextual"/>
        </w:rPr>
        <w:tab/>
      </w:r>
      <w:r>
        <w:rPr>
          <w:noProof/>
        </w:rPr>
        <w:t>Hmotný majetek, nemovité památky, kulturní dědictví včetně dědictví architektonického a archeologického</w:t>
      </w:r>
      <w:r>
        <w:rPr>
          <w:noProof/>
        </w:rPr>
        <w:tab/>
      </w:r>
      <w:r>
        <w:rPr>
          <w:noProof/>
        </w:rPr>
        <w:fldChar w:fldCharType="begin"/>
      </w:r>
      <w:r>
        <w:rPr>
          <w:noProof/>
        </w:rPr>
        <w:instrText xml:space="preserve"> PAGEREF _Toc138848114 \h </w:instrText>
      </w:r>
      <w:r>
        <w:rPr>
          <w:noProof/>
        </w:rPr>
      </w:r>
      <w:r>
        <w:rPr>
          <w:noProof/>
        </w:rPr>
        <w:fldChar w:fldCharType="separate"/>
      </w:r>
      <w:r w:rsidR="00F45A70">
        <w:rPr>
          <w:noProof/>
        </w:rPr>
        <w:t>96</w:t>
      </w:r>
      <w:r>
        <w:rPr>
          <w:noProof/>
        </w:rPr>
        <w:fldChar w:fldCharType="end"/>
      </w:r>
    </w:p>
    <w:p w14:paraId="2752967F" w14:textId="25BB460C"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A.III.12</w:t>
      </w:r>
      <w:r>
        <w:rPr>
          <w:rFonts w:asciiTheme="minorHAnsi" w:eastAsiaTheme="minorEastAsia" w:hAnsiTheme="minorHAnsi" w:cstheme="minorBidi"/>
          <w:noProof/>
          <w:kern w:val="2"/>
          <w:sz w:val="22"/>
          <w:lang w:eastAsia="cs-CZ"/>
          <w14:ligatures w14:val="standardContextual"/>
        </w:rPr>
        <w:tab/>
      </w:r>
      <w:r>
        <w:rPr>
          <w:noProof/>
        </w:rPr>
        <w:t>Vývoj řešeného území bez provedení koncepce</w:t>
      </w:r>
      <w:r>
        <w:rPr>
          <w:noProof/>
        </w:rPr>
        <w:tab/>
      </w:r>
      <w:r>
        <w:rPr>
          <w:noProof/>
        </w:rPr>
        <w:fldChar w:fldCharType="begin"/>
      </w:r>
      <w:r>
        <w:rPr>
          <w:noProof/>
        </w:rPr>
        <w:instrText xml:space="preserve"> PAGEREF _Toc138848115 \h </w:instrText>
      </w:r>
      <w:r>
        <w:rPr>
          <w:noProof/>
        </w:rPr>
      </w:r>
      <w:r>
        <w:rPr>
          <w:noProof/>
        </w:rPr>
        <w:fldChar w:fldCharType="separate"/>
      </w:r>
      <w:r w:rsidR="00F45A70">
        <w:rPr>
          <w:noProof/>
        </w:rPr>
        <w:t>99</w:t>
      </w:r>
      <w:r>
        <w:rPr>
          <w:noProof/>
        </w:rPr>
        <w:fldChar w:fldCharType="end"/>
      </w:r>
    </w:p>
    <w:p w14:paraId="26645DBB" w14:textId="3652F644" w:rsidR="00FC24B6" w:rsidRDefault="00FC24B6">
      <w:pPr>
        <w:pStyle w:val="Obsah2"/>
        <w:rPr>
          <w:rFonts w:asciiTheme="minorHAnsi" w:eastAsiaTheme="minorEastAsia" w:hAnsiTheme="minorHAnsi" w:cstheme="minorBidi"/>
          <w:noProof/>
          <w:kern w:val="2"/>
          <w:sz w:val="22"/>
          <w:lang w:eastAsia="cs-CZ"/>
          <w14:ligatures w14:val="standardContextual"/>
        </w:rPr>
      </w:pPr>
      <w:r>
        <w:rPr>
          <w:noProof/>
        </w:rPr>
        <w:t>A.IV</w:t>
      </w:r>
      <w:r>
        <w:rPr>
          <w:rFonts w:asciiTheme="minorHAnsi" w:eastAsiaTheme="minorEastAsia" w:hAnsiTheme="minorHAnsi" w:cstheme="minorBidi"/>
          <w:noProof/>
          <w:kern w:val="2"/>
          <w:sz w:val="22"/>
          <w:lang w:eastAsia="cs-CZ"/>
          <w14:ligatures w14:val="standardContextual"/>
        </w:rPr>
        <w:tab/>
      </w:r>
      <w:r>
        <w:rPr>
          <w:noProof/>
        </w:rPr>
        <w:t>Charakteristiky životního prostředí, které by mohly být uplatněním územně plánovací dokumentace významně ovlivněny.</w:t>
      </w:r>
      <w:r>
        <w:rPr>
          <w:noProof/>
        </w:rPr>
        <w:tab/>
      </w:r>
      <w:r>
        <w:rPr>
          <w:noProof/>
        </w:rPr>
        <w:fldChar w:fldCharType="begin"/>
      </w:r>
      <w:r>
        <w:rPr>
          <w:noProof/>
        </w:rPr>
        <w:instrText xml:space="preserve"> PAGEREF _Toc138848116 \h </w:instrText>
      </w:r>
      <w:r>
        <w:rPr>
          <w:noProof/>
        </w:rPr>
      </w:r>
      <w:r>
        <w:rPr>
          <w:noProof/>
        </w:rPr>
        <w:fldChar w:fldCharType="separate"/>
      </w:r>
      <w:r w:rsidR="00F45A70">
        <w:rPr>
          <w:noProof/>
        </w:rPr>
        <w:t>100</w:t>
      </w:r>
      <w:r>
        <w:rPr>
          <w:noProof/>
        </w:rPr>
        <w:fldChar w:fldCharType="end"/>
      </w:r>
    </w:p>
    <w:p w14:paraId="736C8F5E" w14:textId="4AB57C98" w:rsidR="00FC24B6" w:rsidRDefault="00FC24B6">
      <w:pPr>
        <w:pStyle w:val="Obsah2"/>
        <w:rPr>
          <w:rFonts w:asciiTheme="minorHAnsi" w:eastAsiaTheme="minorEastAsia" w:hAnsiTheme="minorHAnsi" w:cstheme="minorBidi"/>
          <w:noProof/>
          <w:kern w:val="2"/>
          <w:sz w:val="22"/>
          <w:lang w:eastAsia="cs-CZ"/>
          <w14:ligatures w14:val="standardContextual"/>
        </w:rPr>
      </w:pPr>
      <w:r>
        <w:rPr>
          <w:noProof/>
        </w:rPr>
        <w:t>A.V</w:t>
      </w:r>
      <w:r>
        <w:rPr>
          <w:rFonts w:asciiTheme="minorHAnsi" w:eastAsiaTheme="minorEastAsia" w:hAnsiTheme="minorHAnsi" w:cstheme="minorBidi"/>
          <w:noProof/>
          <w:kern w:val="2"/>
          <w:sz w:val="22"/>
          <w:lang w:eastAsia="cs-CZ"/>
          <w14:ligatures w14:val="standardContextual"/>
        </w:rPr>
        <w:tab/>
      </w:r>
      <w:r>
        <w:rPr>
          <w:noProof/>
        </w:rPr>
        <w:t>Současné problémy a jevy životního prostředí, které by mohly být uplatněním územně plánovací dokumentace významně ovlivněny, zejména s ohledem na zvláště chráněná území a ptačí oblasti.</w:t>
      </w:r>
      <w:r>
        <w:rPr>
          <w:noProof/>
        </w:rPr>
        <w:tab/>
      </w:r>
      <w:r>
        <w:rPr>
          <w:noProof/>
        </w:rPr>
        <w:fldChar w:fldCharType="begin"/>
      </w:r>
      <w:r>
        <w:rPr>
          <w:noProof/>
        </w:rPr>
        <w:instrText xml:space="preserve"> PAGEREF _Toc138848117 \h </w:instrText>
      </w:r>
      <w:r>
        <w:rPr>
          <w:noProof/>
        </w:rPr>
      </w:r>
      <w:r>
        <w:rPr>
          <w:noProof/>
        </w:rPr>
        <w:fldChar w:fldCharType="separate"/>
      </w:r>
      <w:r w:rsidR="00F45A70">
        <w:rPr>
          <w:noProof/>
        </w:rPr>
        <w:t>109</w:t>
      </w:r>
      <w:r>
        <w:rPr>
          <w:noProof/>
        </w:rPr>
        <w:fldChar w:fldCharType="end"/>
      </w:r>
    </w:p>
    <w:p w14:paraId="26C51172" w14:textId="6D1E6585"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A.V.1</w:t>
      </w:r>
      <w:r>
        <w:rPr>
          <w:rFonts w:asciiTheme="minorHAnsi" w:eastAsiaTheme="minorEastAsia" w:hAnsiTheme="minorHAnsi" w:cstheme="minorBidi"/>
          <w:noProof/>
          <w:kern w:val="2"/>
          <w:sz w:val="22"/>
          <w:lang w:eastAsia="cs-CZ"/>
          <w14:ligatures w14:val="standardContextual"/>
        </w:rPr>
        <w:tab/>
      </w:r>
      <w:r>
        <w:rPr>
          <w:noProof/>
        </w:rPr>
        <w:t>Ovzduší a klima</w:t>
      </w:r>
      <w:r>
        <w:rPr>
          <w:noProof/>
        </w:rPr>
        <w:tab/>
      </w:r>
      <w:r>
        <w:rPr>
          <w:noProof/>
        </w:rPr>
        <w:fldChar w:fldCharType="begin"/>
      </w:r>
      <w:r>
        <w:rPr>
          <w:noProof/>
        </w:rPr>
        <w:instrText xml:space="preserve"> PAGEREF _Toc138848118 \h </w:instrText>
      </w:r>
      <w:r>
        <w:rPr>
          <w:noProof/>
        </w:rPr>
      </w:r>
      <w:r>
        <w:rPr>
          <w:noProof/>
        </w:rPr>
        <w:fldChar w:fldCharType="separate"/>
      </w:r>
      <w:r w:rsidR="00F45A70">
        <w:rPr>
          <w:noProof/>
        </w:rPr>
        <w:t>109</w:t>
      </w:r>
      <w:r>
        <w:rPr>
          <w:noProof/>
        </w:rPr>
        <w:fldChar w:fldCharType="end"/>
      </w:r>
    </w:p>
    <w:p w14:paraId="713B0579" w14:textId="4F7AFE46"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A.V.2</w:t>
      </w:r>
      <w:r>
        <w:rPr>
          <w:rFonts w:asciiTheme="minorHAnsi" w:eastAsiaTheme="minorEastAsia" w:hAnsiTheme="minorHAnsi" w:cstheme="minorBidi"/>
          <w:noProof/>
          <w:kern w:val="2"/>
          <w:sz w:val="22"/>
          <w:lang w:eastAsia="cs-CZ"/>
          <w14:ligatures w14:val="standardContextual"/>
        </w:rPr>
        <w:tab/>
      </w:r>
      <w:r>
        <w:rPr>
          <w:noProof/>
        </w:rPr>
        <w:t>Voda</w:t>
      </w:r>
      <w:r>
        <w:rPr>
          <w:noProof/>
        </w:rPr>
        <w:tab/>
      </w:r>
      <w:r>
        <w:rPr>
          <w:noProof/>
        </w:rPr>
        <w:fldChar w:fldCharType="begin"/>
      </w:r>
      <w:r>
        <w:rPr>
          <w:noProof/>
        </w:rPr>
        <w:instrText xml:space="preserve"> PAGEREF _Toc138848119 \h </w:instrText>
      </w:r>
      <w:r>
        <w:rPr>
          <w:noProof/>
        </w:rPr>
      </w:r>
      <w:r>
        <w:rPr>
          <w:noProof/>
        </w:rPr>
        <w:fldChar w:fldCharType="separate"/>
      </w:r>
      <w:r w:rsidR="00F45A70">
        <w:rPr>
          <w:noProof/>
        </w:rPr>
        <w:t>109</w:t>
      </w:r>
      <w:r>
        <w:rPr>
          <w:noProof/>
        </w:rPr>
        <w:fldChar w:fldCharType="end"/>
      </w:r>
    </w:p>
    <w:p w14:paraId="004DE29B" w14:textId="2456266B"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A.V.3</w:t>
      </w:r>
      <w:r>
        <w:rPr>
          <w:rFonts w:asciiTheme="minorHAnsi" w:eastAsiaTheme="minorEastAsia" w:hAnsiTheme="minorHAnsi" w:cstheme="minorBidi"/>
          <w:noProof/>
          <w:kern w:val="2"/>
          <w:sz w:val="22"/>
          <w:lang w:eastAsia="cs-CZ"/>
          <w14:ligatures w14:val="standardContextual"/>
        </w:rPr>
        <w:tab/>
      </w:r>
      <w:r>
        <w:rPr>
          <w:noProof/>
        </w:rPr>
        <w:t>Půda</w:t>
      </w:r>
      <w:r>
        <w:rPr>
          <w:noProof/>
        </w:rPr>
        <w:tab/>
      </w:r>
      <w:r>
        <w:rPr>
          <w:noProof/>
        </w:rPr>
        <w:fldChar w:fldCharType="begin"/>
      </w:r>
      <w:r>
        <w:rPr>
          <w:noProof/>
        </w:rPr>
        <w:instrText xml:space="preserve"> PAGEREF _Toc138848120 \h </w:instrText>
      </w:r>
      <w:r>
        <w:rPr>
          <w:noProof/>
        </w:rPr>
      </w:r>
      <w:r>
        <w:rPr>
          <w:noProof/>
        </w:rPr>
        <w:fldChar w:fldCharType="separate"/>
      </w:r>
      <w:r w:rsidR="00F45A70">
        <w:rPr>
          <w:noProof/>
        </w:rPr>
        <w:t>110</w:t>
      </w:r>
      <w:r>
        <w:rPr>
          <w:noProof/>
        </w:rPr>
        <w:fldChar w:fldCharType="end"/>
      </w:r>
    </w:p>
    <w:p w14:paraId="46FAFA4C" w14:textId="342729E0"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A.V.4</w:t>
      </w:r>
      <w:r>
        <w:rPr>
          <w:rFonts w:asciiTheme="minorHAnsi" w:eastAsiaTheme="minorEastAsia" w:hAnsiTheme="minorHAnsi" w:cstheme="minorBidi"/>
          <w:noProof/>
          <w:kern w:val="2"/>
          <w:sz w:val="22"/>
          <w:lang w:eastAsia="cs-CZ"/>
          <w14:ligatures w14:val="standardContextual"/>
        </w:rPr>
        <w:tab/>
      </w:r>
      <w:r>
        <w:rPr>
          <w:noProof/>
        </w:rPr>
        <w:t>Horninové prostředí</w:t>
      </w:r>
      <w:r>
        <w:rPr>
          <w:noProof/>
        </w:rPr>
        <w:tab/>
      </w:r>
      <w:r>
        <w:rPr>
          <w:noProof/>
        </w:rPr>
        <w:fldChar w:fldCharType="begin"/>
      </w:r>
      <w:r>
        <w:rPr>
          <w:noProof/>
        </w:rPr>
        <w:instrText xml:space="preserve"> PAGEREF _Toc138848121 \h </w:instrText>
      </w:r>
      <w:r>
        <w:rPr>
          <w:noProof/>
        </w:rPr>
      </w:r>
      <w:r>
        <w:rPr>
          <w:noProof/>
        </w:rPr>
        <w:fldChar w:fldCharType="separate"/>
      </w:r>
      <w:r w:rsidR="00F45A70">
        <w:rPr>
          <w:noProof/>
        </w:rPr>
        <w:t>110</w:t>
      </w:r>
      <w:r>
        <w:rPr>
          <w:noProof/>
        </w:rPr>
        <w:fldChar w:fldCharType="end"/>
      </w:r>
    </w:p>
    <w:p w14:paraId="256112F9" w14:textId="5128C78A"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A.V.5</w:t>
      </w:r>
      <w:r>
        <w:rPr>
          <w:rFonts w:asciiTheme="minorHAnsi" w:eastAsiaTheme="minorEastAsia" w:hAnsiTheme="minorHAnsi" w:cstheme="minorBidi"/>
          <w:noProof/>
          <w:kern w:val="2"/>
          <w:sz w:val="22"/>
          <w:lang w:eastAsia="cs-CZ"/>
          <w14:ligatures w14:val="standardContextual"/>
        </w:rPr>
        <w:tab/>
      </w:r>
      <w:r>
        <w:rPr>
          <w:noProof/>
        </w:rPr>
        <w:t>Flóra, fauna, biodiverzita</w:t>
      </w:r>
      <w:r>
        <w:rPr>
          <w:noProof/>
        </w:rPr>
        <w:tab/>
      </w:r>
      <w:r>
        <w:rPr>
          <w:noProof/>
        </w:rPr>
        <w:fldChar w:fldCharType="begin"/>
      </w:r>
      <w:r>
        <w:rPr>
          <w:noProof/>
        </w:rPr>
        <w:instrText xml:space="preserve"> PAGEREF _Toc138848122 \h </w:instrText>
      </w:r>
      <w:r>
        <w:rPr>
          <w:noProof/>
        </w:rPr>
      </w:r>
      <w:r>
        <w:rPr>
          <w:noProof/>
        </w:rPr>
        <w:fldChar w:fldCharType="separate"/>
      </w:r>
      <w:r w:rsidR="00F45A70">
        <w:rPr>
          <w:noProof/>
        </w:rPr>
        <w:t>111</w:t>
      </w:r>
      <w:r>
        <w:rPr>
          <w:noProof/>
        </w:rPr>
        <w:fldChar w:fldCharType="end"/>
      </w:r>
    </w:p>
    <w:p w14:paraId="1821A8C3" w14:textId="4075A84E"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A.V.6</w:t>
      </w:r>
      <w:r>
        <w:rPr>
          <w:rFonts w:asciiTheme="minorHAnsi" w:eastAsiaTheme="minorEastAsia" w:hAnsiTheme="minorHAnsi" w:cstheme="minorBidi"/>
          <w:noProof/>
          <w:kern w:val="2"/>
          <w:sz w:val="22"/>
          <w:lang w:eastAsia="cs-CZ"/>
          <w14:ligatures w14:val="standardContextual"/>
        </w:rPr>
        <w:tab/>
      </w:r>
      <w:r>
        <w:rPr>
          <w:noProof/>
        </w:rPr>
        <w:t>Ochrana přírody</w:t>
      </w:r>
      <w:r>
        <w:rPr>
          <w:noProof/>
        </w:rPr>
        <w:tab/>
      </w:r>
      <w:r>
        <w:rPr>
          <w:noProof/>
        </w:rPr>
        <w:fldChar w:fldCharType="begin"/>
      </w:r>
      <w:r>
        <w:rPr>
          <w:noProof/>
        </w:rPr>
        <w:instrText xml:space="preserve"> PAGEREF _Toc138848123 \h </w:instrText>
      </w:r>
      <w:r>
        <w:rPr>
          <w:noProof/>
        </w:rPr>
      </w:r>
      <w:r>
        <w:rPr>
          <w:noProof/>
        </w:rPr>
        <w:fldChar w:fldCharType="separate"/>
      </w:r>
      <w:r w:rsidR="00F45A70">
        <w:rPr>
          <w:noProof/>
        </w:rPr>
        <w:t>111</w:t>
      </w:r>
      <w:r>
        <w:rPr>
          <w:noProof/>
        </w:rPr>
        <w:fldChar w:fldCharType="end"/>
      </w:r>
    </w:p>
    <w:p w14:paraId="5E53ED32" w14:textId="6A38AAA1"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A.V.7</w:t>
      </w:r>
      <w:r>
        <w:rPr>
          <w:rFonts w:asciiTheme="minorHAnsi" w:eastAsiaTheme="minorEastAsia" w:hAnsiTheme="minorHAnsi" w:cstheme="minorBidi"/>
          <w:noProof/>
          <w:kern w:val="2"/>
          <w:sz w:val="22"/>
          <w:lang w:eastAsia="cs-CZ"/>
          <w14:ligatures w14:val="standardContextual"/>
        </w:rPr>
        <w:tab/>
      </w:r>
      <w:r>
        <w:rPr>
          <w:noProof/>
        </w:rPr>
        <w:t>Krajina, sídla a urbanismus</w:t>
      </w:r>
      <w:r>
        <w:rPr>
          <w:noProof/>
        </w:rPr>
        <w:tab/>
      </w:r>
      <w:r>
        <w:rPr>
          <w:noProof/>
        </w:rPr>
        <w:fldChar w:fldCharType="begin"/>
      </w:r>
      <w:r>
        <w:rPr>
          <w:noProof/>
        </w:rPr>
        <w:instrText xml:space="preserve"> PAGEREF _Toc138848124 \h </w:instrText>
      </w:r>
      <w:r>
        <w:rPr>
          <w:noProof/>
        </w:rPr>
      </w:r>
      <w:r>
        <w:rPr>
          <w:noProof/>
        </w:rPr>
        <w:fldChar w:fldCharType="separate"/>
      </w:r>
      <w:r w:rsidR="00F45A70">
        <w:rPr>
          <w:noProof/>
        </w:rPr>
        <w:t>112</w:t>
      </w:r>
      <w:r>
        <w:rPr>
          <w:noProof/>
        </w:rPr>
        <w:fldChar w:fldCharType="end"/>
      </w:r>
    </w:p>
    <w:p w14:paraId="54BF8562" w14:textId="07D4667C"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A.V.8</w:t>
      </w:r>
      <w:r>
        <w:rPr>
          <w:rFonts w:asciiTheme="minorHAnsi" w:eastAsiaTheme="minorEastAsia" w:hAnsiTheme="minorHAnsi" w:cstheme="minorBidi"/>
          <w:noProof/>
          <w:kern w:val="2"/>
          <w:sz w:val="22"/>
          <w:lang w:eastAsia="cs-CZ"/>
          <w14:ligatures w14:val="standardContextual"/>
        </w:rPr>
        <w:tab/>
      </w:r>
      <w:r>
        <w:rPr>
          <w:noProof/>
        </w:rPr>
        <w:t>Hmotný majetek, nemovité památky, kulturní dědictví včetně dědictví architektonického a archeologického</w:t>
      </w:r>
      <w:r>
        <w:rPr>
          <w:noProof/>
        </w:rPr>
        <w:tab/>
      </w:r>
      <w:r>
        <w:rPr>
          <w:noProof/>
        </w:rPr>
        <w:fldChar w:fldCharType="begin"/>
      </w:r>
      <w:r>
        <w:rPr>
          <w:noProof/>
        </w:rPr>
        <w:instrText xml:space="preserve"> PAGEREF _Toc138848125 \h </w:instrText>
      </w:r>
      <w:r>
        <w:rPr>
          <w:noProof/>
        </w:rPr>
      </w:r>
      <w:r>
        <w:rPr>
          <w:noProof/>
        </w:rPr>
        <w:fldChar w:fldCharType="separate"/>
      </w:r>
      <w:r w:rsidR="00F45A70">
        <w:rPr>
          <w:noProof/>
        </w:rPr>
        <w:t>112</w:t>
      </w:r>
      <w:r>
        <w:rPr>
          <w:noProof/>
        </w:rPr>
        <w:fldChar w:fldCharType="end"/>
      </w:r>
    </w:p>
    <w:p w14:paraId="526CE1DC" w14:textId="26F5BEBC"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A.V.9</w:t>
      </w:r>
      <w:r>
        <w:rPr>
          <w:rFonts w:asciiTheme="minorHAnsi" w:eastAsiaTheme="minorEastAsia" w:hAnsiTheme="minorHAnsi" w:cstheme="minorBidi"/>
          <w:noProof/>
          <w:kern w:val="2"/>
          <w:sz w:val="22"/>
          <w:lang w:eastAsia="cs-CZ"/>
          <w14:ligatures w14:val="standardContextual"/>
        </w:rPr>
        <w:tab/>
      </w:r>
      <w:r>
        <w:rPr>
          <w:noProof/>
        </w:rPr>
        <w:t>Hluk</w:t>
      </w:r>
      <w:r>
        <w:rPr>
          <w:noProof/>
        </w:rPr>
        <w:tab/>
      </w:r>
      <w:r>
        <w:rPr>
          <w:noProof/>
        </w:rPr>
        <w:fldChar w:fldCharType="begin"/>
      </w:r>
      <w:r>
        <w:rPr>
          <w:noProof/>
        </w:rPr>
        <w:instrText xml:space="preserve"> PAGEREF _Toc138848126 \h </w:instrText>
      </w:r>
      <w:r>
        <w:rPr>
          <w:noProof/>
        </w:rPr>
      </w:r>
      <w:r>
        <w:rPr>
          <w:noProof/>
        </w:rPr>
        <w:fldChar w:fldCharType="separate"/>
      </w:r>
      <w:r w:rsidR="00F45A70">
        <w:rPr>
          <w:noProof/>
        </w:rPr>
        <w:t>112</w:t>
      </w:r>
      <w:r>
        <w:rPr>
          <w:noProof/>
        </w:rPr>
        <w:fldChar w:fldCharType="end"/>
      </w:r>
    </w:p>
    <w:p w14:paraId="362185EC" w14:textId="558B7298"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A.V.10</w:t>
      </w:r>
      <w:r>
        <w:rPr>
          <w:rFonts w:asciiTheme="minorHAnsi" w:eastAsiaTheme="minorEastAsia" w:hAnsiTheme="minorHAnsi" w:cstheme="minorBidi"/>
          <w:noProof/>
          <w:kern w:val="2"/>
          <w:sz w:val="22"/>
          <w:lang w:eastAsia="cs-CZ"/>
          <w14:ligatures w14:val="standardContextual"/>
        </w:rPr>
        <w:tab/>
      </w:r>
      <w:r>
        <w:rPr>
          <w:noProof/>
        </w:rPr>
        <w:t>Vyhodnocení vlivů na lokality soustavy Natura 2000</w:t>
      </w:r>
      <w:r>
        <w:rPr>
          <w:noProof/>
        </w:rPr>
        <w:tab/>
      </w:r>
      <w:r>
        <w:rPr>
          <w:noProof/>
        </w:rPr>
        <w:fldChar w:fldCharType="begin"/>
      </w:r>
      <w:r>
        <w:rPr>
          <w:noProof/>
        </w:rPr>
        <w:instrText xml:space="preserve"> PAGEREF _Toc138848127 \h </w:instrText>
      </w:r>
      <w:r>
        <w:rPr>
          <w:noProof/>
        </w:rPr>
      </w:r>
      <w:r>
        <w:rPr>
          <w:noProof/>
        </w:rPr>
        <w:fldChar w:fldCharType="separate"/>
      </w:r>
      <w:r w:rsidR="00F45A70">
        <w:rPr>
          <w:noProof/>
        </w:rPr>
        <w:t>113</w:t>
      </w:r>
      <w:r>
        <w:rPr>
          <w:noProof/>
        </w:rPr>
        <w:fldChar w:fldCharType="end"/>
      </w:r>
    </w:p>
    <w:p w14:paraId="3F1B6FC6" w14:textId="6D61C68C" w:rsidR="00FC24B6" w:rsidRDefault="00FC24B6">
      <w:pPr>
        <w:pStyle w:val="Obsah2"/>
        <w:rPr>
          <w:rFonts w:asciiTheme="minorHAnsi" w:eastAsiaTheme="minorEastAsia" w:hAnsiTheme="minorHAnsi" w:cstheme="minorBidi"/>
          <w:noProof/>
          <w:kern w:val="2"/>
          <w:sz w:val="22"/>
          <w:lang w:eastAsia="cs-CZ"/>
          <w14:ligatures w14:val="standardContextual"/>
        </w:rPr>
      </w:pPr>
      <w:r>
        <w:rPr>
          <w:noProof/>
        </w:rPr>
        <w:t>A.VI</w:t>
      </w:r>
      <w:r>
        <w:rPr>
          <w:rFonts w:asciiTheme="minorHAnsi" w:eastAsiaTheme="minorEastAsia" w:hAnsiTheme="minorHAnsi" w:cstheme="minorBidi"/>
          <w:noProof/>
          <w:kern w:val="2"/>
          <w:sz w:val="22"/>
          <w:lang w:eastAsia="cs-CZ"/>
          <w14:ligatures w14:val="standardContextual"/>
        </w:rPr>
        <w:tab/>
      </w:r>
      <w:r>
        <w:rPr>
          <w:noProof/>
        </w:rPr>
        <w:t>Zhodnocení stávajících a předpokládaných vlivů územně plánovací dokumentace, včetně vlivů sekundárních, synergických, kumulativních, krátkodobých, střednědobých a dlouhodobých, trvalých a přechodných, kladných a záporných.</w:t>
      </w:r>
      <w:r>
        <w:rPr>
          <w:noProof/>
        </w:rPr>
        <w:tab/>
      </w:r>
      <w:r>
        <w:rPr>
          <w:noProof/>
        </w:rPr>
        <w:fldChar w:fldCharType="begin"/>
      </w:r>
      <w:r>
        <w:rPr>
          <w:noProof/>
        </w:rPr>
        <w:instrText xml:space="preserve"> PAGEREF _Toc138848128 \h </w:instrText>
      </w:r>
      <w:r>
        <w:rPr>
          <w:noProof/>
        </w:rPr>
      </w:r>
      <w:r>
        <w:rPr>
          <w:noProof/>
        </w:rPr>
        <w:fldChar w:fldCharType="separate"/>
      </w:r>
      <w:r w:rsidR="00F45A70">
        <w:rPr>
          <w:noProof/>
        </w:rPr>
        <w:t>114</w:t>
      </w:r>
      <w:r>
        <w:rPr>
          <w:noProof/>
        </w:rPr>
        <w:fldChar w:fldCharType="end"/>
      </w:r>
    </w:p>
    <w:p w14:paraId="1A9BCBE2" w14:textId="4CD559F9"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A.VI.1</w:t>
      </w:r>
      <w:r>
        <w:rPr>
          <w:rFonts w:asciiTheme="minorHAnsi" w:eastAsiaTheme="minorEastAsia" w:hAnsiTheme="minorHAnsi" w:cstheme="minorBidi"/>
          <w:noProof/>
          <w:kern w:val="2"/>
          <w:sz w:val="22"/>
          <w:lang w:eastAsia="cs-CZ"/>
          <w14:ligatures w14:val="standardContextual"/>
        </w:rPr>
        <w:tab/>
      </w:r>
      <w:r>
        <w:rPr>
          <w:noProof/>
        </w:rPr>
        <w:t>Referenční cíle ochrany ŽP a veřejného zdraví</w:t>
      </w:r>
      <w:r>
        <w:rPr>
          <w:noProof/>
        </w:rPr>
        <w:tab/>
      </w:r>
      <w:r>
        <w:rPr>
          <w:noProof/>
        </w:rPr>
        <w:fldChar w:fldCharType="begin"/>
      </w:r>
      <w:r>
        <w:rPr>
          <w:noProof/>
        </w:rPr>
        <w:instrText xml:space="preserve"> PAGEREF _Toc138848129 \h </w:instrText>
      </w:r>
      <w:r>
        <w:rPr>
          <w:noProof/>
        </w:rPr>
      </w:r>
      <w:r>
        <w:rPr>
          <w:noProof/>
        </w:rPr>
        <w:fldChar w:fldCharType="separate"/>
      </w:r>
      <w:r w:rsidR="00F45A70">
        <w:rPr>
          <w:noProof/>
        </w:rPr>
        <w:t>114</w:t>
      </w:r>
      <w:r>
        <w:rPr>
          <w:noProof/>
        </w:rPr>
        <w:fldChar w:fldCharType="end"/>
      </w:r>
    </w:p>
    <w:p w14:paraId="65E9657B" w14:textId="2BE4F6DC"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A.VI.2</w:t>
      </w:r>
      <w:r>
        <w:rPr>
          <w:rFonts w:asciiTheme="minorHAnsi" w:eastAsiaTheme="minorEastAsia" w:hAnsiTheme="minorHAnsi" w:cstheme="minorBidi"/>
          <w:noProof/>
          <w:kern w:val="2"/>
          <w:sz w:val="22"/>
          <w:lang w:eastAsia="cs-CZ"/>
          <w14:ligatures w14:val="standardContextual"/>
        </w:rPr>
        <w:tab/>
      </w:r>
      <w:r>
        <w:rPr>
          <w:noProof/>
        </w:rPr>
        <w:t>Identifikace vlivů</w:t>
      </w:r>
      <w:r>
        <w:rPr>
          <w:noProof/>
        </w:rPr>
        <w:tab/>
      </w:r>
      <w:r>
        <w:rPr>
          <w:noProof/>
        </w:rPr>
        <w:fldChar w:fldCharType="begin"/>
      </w:r>
      <w:r>
        <w:rPr>
          <w:noProof/>
        </w:rPr>
        <w:instrText xml:space="preserve"> PAGEREF _Toc138848130 \h </w:instrText>
      </w:r>
      <w:r>
        <w:rPr>
          <w:noProof/>
        </w:rPr>
      </w:r>
      <w:r>
        <w:rPr>
          <w:noProof/>
        </w:rPr>
        <w:fldChar w:fldCharType="separate"/>
      </w:r>
      <w:r w:rsidR="00F45A70">
        <w:rPr>
          <w:noProof/>
        </w:rPr>
        <w:t>121</w:t>
      </w:r>
      <w:r>
        <w:rPr>
          <w:noProof/>
        </w:rPr>
        <w:fldChar w:fldCharType="end"/>
      </w:r>
    </w:p>
    <w:p w14:paraId="45E70B5B" w14:textId="511B8A50" w:rsidR="00FC24B6" w:rsidRDefault="00FC24B6">
      <w:pPr>
        <w:pStyle w:val="Obsah2"/>
        <w:rPr>
          <w:rFonts w:asciiTheme="minorHAnsi" w:eastAsiaTheme="minorEastAsia" w:hAnsiTheme="minorHAnsi" w:cstheme="minorBidi"/>
          <w:noProof/>
          <w:kern w:val="2"/>
          <w:sz w:val="22"/>
          <w:lang w:eastAsia="cs-CZ"/>
          <w14:ligatures w14:val="standardContextual"/>
        </w:rPr>
      </w:pPr>
      <w:r>
        <w:rPr>
          <w:noProof/>
        </w:rPr>
        <w:lastRenderedPageBreak/>
        <w:t>A.VII</w:t>
      </w:r>
      <w:r>
        <w:rPr>
          <w:rFonts w:asciiTheme="minorHAnsi" w:eastAsiaTheme="minorEastAsia" w:hAnsiTheme="minorHAnsi" w:cstheme="minorBidi"/>
          <w:noProof/>
          <w:kern w:val="2"/>
          <w:sz w:val="22"/>
          <w:lang w:eastAsia="cs-CZ"/>
          <w14:ligatures w14:val="standardContextual"/>
        </w:rPr>
        <w:tab/>
      </w:r>
      <w:r>
        <w:rPr>
          <w:noProof/>
        </w:rPr>
        <w:t>Porovnání zjištěných nebo předpokládaných kladných a záporných vlivů a jejich zhodnocení. Srozumitelný popis použitých metod vyhodnocení včetně jejich omezení.</w:t>
      </w:r>
      <w:r>
        <w:rPr>
          <w:noProof/>
        </w:rPr>
        <w:tab/>
      </w:r>
      <w:r>
        <w:rPr>
          <w:noProof/>
        </w:rPr>
        <w:fldChar w:fldCharType="begin"/>
      </w:r>
      <w:r>
        <w:rPr>
          <w:noProof/>
        </w:rPr>
        <w:instrText xml:space="preserve"> PAGEREF _Toc138848131 \h </w:instrText>
      </w:r>
      <w:r>
        <w:rPr>
          <w:noProof/>
        </w:rPr>
      </w:r>
      <w:r>
        <w:rPr>
          <w:noProof/>
        </w:rPr>
        <w:fldChar w:fldCharType="separate"/>
      </w:r>
      <w:r w:rsidR="00F45A70">
        <w:rPr>
          <w:noProof/>
        </w:rPr>
        <w:t>128</w:t>
      </w:r>
      <w:r>
        <w:rPr>
          <w:noProof/>
        </w:rPr>
        <w:fldChar w:fldCharType="end"/>
      </w:r>
    </w:p>
    <w:p w14:paraId="4BAB7C92" w14:textId="200F7E56"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A.VII.1</w:t>
      </w:r>
      <w:r>
        <w:rPr>
          <w:rFonts w:asciiTheme="minorHAnsi" w:eastAsiaTheme="minorEastAsia" w:hAnsiTheme="minorHAnsi" w:cstheme="minorBidi"/>
          <w:noProof/>
          <w:kern w:val="2"/>
          <w:sz w:val="22"/>
          <w:lang w:eastAsia="cs-CZ"/>
          <w14:ligatures w14:val="standardContextual"/>
        </w:rPr>
        <w:tab/>
      </w:r>
      <w:r>
        <w:rPr>
          <w:noProof/>
        </w:rPr>
        <w:t>Ovzduší</w:t>
      </w:r>
      <w:r>
        <w:rPr>
          <w:noProof/>
        </w:rPr>
        <w:tab/>
      </w:r>
      <w:r>
        <w:rPr>
          <w:noProof/>
        </w:rPr>
        <w:fldChar w:fldCharType="begin"/>
      </w:r>
      <w:r>
        <w:rPr>
          <w:noProof/>
        </w:rPr>
        <w:instrText xml:space="preserve"> PAGEREF _Toc138848132 \h </w:instrText>
      </w:r>
      <w:r>
        <w:rPr>
          <w:noProof/>
        </w:rPr>
      </w:r>
      <w:r>
        <w:rPr>
          <w:noProof/>
        </w:rPr>
        <w:fldChar w:fldCharType="separate"/>
      </w:r>
      <w:r w:rsidR="00F45A70">
        <w:rPr>
          <w:noProof/>
        </w:rPr>
        <w:t>128</w:t>
      </w:r>
      <w:r>
        <w:rPr>
          <w:noProof/>
        </w:rPr>
        <w:fldChar w:fldCharType="end"/>
      </w:r>
    </w:p>
    <w:p w14:paraId="0CD6D711" w14:textId="620C80CB"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A.VII.2</w:t>
      </w:r>
      <w:r>
        <w:rPr>
          <w:rFonts w:asciiTheme="minorHAnsi" w:eastAsiaTheme="minorEastAsia" w:hAnsiTheme="minorHAnsi" w:cstheme="minorBidi"/>
          <w:noProof/>
          <w:kern w:val="2"/>
          <w:sz w:val="22"/>
          <w:lang w:eastAsia="cs-CZ"/>
          <w14:ligatures w14:val="standardContextual"/>
        </w:rPr>
        <w:tab/>
      </w:r>
      <w:r>
        <w:rPr>
          <w:noProof/>
        </w:rPr>
        <w:t>Klima</w:t>
      </w:r>
      <w:r>
        <w:rPr>
          <w:noProof/>
        </w:rPr>
        <w:tab/>
      </w:r>
      <w:r>
        <w:rPr>
          <w:noProof/>
        </w:rPr>
        <w:fldChar w:fldCharType="begin"/>
      </w:r>
      <w:r>
        <w:rPr>
          <w:noProof/>
        </w:rPr>
        <w:instrText xml:space="preserve"> PAGEREF _Toc138848133 \h </w:instrText>
      </w:r>
      <w:r>
        <w:rPr>
          <w:noProof/>
        </w:rPr>
      </w:r>
      <w:r>
        <w:rPr>
          <w:noProof/>
        </w:rPr>
        <w:fldChar w:fldCharType="separate"/>
      </w:r>
      <w:r w:rsidR="00F45A70">
        <w:rPr>
          <w:noProof/>
        </w:rPr>
        <w:t>129</w:t>
      </w:r>
      <w:r>
        <w:rPr>
          <w:noProof/>
        </w:rPr>
        <w:fldChar w:fldCharType="end"/>
      </w:r>
    </w:p>
    <w:p w14:paraId="29055B7A" w14:textId="1E6C6604"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A.VII.3</w:t>
      </w:r>
      <w:r>
        <w:rPr>
          <w:rFonts w:asciiTheme="minorHAnsi" w:eastAsiaTheme="minorEastAsia" w:hAnsiTheme="minorHAnsi" w:cstheme="minorBidi"/>
          <w:noProof/>
          <w:kern w:val="2"/>
          <w:sz w:val="22"/>
          <w:lang w:eastAsia="cs-CZ"/>
          <w14:ligatures w14:val="standardContextual"/>
        </w:rPr>
        <w:tab/>
      </w:r>
      <w:r>
        <w:rPr>
          <w:noProof/>
        </w:rPr>
        <w:t>ZPF a PUPFL</w:t>
      </w:r>
      <w:r>
        <w:rPr>
          <w:noProof/>
        </w:rPr>
        <w:tab/>
      </w:r>
      <w:r>
        <w:rPr>
          <w:noProof/>
        </w:rPr>
        <w:fldChar w:fldCharType="begin"/>
      </w:r>
      <w:r>
        <w:rPr>
          <w:noProof/>
        </w:rPr>
        <w:instrText xml:space="preserve"> PAGEREF _Toc138848134 \h </w:instrText>
      </w:r>
      <w:r>
        <w:rPr>
          <w:noProof/>
        </w:rPr>
      </w:r>
      <w:r>
        <w:rPr>
          <w:noProof/>
        </w:rPr>
        <w:fldChar w:fldCharType="separate"/>
      </w:r>
      <w:r w:rsidR="00F45A70">
        <w:rPr>
          <w:noProof/>
        </w:rPr>
        <w:t>129</w:t>
      </w:r>
      <w:r>
        <w:rPr>
          <w:noProof/>
        </w:rPr>
        <w:fldChar w:fldCharType="end"/>
      </w:r>
    </w:p>
    <w:p w14:paraId="4D9328EB" w14:textId="71155BD3"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A.VII.4</w:t>
      </w:r>
      <w:r>
        <w:rPr>
          <w:rFonts w:asciiTheme="minorHAnsi" w:eastAsiaTheme="minorEastAsia" w:hAnsiTheme="minorHAnsi" w:cstheme="minorBidi"/>
          <w:noProof/>
          <w:kern w:val="2"/>
          <w:sz w:val="22"/>
          <w:lang w:eastAsia="cs-CZ"/>
          <w14:ligatures w14:val="standardContextual"/>
        </w:rPr>
        <w:tab/>
      </w:r>
      <w:r>
        <w:rPr>
          <w:noProof/>
        </w:rPr>
        <w:t>Horninové prostředí, surovinové zdroje, georizika</w:t>
      </w:r>
      <w:r>
        <w:rPr>
          <w:noProof/>
        </w:rPr>
        <w:tab/>
      </w:r>
      <w:r>
        <w:rPr>
          <w:noProof/>
        </w:rPr>
        <w:fldChar w:fldCharType="begin"/>
      </w:r>
      <w:r>
        <w:rPr>
          <w:noProof/>
        </w:rPr>
        <w:instrText xml:space="preserve"> PAGEREF _Toc138848135 \h </w:instrText>
      </w:r>
      <w:r>
        <w:rPr>
          <w:noProof/>
        </w:rPr>
      </w:r>
      <w:r>
        <w:rPr>
          <w:noProof/>
        </w:rPr>
        <w:fldChar w:fldCharType="separate"/>
      </w:r>
      <w:r w:rsidR="00F45A70">
        <w:rPr>
          <w:noProof/>
        </w:rPr>
        <w:t>130</w:t>
      </w:r>
      <w:r>
        <w:rPr>
          <w:noProof/>
        </w:rPr>
        <w:fldChar w:fldCharType="end"/>
      </w:r>
    </w:p>
    <w:p w14:paraId="219591CB" w14:textId="0832D147"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A.VII.5</w:t>
      </w:r>
      <w:r>
        <w:rPr>
          <w:rFonts w:asciiTheme="minorHAnsi" w:eastAsiaTheme="minorEastAsia" w:hAnsiTheme="minorHAnsi" w:cstheme="minorBidi"/>
          <w:noProof/>
          <w:kern w:val="2"/>
          <w:sz w:val="22"/>
          <w:lang w:eastAsia="cs-CZ"/>
          <w14:ligatures w14:val="standardContextual"/>
        </w:rPr>
        <w:tab/>
      </w:r>
      <w:r>
        <w:rPr>
          <w:noProof/>
        </w:rPr>
        <w:t>Voda</w:t>
      </w:r>
      <w:r>
        <w:rPr>
          <w:noProof/>
        </w:rPr>
        <w:tab/>
      </w:r>
      <w:r>
        <w:rPr>
          <w:noProof/>
        </w:rPr>
        <w:fldChar w:fldCharType="begin"/>
      </w:r>
      <w:r>
        <w:rPr>
          <w:noProof/>
        </w:rPr>
        <w:instrText xml:space="preserve"> PAGEREF _Toc138848136 \h </w:instrText>
      </w:r>
      <w:r>
        <w:rPr>
          <w:noProof/>
        </w:rPr>
      </w:r>
      <w:r>
        <w:rPr>
          <w:noProof/>
        </w:rPr>
        <w:fldChar w:fldCharType="separate"/>
      </w:r>
      <w:r w:rsidR="00F45A70">
        <w:rPr>
          <w:noProof/>
        </w:rPr>
        <w:t>130</w:t>
      </w:r>
      <w:r>
        <w:rPr>
          <w:noProof/>
        </w:rPr>
        <w:fldChar w:fldCharType="end"/>
      </w:r>
    </w:p>
    <w:p w14:paraId="0206EB19" w14:textId="4E5569BA"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A.VII.6</w:t>
      </w:r>
      <w:r>
        <w:rPr>
          <w:rFonts w:asciiTheme="minorHAnsi" w:eastAsiaTheme="minorEastAsia" w:hAnsiTheme="minorHAnsi" w:cstheme="minorBidi"/>
          <w:noProof/>
          <w:kern w:val="2"/>
          <w:sz w:val="22"/>
          <w:lang w:eastAsia="cs-CZ"/>
          <w14:ligatures w14:val="standardContextual"/>
        </w:rPr>
        <w:tab/>
      </w:r>
      <w:r>
        <w:rPr>
          <w:noProof/>
        </w:rPr>
        <w:t>Flóra, fauna, ekosystémy</w:t>
      </w:r>
      <w:r>
        <w:rPr>
          <w:noProof/>
        </w:rPr>
        <w:tab/>
      </w:r>
      <w:r>
        <w:rPr>
          <w:noProof/>
        </w:rPr>
        <w:fldChar w:fldCharType="begin"/>
      </w:r>
      <w:r>
        <w:rPr>
          <w:noProof/>
        </w:rPr>
        <w:instrText xml:space="preserve"> PAGEREF _Toc138848137 \h </w:instrText>
      </w:r>
      <w:r>
        <w:rPr>
          <w:noProof/>
        </w:rPr>
      </w:r>
      <w:r>
        <w:rPr>
          <w:noProof/>
        </w:rPr>
        <w:fldChar w:fldCharType="separate"/>
      </w:r>
      <w:r w:rsidR="00F45A70">
        <w:rPr>
          <w:noProof/>
        </w:rPr>
        <w:t>131</w:t>
      </w:r>
      <w:r>
        <w:rPr>
          <w:noProof/>
        </w:rPr>
        <w:fldChar w:fldCharType="end"/>
      </w:r>
    </w:p>
    <w:p w14:paraId="5E75C318" w14:textId="6C1486C1"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A.VII.7</w:t>
      </w:r>
      <w:r>
        <w:rPr>
          <w:rFonts w:asciiTheme="minorHAnsi" w:eastAsiaTheme="minorEastAsia" w:hAnsiTheme="minorHAnsi" w:cstheme="minorBidi"/>
          <w:noProof/>
          <w:kern w:val="2"/>
          <w:sz w:val="22"/>
          <w:lang w:eastAsia="cs-CZ"/>
          <w14:ligatures w14:val="standardContextual"/>
        </w:rPr>
        <w:tab/>
      </w:r>
      <w:r>
        <w:rPr>
          <w:noProof/>
        </w:rPr>
        <w:t>Ochrana přírody</w:t>
      </w:r>
      <w:r>
        <w:rPr>
          <w:noProof/>
        </w:rPr>
        <w:tab/>
      </w:r>
      <w:r>
        <w:rPr>
          <w:noProof/>
        </w:rPr>
        <w:fldChar w:fldCharType="begin"/>
      </w:r>
      <w:r>
        <w:rPr>
          <w:noProof/>
        </w:rPr>
        <w:instrText xml:space="preserve"> PAGEREF _Toc138848138 \h </w:instrText>
      </w:r>
      <w:r>
        <w:rPr>
          <w:noProof/>
        </w:rPr>
      </w:r>
      <w:r>
        <w:rPr>
          <w:noProof/>
        </w:rPr>
        <w:fldChar w:fldCharType="separate"/>
      </w:r>
      <w:r w:rsidR="00F45A70">
        <w:rPr>
          <w:noProof/>
        </w:rPr>
        <w:t>132</w:t>
      </w:r>
      <w:r>
        <w:rPr>
          <w:noProof/>
        </w:rPr>
        <w:fldChar w:fldCharType="end"/>
      </w:r>
    </w:p>
    <w:p w14:paraId="66CA6595" w14:textId="2A734048"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A.VII.8</w:t>
      </w:r>
      <w:r>
        <w:rPr>
          <w:rFonts w:asciiTheme="minorHAnsi" w:eastAsiaTheme="minorEastAsia" w:hAnsiTheme="minorHAnsi" w:cstheme="minorBidi"/>
          <w:noProof/>
          <w:kern w:val="2"/>
          <w:sz w:val="22"/>
          <w:lang w:eastAsia="cs-CZ"/>
          <w14:ligatures w14:val="standardContextual"/>
        </w:rPr>
        <w:tab/>
      </w:r>
      <w:r>
        <w:rPr>
          <w:noProof/>
        </w:rPr>
        <w:t>Krajina, hmotný majetek, nemovité památky a kulturní dědictví</w:t>
      </w:r>
      <w:r>
        <w:rPr>
          <w:noProof/>
        </w:rPr>
        <w:tab/>
      </w:r>
      <w:r>
        <w:rPr>
          <w:noProof/>
        </w:rPr>
        <w:fldChar w:fldCharType="begin"/>
      </w:r>
      <w:r>
        <w:rPr>
          <w:noProof/>
        </w:rPr>
        <w:instrText xml:space="preserve"> PAGEREF _Toc138848139 \h </w:instrText>
      </w:r>
      <w:r>
        <w:rPr>
          <w:noProof/>
        </w:rPr>
      </w:r>
      <w:r>
        <w:rPr>
          <w:noProof/>
        </w:rPr>
        <w:fldChar w:fldCharType="separate"/>
      </w:r>
      <w:r w:rsidR="00F45A70">
        <w:rPr>
          <w:noProof/>
        </w:rPr>
        <w:t>133</w:t>
      </w:r>
      <w:r>
        <w:rPr>
          <w:noProof/>
        </w:rPr>
        <w:fldChar w:fldCharType="end"/>
      </w:r>
    </w:p>
    <w:p w14:paraId="7DA7EB41" w14:textId="1E23318C"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A.VII.9</w:t>
      </w:r>
      <w:r>
        <w:rPr>
          <w:rFonts w:asciiTheme="minorHAnsi" w:eastAsiaTheme="minorEastAsia" w:hAnsiTheme="minorHAnsi" w:cstheme="minorBidi"/>
          <w:noProof/>
          <w:kern w:val="2"/>
          <w:sz w:val="22"/>
          <w:lang w:eastAsia="cs-CZ"/>
          <w14:ligatures w14:val="standardContextual"/>
        </w:rPr>
        <w:tab/>
      </w:r>
      <w:r>
        <w:rPr>
          <w:noProof/>
        </w:rPr>
        <w:t>Hluk a vibrace</w:t>
      </w:r>
      <w:r>
        <w:rPr>
          <w:noProof/>
        </w:rPr>
        <w:tab/>
      </w:r>
      <w:r>
        <w:rPr>
          <w:noProof/>
        </w:rPr>
        <w:fldChar w:fldCharType="begin"/>
      </w:r>
      <w:r>
        <w:rPr>
          <w:noProof/>
        </w:rPr>
        <w:instrText xml:space="preserve"> PAGEREF _Toc138848140 \h </w:instrText>
      </w:r>
      <w:r>
        <w:rPr>
          <w:noProof/>
        </w:rPr>
      </w:r>
      <w:r>
        <w:rPr>
          <w:noProof/>
        </w:rPr>
        <w:fldChar w:fldCharType="separate"/>
      </w:r>
      <w:r w:rsidR="00F45A70">
        <w:rPr>
          <w:noProof/>
        </w:rPr>
        <w:t>137</w:t>
      </w:r>
      <w:r>
        <w:rPr>
          <w:noProof/>
        </w:rPr>
        <w:fldChar w:fldCharType="end"/>
      </w:r>
    </w:p>
    <w:p w14:paraId="2DF90C8F" w14:textId="2ABEBAFE"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A.VII.10</w:t>
      </w:r>
      <w:r>
        <w:rPr>
          <w:rFonts w:asciiTheme="minorHAnsi" w:eastAsiaTheme="minorEastAsia" w:hAnsiTheme="minorHAnsi" w:cstheme="minorBidi"/>
          <w:noProof/>
          <w:kern w:val="2"/>
          <w:sz w:val="22"/>
          <w:lang w:eastAsia="cs-CZ"/>
          <w14:ligatures w14:val="standardContextual"/>
        </w:rPr>
        <w:tab/>
      </w:r>
      <w:r>
        <w:rPr>
          <w:noProof/>
        </w:rPr>
        <w:t>Obyvatelstvo a veřejné (lidské) zdraví</w:t>
      </w:r>
      <w:r>
        <w:rPr>
          <w:noProof/>
        </w:rPr>
        <w:tab/>
      </w:r>
      <w:r>
        <w:rPr>
          <w:noProof/>
        </w:rPr>
        <w:fldChar w:fldCharType="begin"/>
      </w:r>
      <w:r>
        <w:rPr>
          <w:noProof/>
        </w:rPr>
        <w:instrText xml:space="preserve"> PAGEREF _Toc138848141 \h </w:instrText>
      </w:r>
      <w:r>
        <w:rPr>
          <w:noProof/>
        </w:rPr>
      </w:r>
      <w:r>
        <w:rPr>
          <w:noProof/>
        </w:rPr>
        <w:fldChar w:fldCharType="separate"/>
      </w:r>
      <w:r w:rsidR="00F45A70">
        <w:rPr>
          <w:noProof/>
        </w:rPr>
        <w:t>139</w:t>
      </w:r>
      <w:r>
        <w:rPr>
          <w:noProof/>
        </w:rPr>
        <w:fldChar w:fldCharType="end"/>
      </w:r>
    </w:p>
    <w:p w14:paraId="46638BD0" w14:textId="2DEE7246"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A.VII.11</w:t>
      </w:r>
      <w:r>
        <w:rPr>
          <w:rFonts w:asciiTheme="minorHAnsi" w:eastAsiaTheme="minorEastAsia" w:hAnsiTheme="minorHAnsi" w:cstheme="minorBidi"/>
          <w:noProof/>
          <w:kern w:val="2"/>
          <w:sz w:val="22"/>
          <w:lang w:eastAsia="cs-CZ"/>
          <w14:ligatures w14:val="standardContextual"/>
        </w:rPr>
        <w:tab/>
      </w:r>
      <w:r>
        <w:rPr>
          <w:noProof/>
        </w:rPr>
        <w:t>Kumulativní a synergické vlivy</w:t>
      </w:r>
      <w:r>
        <w:rPr>
          <w:noProof/>
        </w:rPr>
        <w:tab/>
      </w:r>
      <w:r>
        <w:rPr>
          <w:noProof/>
        </w:rPr>
        <w:fldChar w:fldCharType="begin"/>
      </w:r>
      <w:r>
        <w:rPr>
          <w:noProof/>
        </w:rPr>
        <w:instrText xml:space="preserve"> PAGEREF _Toc138848142 \h </w:instrText>
      </w:r>
      <w:r>
        <w:rPr>
          <w:noProof/>
        </w:rPr>
      </w:r>
      <w:r>
        <w:rPr>
          <w:noProof/>
        </w:rPr>
        <w:fldChar w:fldCharType="separate"/>
      </w:r>
      <w:r w:rsidR="00F45A70">
        <w:rPr>
          <w:noProof/>
        </w:rPr>
        <w:t>145</w:t>
      </w:r>
      <w:r>
        <w:rPr>
          <w:noProof/>
        </w:rPr>
        <w:fldChar w:fldCharType="end"/>
      </w:r>
    </w:p>
    <w:p w14:paraId="73F77770" w14:textId="0DD8340A"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A.VII.12</w:t>
      </w:r>
      <w:r>
        <w:rPr>
          <w:rFonts w:asciiTheme="minorHAnsi" w:eastAsiaTheme="minorEastAsia" w:hAnsiTheme="minorHAnsi" w:cstheme="minorBidi"/>
          <w:noProof/>
          <w:kern w:val="2"/>
          <w:sz w:val="22"/>
          <w:lang w:eastAsia="cs-CZ"/>
          <w14:ligatures w14:val="standardContextual"/>
        </w:rPr>
        <w:tab/>
      </w:r>
      <w:r>
        <w:rPr>
          <w:noProof/>
        </w:rPr>
        <w:t>Vzájemné porovnání variant – shrnutí</w:t>
      </w:r>
      <w:r>
        <w:rPr>
          <w:noProof/>
        </w:rPr>
        <w:tab/>
      </w:r>
      <w:r>
        <w:rPr>
          <w:noProof/>
        </w:rPr>
        <w:fldChar w:fldCharType="begin"/>
      </w:r>
      <w:r>
        <w:rPr>
          <w:noProof/>
        </w:rPr>
        <w:instrText xml:space="preserve"> PAGEREF _Toc138848143 \h </w:instrText>
      </w:r>
      <w:r>
        <w:rPr>
          <w:noProof/>
        </w:rPr>
      </w:r>
      <w:r>
        <w:rPr>
          <w:noProof/>
        </w:rPr>
        <w:fldChar w:fldCharType="separate"/>
      </w:r>
      <w:r w:rsidR="00F45A70">
        <w:rPr>
          <w:noProof/>
        </w:rPr>
        <w:t>152</w:t>
      </w:r>
      <w:r>
        <w:rPr>
          <w:noProof/>
        </w:rPr>
        <w:fldChar w:fldCharType="end"/>
      </w:r>
    </w:p>
    <w:p w14:paraId="77ADEB76" w14:textId="567FC15B" w:rsidR="00FC24B6" w:rsidRDefault="00FC24B6">
      <w:pPr>
        <w:pStyle w:val="Obsah2"/>
        <w:rPr>
          <w:rFonts w:asciiTheme="minorHAnsi" w:eastAsiaTheme="minorEastAsia" w:hAnsiTheme="minorHAnsi" w:cstheme="minorBidi"/>
          <w:noProof/>
          <w:kern w:val="2"/>
          <w:sz w:val="22"/>
          <w:lang w:eastAsia="cs-CZ"/>
          <w14:ligatures w14:val="standardContextual"/>
        </w:rPr>
      </w:pPr>
      <w:r>
        <w:rPr>
          <w:noProof/>
        </w:rPr>
        <w:t>A.VIII</w:t>
      </w:r>
      <w:r>
        <w:rPr>
          <w:rFonts w:asciiTheme="minorHAnsi" w:eastAsiaTheme="minorEastAsia" w:hAnsiTheme="minorHAnsi" w:cstheme="minorBidi"/>
          <w:noProof/>
          <w:kern w:val="2"/>
          <w:sz w:val="22"/>
          <w:lang w:eastAsia="cs-CZ"/>
          <w14:ligatures w14:val="standardContextual"/>
        </w:rPr>
        <w:tab/>
      </w:r>
      <w:r>
        <w:rPr>
          <w:noProof/>
        </w:rPr>
        <w:t>Popis navrhovaných opatření pro předcházení, snížení nebo kompenzaci všech zjištěných nebo předpokládaných závažných záporných vlivů na životní prostředí</w:t>
      </w:r>
      <w:r>
        <w:rPr>
          <w:noProof/>
        </w:rPr>
        <w:tab/>
      </w:r>
      <w:r>
        <w:rPr>
          <w:noProof/>
        </w:rPr>
        <w:fldChar w:fldCharType="begin"/>
      </w:r>
      <w:r>
        <w:rPr>
          <w:noProof/>
        </w:rPr>
        <w:instrText xml:space="preserve"> PAGEREF _Toc138848144 \h </w:instrText>
      </w:r>
      <w:r>
        <w:rPr>
          <w:noProof/>
        </w:rPr>
      </w:r>
      <w:r>
        <w:rPr>
          <w:noProof/>
        </w:rPr>
        <w:fldChar w:fldCharType="separate"/>
      </w:r>
      <w:r w:rsidR="00F45A70">
        <w:rPr>
          <w:noProof/>
        </w:rPr>
        <w:t>155</w:t>
      </w:r>
      <w:r>
        <w:rPr>
          <w:noProof/>
        </w:rPr>
        <w:fldChar w:fldCharType="end"/>
      </w:r>
    </w:p>
    <w:p w14:paraId="662EFDBC" w14:textId="1FDBFD61" w:rsidR="00FC24B6" w:rsidRDefault="00FC24B6">
      <w:pPr>
        <w:pStyle w:val="Obsah2"/>
        <w:rPr>
          <w:rFonts w:asciiTheme="minorHAnsi" w:eastAsiaTheme="minorEastAsia" w:hAnsiTheme="minorHAnsi" w:cstheme="minorBidi"/>
          <w:noProof/>
          <w:kern w:val="2"/>
          <w:sz w:val="22"/>
          <w:lang w:eastAsia="cs-CZ"/>
          <w14:ligatures w14:val="standardContextual"/>
        </w:rPr>
      </w:pPr>
      <w:r>
        <w:rPr>
          <w:noProof/>
        </w:rPr>
        <w:t>A.IX</w:t>
      </w:r>
      <w:r>
        <w:rPr>
          <w:rFonts w:asciiTheme="minorHAnsi" w:eastAsiaTheme="minorEastAsia" w:hAnsiTheme="minorHAnsi" w:cstheme="minorBidi"/>
          <w:noProof/>
          <w:kern w:val="2"/>
          <w:sz w:val="22"/>
          <w:lang w:eastAsia="cs-CZ"/>
          <w14:ligatures w14:val="standardContextual"/>
        </w:rPr>
        <w:tab/>
      </w:r>
      <w:r>
        <w:rPr>
          <w:noProof/>
        </w:rPr>
        <w:t>Zhodnocení způsobu zapracování vnitrostátních cílů ochrany životního prostředí do územně plánovací dokumentace a jejich zohlednění při výběru variant řešení.</w:t>
      </w:r>
      <w:r>
        <w:rPr>
          <w:noProof/>
        </w:rPr>
        <w:tab/>
      </w:r>
      <w:r>
        <w:rPr>
          <w:noProof/>
        </w:rPr>
        <w:fldChar w:fldCharType="begin"/>
      </w:r>
      <w:r>
        <w:rPr>
          <w:noProof/>
        </w:rPr>
        <w:instrText xml:space="preserve"> PAGEREF _Toc138848145 \h </w:instrText>
      </w:r>
      <w:r>
        <w:rPr>
          <w:noProof/>
        </w:rPr>
      </w:r>
      <w:r>
        <w:rPr>
          <w:noProof/>
        </w:rPr>
        <w:fldChar w:fldCharType="separate"/>
      </w:r>
      <w:r w:rsidR="00F45A70">
        <w:rPr>
          <w:noProof/>
        </w:rPr>
        <w:t>159</w:t>
      </w:r>
      <w:r>
        <w:rPr>
          <w:noProof/>
        </w:rPr>
        <w:fldChar w:fldCharType="end"/>
      </w:r>
    </w:p>
    <w:p w14:paraId="33C8F67B" w14:textId="33828099" w:rsidR="00FC24B6" w:rsidRDefault="00FC24B6">
      <w:pPr>
        <w:pStyle w:val="Obsah2"/>
        <w:rPr>
          <w:rFonts w:asciiTheme="minorHAnsi" w:eastAsiaTheme="minorEastAsia" w:hAnsiTheme="minorHAnsi" w:cstheme="minorBidi"/>
          <w:noProof/>
          <w:kern w:val="2"/>
          <w:sz w:val="22"/>
          <w:lang w:eastAsia="cs-CZ"/>
          <w14:ligatures w14:val="standardContextual"/>
        </w:rPr>
      </w:pPr>
      <w:r>
        <w:rPr>
          <w:noProof/>
        </w:rPr>
        <w:t>A.X</w:t>
      </w:r>
      <w:r>
        <w:rPr>
          <w:rFonts w:asciiTheme="minorHAnsi" w:eastAsiaTheme="minorEastAsia" w:hAnsiTheme="minorHAnsi" w:cstheme="minorBidi"/>
          <w:noProof/>
          <w:kern w:val="2"/>
          <w:sz w:val="22"/>
          <w:lang w:eastAsia="cs-CZ"/>
          <w14:ligatures w14:val="standardContextual"/>
        </w:rPr>
        <w:tab/>
      </w:r>
      <w:r>
        <w:rPr>
          <w:noProof/>
        </w:rPr>
        <w:t>Návrh ukazatelů pro sledování vlivu územně plánovací dokumentace na životní prostředí.</w:t>
      </w:r>
      <w:r>
        <w:rPr>
          <w:noProof/>
        </w:rPr>
        <w:tab/>
      </w:r>
      <w:r>
        <w:rPr>
          <w:noProof/>
        </w:rPr>
        <w:fldChar w:fldCharType="begin"/>
      </w:r>
      <w:r>
        <w:rPr>
          <w:noProof/>
        </w:rPr>
        <w:instrText xml:space="preserve"> PAGEREF _Toc138848146 \h </w:instrText>
      </w:r>
      <w:r>
        <w:rPr>
          <w:noProof/>
        </w:rPr>
      </w:r>
      <w:r>
        <w:rPr>
          <w:noProof/>
        </w:rPr>
        <w:fldChar w:fldCharType="separate"/>
      </w:r>
      <w:r w:rsidR="00F45A70">
        <w:rPr>
          <w:noProof/>
        </w:rPr>
        <w:t>164</w:t>
      </w:r>
      <w:r>
        <w:rPr>
          <w:noProof/>
        </w:rPr>
        <w:fldChar w:fldCharType="end"/>
      </w:r>
    </w:p>
    <w:p w14:paraId="3FA496B7" w14:textId="0CAEB92C" w:rsidR="00FC24B6" w:rsidRDefault="00FC24B6">
      <w:pPr>
        <w:pStyle w:val="Obsah2"/>
        <w:rPr>
          <w:rFonts w:asciiTheme="minorHAnsi" w:eastAsiaTheme="minorEastAsia" w:hAnsiTheme="minorHAnsi" w:cstheme="minorBidi"/>
          <w:noProof/>
          <w:kern w:val="2"/>
          <w:sz w:val="22"/>
          <w:lang w:eastAsia="cs-CZ"/>
          <w14:ligatures w14:val="standardContextual"/>
        </w:rPr>
      </w:pPr>
      <w:r>
        <w:rPr>
          <w:noProof/>
        </w:rPr>
        <w:t>A.XI</w:t>
      </w:r>
      <w:r>
        <w:rPr>
          <w:rFonts w:asciiTheme="minorHAnsi" w:eastAsiaTheme="minorEastAsia" w:hAnsiTheme="minorHAnsi" w:cstheme="minorBidi"/>
          <w:noProof/>
          <w:kern w:val="2"/>
          <w:sz w:val="22"/>
          <w:lang w:eastAsia="cs-CZ"/>
          <w14:ligatures w14:val="standardContextual"/>
        </w:rPr>
        <w:tab/>
      </w:r>
      <w:r>
        <w:rPr>
          <w:noProof/>
        </w:rPr>
        <w:t>Návrh požadavků na rozhodování ve vymezených plochách a koridorech z hlediska minimalizace negativních vlivů na životní prostředí</w:t>
      </w:r>
      <w:r>
        <w:rPr>
          <w:noProof/>
        </w:rPr>
        <w:tab/>
      </w:r>
      <w:r>
        <w:rPr>
          <w:noProof/>
        </w:rPr>
        <w:fldChar w:fldCharType="begin"/>
      </w:r>
      <w:r>
        <w:rPr>
          <w:noProof/>
        </w:rPr>
        <w:instrText xml:space="preserve"> PAGEREF _Toc138848147 \h </w:instrText>
      </w:r>
      <w:r>
        <w:rPr>
          <w:noProof/>
        </w:rPr>
      </w:r>
      <w:r>
        <w:rPr>
          <w:noProof/>
        </w:rPr>
        <w:fldChar w:fldCharType="separate"/>
      </w:r>
      <w:r w:rsidR="00F45A70">
        <w:rPr>
          <w:noProof/>
        </w:rPr>
        <w:t>165</w:t>
      </w:r>
      <w:r>
        <w:rPr>
          <w:noProof/>
        </w:rPr>
        <w:fldChar w:fldCharType="end"/>
      </w:r>
    </w:p>
    <w:p w14:paraId="2836AFA4" w14:textId="4C6559BE" w:rsidR="00FC24B6" w:rsidRDefault="00FC24B6">
      <w:pPr>
        <w:pStyle w:val="Obsah2"/>
        <w:rPr>
          <w:rFonts w:asciiTheme="minorHAnsi" w:eastAsiaTheme="minorEastAsia" w:hAnsiTheme="minorHAnsi" w:cstheme="minorBidi"/>
          <w:noProof/>
          <w:kern w:val="2"/>
          <w:sz w:val="22"/>
          <w:lang w:eastAsia="cs-CZ"/>
          <w14:ligatures w14:val="standardContextual"/>
        </w:rPr>
      </w:pPr>
      <w:r>
        <w:rPr>
          <w:noProof/>
        </w:rPr>
        <w:t>A.XII</w:t>
      </w:r>
      <w:r>
        <w:rPr>
          <w:rFonts w:asciiTheme="minorHAnsi" w:eastAsiaTheme="minorEastAsia" w:hAnsiTheme="minorHAnsi" w:cstheme="minorBidi"/>
          <w:noProof/>
          <w:kern w:val="2"/>
          <w:sz w:val="22"/>
          <w:lang w:eastAsia="cs-CZ"/>
          <w14:ligatures w14:val="standardContextual"/>
        </w:rPr>
        <w:tab/>
      </w:r>
      <w:r>
        <w:rPr>
          <w:noProof/>
        </w:rPr>
        <w:t>Netechnické shrnutí výše uvedených údajů.</w:t>
      </w:r>
      <w:r>
        <w:rPr>
          <w:noProof/>
        </w:rPr>
        <w:tab/>
      </w:r>
      <w:r>
        <w:rPr>
          <w:noProof/>
        </w:rPr>
        <w:fldChar w:fldCharType="begin"/>
      </w:r>
      <w:r>
        <w:rPr>
          <w:noProof/>
        </w:rPr>
        <w:instrText xml:space="preserve"> PAGEREF _Toc138848148 \h </w:instrText>
      </w:r>
      <w:r>
        <w:rPr>
          <w:noProof/>
        </w:rPr>
      </w:r>
      <w:r>
        <w:rPr>
          <w:noProof/>
        </w:rPr>
        <w:fldChar w:fldCharType="separate"/>
      </w:r>
      <w:r w:rsidR="00F45A70">
        <w:rPr>
          <w:noProof/>
        </w:rPr>
        <w:t>166</w:t>
      </w:r>
      <w:r>
        <w:rPr>
          <w:noProof/>
        </w:rPr>
        <w:fldChar w:fldCharType="end"/>
      </w:r>
    </w:p>
    <w:p w14:paraId="54FCF327" w14:textId="4F45EABC" w:rsidR="00FC24B6" w:rsidRDefault="00FC24B6">
      <w:pPr>
        <w:pStyle w:val="Obsah1"/>
        <w:rPr>
          <w:rFonts w:asciiTheme="minorHAnsi" w:eastAsiaTheme="minorEastAsia" w:hAnsiTheme="minorHAnsi" w:cstheme="minorBidi"/>
          <w:caps w:val="0"/>
          <w:noProof/>
          <w:color w:val="auto"/>
          <w:kern w:val="2"/>
          <w:sz w:val="22"/>
          <w:lang w:eastAsia="cs-CZ"/>
          <w14:ligatures w14:val="standardContextual"/>
        </w:rPr>
      </w:pPr>
      <w:r>
        <w:rPr>
          <w:noProof/>
        </w:rPr>
        <w:t>ČÁST B</w:t>
      </w:r>
      <w:r>
        <w:rPr>
          <w:rFonts w:asciiTheme="minorHAnsi" w:eastAsiaTheme="minorEastAsia" w:hAnsiTheme="minorHAnsi" w:cstheme="minorBidi"/>
          <w:caps w:val="0"/>
          <w:noProof/>
          <w:color w:val="auto"/>
          <w:kern w:val="2"/>
          <w:sz w:val="22"/>
          <w:lang w:eastAsia="cs-CZ"/>
          <w14:ligatures w14:val="standardContextual"/>
        </w:rPr>
        <w:tab/>
      </w:r>
      <w:r>
        <w:rPr>
          <w:noProof/>
        </w:rPr>
        <w:t>Vyhodnocení vlivů územního plánu na evropsky významné lokality nebo ptačí oblasti</w:t>
      </w:r>
      <w:r>
        <w:rPr>
          <w:noProof/>
        </w:rPr>
        <w:tab/>
      </w:r>
      <w:r>
        <w:rPr>
          <w:noProof/>
        </w:rPr>
        <w:fldChar w:fldCharType="begin"/>
      </w:r>
      <w:r>
        <w:rPr>
          <w:noProof/>
        </w:rPr>
        <w:instrText xml:space="preserve"> PAGEREF _Toc138848149 \h </w:instrText>
      </w:r>
      <w:r>
        <w:rPr>
          <w:noProof/>
        </w:rPr>
      </w:r>
      <w:r>
        <w:rPr>
          <w:noProof/>
        </w:rPr>
        <w:fldChar w:fldCharType="separate"/>
      </w:r>
      <w:r w:rsidR="00F45A70">
        <w:rPr>
          <w:noProof/>
        </w:rPr>
        <w:t>174</w:t>
      </w:r>
      <w:r>
        <w:rPr>
          <w:noProof/>
        </w:rPr>
        <w:fldChar w:fldCharType="end"/>
      </w:r>
    </w:p>
    <w:p w14:paraId="07091170" w14:textId="020DF22F" w:rsidR="00FC24B6" w:rsidRDefault="00FC24B6">
      <w:pPr>
        <w:pStyle w:val="Obsah1"/>
        <w:rPr>
          <w:rFonts w:asciiTheme="minorHAnsi" w:eastAsiaTheme="minorEastAsia" w:hAnsiTheme="minorHAnsi" w:cstheme="minorBidi"/>
          <w:caps w:val="0"/>
          <w:noProof/>
          <w:color w:val="auto"/>
          <w:kern w:val="2"/>
          <w:sz w:val="22"/>
          <w:lang w:eastAsia="cs-CZ"/>
          <w14:ligatures w14:val="standardContextual"/>
        </w:rPr>
      </w:pPr>
      <w:r>
        <w:rPr>
          <w:noProof/>
        </w:rPr>
        <w:t>ČÁST C</w:t>
      </w:r>
      <w:r>
        <w:rPr>
          <w:rFonts w:asciiTheme="minorHAnsi" w:eastAsiaTheme="minorEastAsia" w:hAnsiTheme="minorHAnsi" w:cstheme="minorBidi"/>
          <w:caps w:val="0"/>
          <w:noProof/>
          <w:color w:val="auto"/>
          <w:kern w:val="2"/>
          <w:sz w:val="22"/>
          <w:lang w:eastAsia="cs-CZ"/>
          <w14:ligatures w14:val="standardContextual"/>
        </w:rPr>
        <w:tab/>
      </w:r>
      <w:r>
        <w:rPr>
          <w:noProof/>
        </w:rPr>
        <w:t>Vyhodnocení vlivů na skutečnosti zjištěné v ÚAP</w:t>
      </w:r>
      <w:r>
        <w:rPr>
          <w:noProof/>
        </w:rPr>
        <w:tab/>
      </w:r>
      <w:r>
        <w:rPr>
          <w:noProof/>
        </w:rPr>
        <w:fldChar w:fldCharType="begin"/>
      </w:r>
      <w:r>
        <w:rPr>
          <w:noProof/>
        </w:rPr>
        <w:instrText xml:space="preserve"> PAGEREF _Toc138848150 \h </w:instrText>
      </w:r>
      <w:r>
        <w:rPr>
          <w:noProof/>
        </w:rPr>
      </w:r>
      <w:r>
        <w:rPr>
          <w:noProof/>
        </w:rPr>
        <w:fldChar w:fldCharType="separate"/>
      </w:r>
      <w:r w:rsidR="00F45A70">
        <w:rPr>
          <w:noProof/>
        </w:rPr>
        <w:t>178</w:t>
      </w:r>
      <w:r>
        <w:rPr>
          <w:noProof/>
        </w:rPr>
        <w:fldChar w:fldCharType="end"/>
      </w:r>
    </w:p>
    <w:p w14:paraId="01EEA93E" w14:textId="5527C605" w:rsidR="00FC24B6" w:rsidRDefault="00FC24B6">
      <w:pPr>
        <w:pStyle w:val="Obsah2"/>
        <w:rPr>
          <w:rFonts w:asciiTheme="minorHAnsi" w:eastAsiaTheme="minorEastAsia" w:hAnsiTheme="minorHAnsi" w:cstheme="minorBidi"/>
          <w:noProof/>
          <w:kern w:val="2"/>
          <w:sz w:val="22"/>
          <w:lang w:eastAsia="cs-CZ"/>
          <w14:ligatures w14:val="standardContextual"/>
        </w:rPr>
      </w:pPr>
      <w:r>
        <w:rPr>
          <w:noProof/>
        </w:rPr>
        <w:t>C.I</w:t>
      </w:r>
      <w:r>
        <w:rPr>
          <w:rFonts w:asciiTheme="minorHAnsi" w:eastAsiaTheme="minorEastAsia" w:hAnsiTheme="minorHAnsi" w:cstheme="minorBidi"/>
          <w:noProof/>
          <w:kern w:val="2"/>
          <w:sz w:val="22"/>
          <w:lang w:eastAsia="cs-CZ"/>
          <w14:ligatures w14:val="standardContextual"/>
        </w:rPr>
        <w:tab/>
      </w:r>
      <w:r>
        <w:rPr>
          <w:noProof/>
        </w:rPr>
        <w:t>Vliv na eliminaci nebo snížení hrozeb a problémů řešeného území</w:t>
      </w:r>
      <w:r>
        <w:rPr>
          <w:noProof/>
        </w:rPr>
        <w:tab/>
      </w:r>
      <w:r>
        <w:rPr>
          <w:noProof/>
        </w:rPr>
        <w:fldChar w:fldCharType="begin"/>
      </w:r>
      <w:r>
        <w:rPr>
          <w:noProof/>
        </w:rPr>
        <w:instrText xml:space="preserve"> PAGEREF _Toc138848151 \h </w:instrText>
      </w:r>
      <w:r>
        <w:rPr>
          <w:noProof/>
        </w:rPr>
      </w:r>
      <w:r>
        <w:rPr>
          <w:noProof/>
        </w:rPr>
        <w:fldChar w:fldCharType="separate"/>
      </w:r>
      <w:r w:rsidR="00F45A70">
        <w:rPr>
          <w:noProof/>
        </w:rPr>
        <w:t>179</w:t>
      </w:r>
      <w:r>
        <w:rPr>
          <w:noProof/>
        </w:rPr>
        <w:fldChar w:fldCharType="end"/>
      </w:r>
    </w:p>
    <w:p w14:paraId="3BDF61CD" w14:textId="66381515" w:rsidR="00FC24B6" w:rsidRDefault="00FC24B6">
      <w:pPr>
        <w:pStyle w:val="Obsah2"/>
        <w:rPr>
          <w:rFonts w:asciiTheme="minorHAnsi" w:eastAsiaTheme="minorEastAsia" w:hAnsiTheme="minorHAnsi" w:cstheme="minorBidi"/>
          <w:noProof/>
          <w:kern w:val="2"/>
          <w:sz w:val="22"/>
          <w:lang w:eastAsia="cs-CZ"/>
          <w14:ligatures w14:val="standardContextual"/>
        </w:rPr>
      </w:pPr>
      <w:r>
        <w:rPr>
          <w:noProof/>
        </w:rPr>
        <w:t>C.II</w:t>
      </w:r>
      <w:r>
        <w:rPr>
          <w:rFonts w:asciiTheme="minorHAnsi" w:eastAsiaTheme="minorEastAsia" w:hAnsiTheme="minorHAnsi" w:cstheme="minorBidi"/>
          <w:noProof/>
          <w:kern w:val="2"/>
          <w:sz w:val="22"/>
          <w:lang w:eastAsia="cs-CZ"/>
          <w14:ligatures w14:val="standardContextual"/>
        </w:rPr>
        <w:tab/>
      </w:r>
      <w:r>
        <w:rPr>
          <w:noProof/>
        </w:rPr>
        <w:t>Vliv na sledované cíle a indikátory v oblasti soudržnosti společenství obyvatel města udržitelného rozvoje</w:t>
      </w:r>
      <w:r>
        <w:rPr>
          <w:noProof/>
        </w:rPr>
        <w:tab/>
      </w:r>
      <w:r>
        <w:rPr>
          <w:noProof/>
        </w:rPr>
        <w:fldChar w:fldCharType="begin"/>
      </w:r>
      <w:r>
        <w:rPr>
          <w:noProof/>
        </w:rPr>
        <w:instrText xml:space="preserve"> PAGEREF _Toc138848152 \h </w:instrText>
      </w:r>
      <w:r>
        <w:rPr>
          <w:noProof/>
        </w:rPr>
      </w:r>
      <w:r>
        <w:rPr>
          <w:noProof/>
        </w:rPr>
        <w:fldChar w:fldCharType="separate"/>
      </w:r>
      <w:r w:rsidR="00F45A70">
        <w:rPr>
          <w:noProof/>
        </w:rPr>
        <w:t>181</w:t>
      </w:r>
      <w:r>
        <w:rPr>
          <w:noProof/>
        </w:rPr>
        <w:fldChar w:fldCharType="end"/>
      </w:r>
    </w:p>
    <w:p w14:paraId="03B7CABF" w14:textId="26E14FC8" w:rsidR="00FC24B6" w:rsidRDefault="00FC24B6">
      <w:pPr>
        <w:pStyle w:val="Obsah2"/>
        <w:rPr>
          <w:rFonts w:asciiTheme="minorHAnsi" w:eastAsiaTheme="minorEastAsia" w:hAnsiTheme="minorHAnsi" w:cstheme="minorBidi"/>
          <w:noProof/>
          <w:kern w:val="2"/>
          <w:sz w:val="22"/>
          <w:lang w:eastAsia="cs-CZ"/>
          <w14:ligatures w14:val="standardContextual"/>
        </w:rPr>
      </w:pPr>
      <w:r>
        <w:rPr>
          <w:noProof/>
        </w:rPr>
        <w:t>C.III</w:t>
      </w:r>
      <w:r>
        <w:rPr>
          <w:rFonts w:asciiTheme="minorHAnsi" w:eastAsiaTheme="minorEastAsia" w:hAnsiTheme="minorHAnsi" w:cstheme="minorBidi"/>
          <w:noProof/>
          <w:kern w:val="2"/>
          <w:sz w:val="22"/>
          <w:lang w:eastAsia="cs-CZ"/>
          <w14:ligatures w14:val="standardContextual"/>
        </w:rPr>
        <w:tab/>
      </w:r>
      <w:r>
        <w:rPr>
          <w:noProof/>
        </w:rPr>
        <w:t>Vliv na sledované cíle a indikátory v oblasti ekonomického pilíře udržitelného rozvoje</w:t>
      </w:r>
      <w:r>
        <w:rPr>
          <w:noProof/>
        </w:rPr>
        <w:tab/>
      </w:r>
      <w:r>
        <w:rPr>
          <w:noProof/>
        </w:rPr>
        <w:fldChar w:fldCharType="begin"/>
      </w:r>
      <w:r>
        <w:rPr>
          <w:noProof/>
        </w:rPr>
        <w:instrText xml:space="preserve"> PAGEREF _Toc138848153 \h </w:instrText>
      </w:r>
      <w:r>
        <w:rPr>
          <w:noProof/>
        </w:rPr>
      </w:r>
      <w:r>
        <w:rPr>
          <w:noProof/>
        </w:rPr>
        <w:fldChar w:fldCharType="separate"/>
      </w:r>
      <w:r w:rsidR="00F45A70">
        <w:rPr>
          <w:noProof/>
        </w:rPr>
        <w:t>182</w:t>
      </w:r>
      <w:r>
        <w:rPr>
          <w:noProof/>
        </w:rPr>
        <w:fldChar w:fldCharType="end"/>
      </w:r>
    </w:p>
    <w:p w14:paraId="3CE9C0A0" w14:textId="212E8C2D" w:rsidR="00FC24B6" w:rsidRDefault="00FC24B6">
      <w:pPr>
        <w:pStyle w:val="Obsah2"/>
        <w:rPr>
          <w:rFonts w:asciiTheme="minorHAnsi" w:eastAsiaTheme="minorEastAsia" w:hAnsiTheme="minorHAnsi" w:cstheme="minorBidi"/>
          <w:noProof/>
          <w:kern w:val="2"/>
          <w:sz w:val="22"/>
          <w:lang w:eastAsia="cs-CZ"/>
          <w14:ligatures w14:val="standardContextual"/>
        </w:rPr>
      </w:pPr>
      <w:r>
        <w:rPr>
          <w:noProof/>
        </w:rPr>
        <w:t>C.IV</w:t>
      </w:r>
      <w:r>
        <w:rPr>
          <w:rFonts w:asciiTheme="minorHAnsi" w:eastAsiaTheme="minorEastAsia" w:hAnsiTheme="minorHAnsi" w:cstheme="minorBidi"/>
          <w:noProof/>
          <w:kern w:val="2"/>
          <w:sz w:val="22"/>
          <w:lang w:eastAsia="cs-CZ"/>
          <w14:ligatures w14:val="standardContextual"/>
        </w:rPr>
        <w:tab/>
      </w:r>
      <w:r>
        <w:rPr>
          <w:noProof/>
        </w:rPr>
        <w:t>Vliv na stav a vývoj hodnot řešeného území</w:t>
      </w:r>
      <w:r>
        <w:rPr>
          <w:noProof/>
        </w:rPr>
        <w:tab/>
      </w:r>
      <w:r>
        <w:rPr>
          <w:noProof/>
        </w:rPr>
        <w:fldChar w:fldCharType="begin"/>
      </w:r>
      <w:r>
        <w:rPr>
          <w:noProof/>
        </w:rPr>
        <w:instrText xml:space="preserve"> PAGEREF _Toc138848154 \h </w:instrText>
      </w:r>
      <w:r>
        <w:rPr>
          <w:noProof/>
        </w:rPr>
      </w:r>
      <w:r>
        <w:rPr>
          <w:noProof/>
        </w:rPr>
        <w:fldChar w:fldCharType="separate"/>
      </w:r>
      <w:r w:rsidR="00F45A70">
        <w:rPr>
          <w:noProof/>
        </w:rPr>
        <w:t>183</w:t>
      </w:r>
      <w:r>
        <w:rPr>
          <w:noProof/>
        </w:rPr>
        <w:fldChar w:fldCharType="end"/>
      </w:r>
    </w:p>
    <w:p w14:paraId="6E8F9FA6" w14:textId="36F53AC5" w:rsidR="00FC24B6" w:rsidRDefault="00FC24B6">
      <w:pPr>
        <w:pStyle w:val="Obsah1"/>
        <w:tabs>
          <w:tab w:val="left" w:pos="1418"/>
        </w:tabs>
        <w:rPr>
          <w:rFonts w:asciiTheme="minorHAnsi" w:eastAsiaTheme="minorEastAsia" w:hAnsiTheme="minorHAnsi" w:cstheme="minorBidi"/>
          <w:caps w:val="0"/>
          <w:noProof/>
          <w:color w:val="auto"/>
          <w:kern w:val="2"/>
          <w:sz w:val="22"/>
          <w:lang w:eastAsia="cs-CZ"/>
          <w14:ligatures w14:val="standardContextual"/>
        </w:rPr>
      </w:pPr>
      <w:r>
        <w:rPr>
          <w:noProof/>
        </w:rPr>
        <w:t>ČÁST D</w:t>
      </w:r>
      <w:r>
        <w:rPr>
          <w:rFonts w:asciiTheme="minorHAnsi" w:eastAsiaTheme="minorEastAsia" w:hAnsiTheme="minorHAnsi" w:cstheme="minorBidi"/>
          <w:caps w:val="0"/>
          <w:noProof/>
          <w:color w:val="auto"/>
          <w:kern w:val="2"/>
          <w:sz w:val="22"/>
          <w:lang w:eastAsia="cs-CZ"/>
          <w14:ligatures w14:val="standardContextual"/>
        </w:rPr>
        <w:tab/>
      </w:r>
      <w:r>
        <w:rPr>
          <w:noProof/>
        </w:rPr>
        <w:t>Případné vyhodnocení vlivů na jiné skutečnosti ovlivněné navrženým řešením, avšak nepodchycené v ÚAP, například skutečnosti zjištěné v doplňujících průzkumech a rozborech.</w:t>
      </w:r>
      <w:r>
        <w:rPr>
          <w:noProof/>
        </w:rPr>
        <w:tab/>
      </w:r>
      <w:r>
        <w:rPr>
          <w:noProof/>
        </w:rPr>
        <w:fldChar w:fldCharType="begin"/>
      </w:r>
      <w:r>
        <w:rPr>
          <w:noProof/>
        </w:rPr>
        <w:instrText xml:space="preserve"> PAGEREF _Toc138848155 \h </w:instrText>
      </w:r>
      <w:r>
        <w:rPr>
          <w:noProof/>
        </w:rPr>
      </w:r>
      <w:r>
        <w:rPr>
          <w:noProof/>
        </w:rPr>
        <w:fldChar w:fldCharType="separate"/>
      </w:r>
      <w:r w:rsidR="00F45A70">
        <w:rPr>
          <w:noProof/>
        </w:rPr>
        <w:t>187</w:t>
      </w:r>
      <w:r>
        <w:rPr>
          <w:noProof/>
        </w:rPr>
        <w:fldChar w:fldCharType="end"/>
      </w:r>
    </w:p>
    <w:p w14:paraId="16ECA83B" w14:textId="380961B8"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D.I.2</w:t>
      </w:r>
      <w:r>
        <w:rPr>
          <w:rFonts w:asciiTheme="minorHAnsi" w:eastAsiaTheme="minorEastAsia" w:hAnsiTheme="minorHAnsi" w:cstheme="minorBidi"/>
          <w:noProof/>
          <w:kern w:val="2"/>
          <w:sz w:val="22"/>
          <w:lang w:eastAsia="cs-CZ"/>
          <w14:ligatures w14:val="standardContextual"/>
        </w:rPr>
        <w:tab/>
      </w:r>
      <w:r>
        <w:rPr>
          <w:noProof/>
        </w:rPr>
        <w:t>Podmínky akceptovatelnosti z hlediska sociálního a ekonomického pilíře</w:t>
      </w:r>
      <w:r>
        <w:rPr>
          <w:noProof/>
        </w:rPr>
        <w:tab/>
      </w:r>
      <w:r>
        <w:rPr>
          <w:noProof/>
        </w:rPr>
        <w:fldChar w:fldCharType="begin"/>
      </w:r>
      <w:r>
        <w:rPr>
          <w:noProof/>
        </w:rPr>
        <w:instrText xml:space="preserve"> PAGEREF _Toc138848156 \h </w:instrText>
      </w:r>
      <w:r>
        <w:rPr>
          <w:noProof/>
        </w:rPr>
      </w:r>
      <w:r>
        <w:rPr>
          <w:noProof/>
        </w:rPr>
        <w:fldChar w:fldCharType="separate"/>
      </w:r>
      <w:r w:rsidR="00F45A70">
        <w:rPr>
          <w:noProof/>
        </w:rPr>
        <w:t>194</w:t>
      </w:r>
      <w:r>
        <w:rPr>
          <w:noProof/>
        </w:rPr>
        <w:fldChar w:fldCharType="end"/>
      </w:r>
    </w:p>
    <w:p w14:paraId="0FFE9BE7" w14:textId="41770BAA" w:rsidR="00FC24B6" w:rsidRDefault="00FC24B6">
      <w:pPr>
        <w:pStyle w:val="Obsah1"/>
        <w:rPr>
          <w:rFonts w:asciiTheme="minorHAnsi" w:eastAsiaTheme="minorEastAsia" w:hAnsiTheme="minorHAnsi" w:cstheme="minorBidi"/>
          <w:caps w:val="0"/>
          <w:noProof/>
          <w:color w:val="auto"/>
          <w:kern w:val="2"/>
          <w:sz w:val="22"/>
          <w:lang w:eastAsia="cs-CZ"/>
          <w14:ligatures w14:val="standardContextual"/>
        </w:rPr>
      </w:pPr>
      <w:r>
        <w:rPr>
          <w:noProof/>
        </w:rPr>
        <w:t>ČÁST E</w:t>
      </w:r>
      <w:r>
        <w:rPr>
          <w:rFonts w:asciiTheme="minorHAnsi" w:eastAsiaTheme="minorEastAsia" w:hAnsiTheme="minorHAnsi" w:cstheme="minorBidi"/>
          <w:caps w:val="0"/>
          <w:noProof/>
          <w:color w:val="auto"/>
          <w:kern w:val="2"/>
          <w:sz w:val="22"/>
          <w:lang w:eastAsia="cs-CZ"/>
          <w14:ligatures w14:val="standardContextual"/>
        </w:rPr>
        <w:tab/>
      </w:r>
      <w:r>
        <w:rPr>
          <w:noProof/>
        </w:rPr>
        <w:t>Vyhodnocení přínosu územního plánu k naplnění priorit územního plánování pro zajištění udržitelného rozvoje území obsažených v PÚR nebo v ZÚR.</w:t>
      </w:r>
      <w:r>
        <w:rPr>
          <w:noProof/>
        </w:rPr>
        <w:tab/>
      </w:r>
      <w:r>
        <w:rPr>
          <w:noProof/>
        </w:rPr>
        <w:fldChar w:fldCharType="begin"/>
      </w:r>
      <w:r>
        <w:rPr>
          <w:noProof/>
        </w:rPr>
        <w:instrText xml:space="preserve"> PAGEREF _Toc138848157 \h </w:instrText>
      </w:r>
      <w:r>
        <w:rPr>
          <w:noProof/>
        </w:rPr>
      </w:r>
      <w:r>
        <w:rPr>
          <w:noProof/>
        </w:rPr>
        <w:fldChar w:fldCharType="separate"/>
      </w:r>
      <w:r w:rsidR="00F45A70">
        <w:rPr>
          <w:noProof/>
        </w:rPr>
        <w:t>195</w:t>
      </w:r>
      <w:r>
        <w:rPr>
          <w:noProof/>
        </w:rPr>
        <w:fldChar w:fldCharType="end"/>
      </w:r>
    </w:p>
    <w:p w14:paraId="35AFB6CC" w14:textId="2599D909" w:rsidR="00FC24B6" w:rsidRDefault="00FC24B6">
      <w:pPr>
        <w:pStyle w:val="Obsah2"/>
        <w:rPr>
          <w:rFonts w:asciiTheme="minorHAnsi" w:eastAsiaTheme="minorEastAsia" w:hAnsiTheme="minorHAnsi" w:cstheme="minorBidi"/>
          <w:noProof/>
          <w:kern w:val="2"/>
          <w:sz w:val="22"/>
          <w:lang w:eastAsia="cs-CZ"/>
          <w14:ligatures w14:val="standardContextual"/>
        </w:rPr>
      </w:pPr>
      <w:r>
        <w:rPr>
          <w:noProof/>
        </w:rPr>
        <w:t>E.I</w:t>
      </w:r>
      <w:r>
        <w:rPr>
          <w:rFonts w:asciiTheme="minorHAnsi" w:eastAsiaTheme="minorEastAsia" w:hAnsiTheme="minorHAnsi" w:cstheme="minorBidi"/>
          <w:noProof/>
          <w:kern w:val="2"/>
          <w:sz w:val="22"/>
          <w:lang w:eastAsia="cs-CZ"/>
          <w14:ligatures w14:val="standardContextual"/>
        </w:rPr>
        <w:tab/>
      </w:r>
      <w:r>
        <w:rPr>
          <w:noProof/>
        </w:rPr>
        <w:t>Politika územního rozvoje ČR</w:t>
      </w:r>
      <w:r>
        <w:rPr>
          <w:noProof/>
        </w:rPr>
        <w:tab/>
      </w:r>
      <w:r>
        <w:rPr>
          <w:noProof/>
        </w:rPr>
        <w:fldChar w:fldCharType="begin"/>
      </w:r>
      <w:r>
        <w:rPr>
          <w:noProof/>
        </w:rPr>
        <w:instrText xml:space="preserve"> PAGEREF _Toc138848158 \h </w:instrText>
      </w:r>
      <w:r>
        <w:rPr>
          <w:noProof/>
        </w:rPr>
      </w:r>
      <w:r>
        <w:rPr>
          <w:noProof/>
        </w:rPr>
        <w:fldChar w:fldCharType="separate"/>
      </w:r>
      <w:r w:rsidR="00F45A70">
        <w:rPr>
          <w:noProof/>
        </w:rPr>
        <w:t>195</w:t>
      </w:r>
      <w:r>
        <w:rPr>
          <w:noProof/>
        </w:rPr>
        <w:fldChar w:fldCharType="end"/>
      </w:r>
    </w:p>
    <w:p w14:paraId="31048DB2" w14:textId="079627DB" w:rsidR="00FC24B6" w:rsidRDefault="00FC24B6">
      <w:pPr>
        <w:pStyle w:val="Obsah2"/>
        <w:rPr>
          <w:rFonts w:asciiTheme="minorHAnsi" w:eastAsiaTheme="minorEastAsia" w:hAnsiTheme="minorHAnsi" w:cstheme="minorBidi"/>
          <w:noProof/>
          <w:kern w:val="2"/>
          <w:sz w:val="22"/>
          <w:lang w:eastAsia="cs-CZ"/>
          <w14:ligatures w14:val="standardContextual"/>
        </w:rPr>
      </w:pPr>
      <w:r>
        <w:rPr>
          <w:noProof/>
        </w:rPr>
        <w:t>E.II</w:t>
      </w:r>
      <w:r>
        <w:rPr>
          <w:rFonts w:asciiTheme="minorHAnsi" w:eastAsiaTheme="minorEastAsia" w:hAnsiTheme="minorHAnsi" w:cstheme="minorBidi"/>
          <w:noProof/>
          <w:kern w:val="2"/>
          <w:sz w:val="22"/>
          <w:lang w:eastAsia="cs-CZ"/>
          <w14:ligatures w14:val="standardContextual"/>
        </w:rPr>
        <w:tab/>
      </w:r>
      <w:r>
        <w:rPr>
          <w:noProof/>
        </w:rPr>
        <w:t>Zásady územního rozvoje hl. města Prahy</w:t>
      </w:r>
      <w:r>
        <w:rPr>
          <w:noProof/>
        </w:rPr>
        <w:tab/>
      </w:r>
      <w:r>
        <w:rPr>
          <w:noProof/>
        </w:rPr>
        <w:fldChar w:fldCharType="begin"/>
      </w:r>
      <w:r>
        <w:rPr>
          <w:noProof/>
        </w:rPr>
        <w:instrText xml:space="preserve"> PAGEREF _Toc138848159 \h </w:instrText>
      </w:r>
      <w:r>
        <w:rPr>
          <w:noProof/>
        </w:rPr>
      </w:r>
      <w:r>
        <w:rPr>
          <w:noProof/>
        </w:rPr>
        <w:fldChar w:fldCharType="separate"/>
      </w:r>
      <w:r w:rsidR="00F45A70">
        <w:rPr>
          <w:noProof/>
        </w:rPr>
        <w:t>196</w:t>
      </w:r>
      <w:r>
        <w:rPr>
          <w:noProof/>
        </w:rPr>
        <w:fldChar w:fldCharType="end"/>
      </w:r>
    </w:p>
    <w:p w14:paraId="16BCBA7C" w14:textId="240DE611" w:rsidR="00FC24B6" w:rsidRDefault="00FC24B6">
      <w:pPr>
        <w:pStyle w:val="Obsah1"/>
        <w:rPr>
          <w:rFonts w:asciiTheme="minorHAnsi" w:eastAsiaTheme="minorEastAsia" w:hAnsiTheme="minorHAnsi" w:cstheme="minorBidi"/>
          <w:caps w:val="0"/>
          <w:noProof/>
          <w:color w:val="auto"/>
          <w:kern w:val="2"/>
          <w:sz w:val="22"/>
          <w:lang w:eastAsia="cs-CZ"/>
          <w14:ligatures w14:val="standardContextual"/>
        </w:rPr>
      </w:pPr>
      <w:r>
        <w:rPr>
          <w:noProof/>
        </w:rPr>
        <w:t>ČÁST F</w:t>
      </w:r>
      <w:r>
        <w:rPr>
          <w:rFonts w:asciiTheme="minorHAnsi" w:eastAsiaTheme="minorEastAsia" w:hAnsiTheme="minorHAnsi" w:cstheme="minorBidi"/>
          <w:caps w:val="0"/>
          <w:noProof/>
          <w:color w:val="auto"/>
          <w:kern w:val="2"/>
          <w:sz w:val="22"/>
          <w:lang w:eastAsia="cs-CZ"/>
          <w14:ligatures w14:val="standardContextual"/>
        </w:rPr>
        <w:tab/>
      </w:r>
      <w:r>
        <w:rPr>
          <w:noProof/>
        </w:rPr>
        <w:t>Vyhodnocení vlivů na udržitelný rozvoj území – shrnutí.</w:t>
      </w:r>
      <w:r>
        <w:rPr>
          <w:noProof/>
        </w:rPr>
        <w:tab/>
      </w:r>
      <w:r>
        <w:rPr>
          <w:noProof/>
        </w:rPr>
        <w:fldChar w:fldCharType="begin"/>
      </w:r>
      <w:r>
        <w:rPr>
          <w:noProof/>
        </w:rPr>
        <w:instrText xml:space="preserve"> PAGEREF _Toc138848160 \h </w:instrText>
      </w:r>
      <w:r>
        <w:rPr>
          <w:noProof/>
        </w:rPr>
      </w:r>
      <w:r>
        <w:rPr>
          <w:noProof/>
        </w:rPr>
        <w:fldChar w:fldCharType="separate"/>
      </w:r>
      <w:r w:rsidR="00F45A70">
        <w:rPr>
          <w:noProof/>
        </w:rPr>
        <w:t>198</w:t>
      </w:r>
      <w:r>
        <w:rPr>
          <w:noProof/>
        </w:rPr>
        <w:fldChar w:fldCharType="end"/>
      </w:r>
    </w:p>
    <w:p w14:paraId="614AF233" w14:textId="600EC256" w:rsidR="00FC24B6" w:rsidRDefault="00FC24B6">
      <w:pPr>
        <w:pStyle w:val="Obsah2"/>
        <w:rPr>
          <w:rFonts w:asciiTheme="minorHAnsi" w:eastAsiaTheme="minorEastAsia" w:hAnsiTheme="minorHAnsi" w:cstheme="minorBidi"/>
          <w:noProof/>
          <w:kern w:val="2"/>
          <w:sz w:val="22"/>
          <w:lang w:eastAsia="cs-CZ"/>
          <w14:ligatures w14:val="standardContextual"/>
        </w:rPr>
      </w:pPr>
      <w:r>
        <w:rPr>
          <w:noProof/>
        </w:rPr>
        <w:t>F.I</w:t>
      </w:r>
      <w:r>
        <w:rPr>
          <w:rFonts w:asciiTheme="minorHAnsi" w:eastAsiaTheme="minorEastAsia" w:hAnsiTheme="minorHAnsi" w:cstheme="minorBidi"/>
          <w:noProof/>
          <w:kern w:val="2"/>
          <w:sz w:val="22"/>
          <w:lang w:eastAsia="cs-CZ"/>
          <w14:ligatures w14:val="standardContextual"/>
        </w:rPr>
        <w:tab/>
      </w:r>
      <w:r>
        <w:rPr>
          <w:noProof/>
        </w:rPr>
        <w:t>Vyhodnocení vlivů územního plánu na zlepšování územních podmínek pro příznivé životní prostředí, pro hospodářský rozvoj a pro soudržnost společenství obyvatel území a jejich soulad.</w:t>
      </w:r>
      <w:r>
        <w:rPr>
          <w:noProof/>
        </w:rPr>
        <w:tab/>
      </w:r>
      <w:r>
        <w:rPr>
          <w:noProof/>
        </w:rPr>
        <w:tab/>
      </w:r>
      <w:r>
        <w:rPr>
          <w:noProof/>
        </w:rPr>
        <w:fldChar w:fldCharType="begin"/>
      </w:r>
      <w:r>
        <w:rPr>
          <w:noProof/>
        </w:rPr>
        <w:instrText xml:space="preserve"> PAGEREF _Toc138848161 \h </w:instrText>
      </w:r>
      <w:r>
        <w:rPr>
          <w:noProof/>
        </w:rPr>
      </w:r>
      <w:r>
        <w:rPr>
          <w:noProof/>
        </w:rPr>
        <w:fldChar w:fldCharType="separate"/>
      </w:r>
      <w:r w:rsidR="00F45A70">
        <w:rPr>
          <w:noProof/>
        </w:rPr>
        <w:t>198</w:t>
      </w:r>
      <w:r>
        <w:rPr>
          <w:noProof/>
        </w:rPr>
        <w:fldChar w:fldCharType="end"/>
      </w:r>
    </w:p>
    <w:p w14:paraId="133A6F7D" w14:textId="57500F62"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lang w:eastAsia="cs-CZ"/>
        </w:rPr>
        <w:t>F.I.1</w:t>
      </w:r>
      <w:r>
        <w:rPr>
          <w:rFonts w:asciiTheme="minorHAnsi" w:eastAsiaTheme="minorEastAsia" w:hAnsiTheme="minorHAnsi" w:cstheme="minorBidi"/>
          <w:noProof/>
          <w:kern w:val="2"/>
          <w:sz w:val="22"/>
          <w:lang w:eastAsia="cs-CZ"/>
          <w14:ligatures w14:val="standardContextual"/>
        </w:rPr>
        <w:tab/>
      </w:r>
      <w:r>
        <w:rPr>
          <w:noProof/>
          <w:lang w:eastAsia="cs-CZ"/>
        </w:rPr>
        <w:t>Disproporce a problémy k řešení v rámci územně plánovací dokumentace identifikované v ÚAP Prahy a jejich vazba k posuzované ÚPD</w:t>
      </w:r>
      <w:r>
        <w:rPr>
          <w:noProof/>
        </w:rPr>
        <w:tab/>
      </w:r>
      <w:r>
        <w:rPr>
          <w:noProof/>
        </w:rPr>
        <w:fldChar w:fldCharType="begin"/>
      </w:r>
      <w:r>
        <w:rPr>
          <w:noProof/>
        </w:rPr>
        <w:instrText xml:space="preserve"> PAGEREF _Toc138848162 \h </w:instrText>
      </w:r>
      <w:r>
        <w:rPr>
          <w:noProof/>
        </w:rPr>
      </w:r>
      <w:r>
        <w:rPr>
          <w:noProof/>
        </w:rPr>
        <w:fldChar w:fldCharType="separate"/>
      </w:r>
      <w:r w:rsidR="00F45A70">
        <w:rPr>
          <w:noProof/>
        </w:rPr>
        <w:t>198</w:t>
      </w:r>
      <w:r>
        <w:rPr>
          <w:noProof/>
        </w:rPr>
        <w:fldChar w:fldCharType="end"/>
      </w:r>
    </w:p>
    <w:p w14:paraId="43D3C389" w14:textId="644C4DC1"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F.I.2</w:t>
      </w:r>
      <w:r>
        <w:rPr>
          <w:rFonts w:asciiTheme="minorHAnsi" w:eastAsiaTheme="minorEastAsia" w:hAnsiTheme="minorHAnsi" w:cstheme="minorBidi"/>
          <w:noProof/>
          <w:kern w:val="2"/>
          <w:sz w:val="22"/>
          <w:lang w:eastAsia="cs-CZ"/>
          <w14:ligatures w14:val="standardContextual"/>
        </w:rPr>
        <w:tab/>
      </w:r>
      <w:r>
        <w:rPr>
          <w:noProof/>
        </w:rPr>
        <w:t>Disproporce mezi jednotlivými pilíři udržitelného rozvoje identifikované na základě Vyhodnocení vlivů posuzované ÚPD na udržitelný rozvoj území</w:t>
      </w:r>
      <w:r>
        <w:rPr>
          <w:noProof/>
        </w:rPr>
        <w:tab/>
      </w:r>
      <w:r>
        <w:rPr>
          <w:noProof/>
        </w:rPr>
        <w:fldChar w:fldCharType="begin"/>
      </w:r>
      <w:r>
        <w:rPr>
          <w:noProof/>
        </w:rPr>
        <w:instrText xml:space="preserve"> PAGEREF _Toc138848163 \h </w:instrText>
      </w:r>
      <w:r>
        <w:rPr>
          <w:noProof/>
        </w:rPr>
      </w:r>
      <w:r>
        <w:rPr>
          <w:noProof/>
        </w:rPr>
        <w:fldChar w:fldCharType="separate"/>
      </w:r>
      <w:r w:rsidR="00F45A70">
        <w:rPr>
          <w:noProof/>
        </w:rPr>
        <w:t>199</w:t>
      </w:r>
      <w:r>
        <w:rPr>
          <w:noProof/>
        </w:rPr>
        <w:fldChar w:fldCharType="end"/>
      </w:r>
    </w:p>
    <w:p w14:paraId="2E01304B" w14:textId="393CF030" w:rsidR="00FC24B6" w:rsidRDefault="00FC24B6">
      <w:pPr>
        <w:pStyle w:val="Obsah2"/>
        <w:rPr>
          <w:rFonts w:asciiTheme="minorHAnsi" w:eastAsiaTheme="minorEastAsia" w:hAnsiTheme="minorHAnsi" w:cstheme="minorBidi"/>
          <w:noProof/>
          <w:kern w:val="2"/>
          <w:sz w:val="22"/>
          <w:lang w:eastAsia="cs-CZ"/>
          <w14:ligatures w14:val="standardContextual"/>
        </w:rPr>
      </w:pPr>
      <w:r>
        <w:rPr>
          <w:noProof/>
        </w:rPr>
        <w:t>F.II</w:t>
      </w:r>
      <w:r>
        <w:rPr>
          <w:rFonts w:asciiTheme="minorHAnsi" w:eastAsiaTheme="minorEastAsia" w:hAnsiTheme="minorHAnsi" w:cstheme="minorBidi"/>
          <w:noProof/>
          <w:kern w:val="2"/>
          <w:sz w:val="22"/>
          <w:lang w:eastAsia="cs-CZ"/>
          <w14:ligatures w14:val="standardContextual"/>
        </w:rPr>
        <w:tab/>
      </w:r>
      <w:r>
        <w:rPr>
          <w:noProof/>
        </w:rPr>
        <w:t>Shrnutí přínosu územního plánu k vytváření podmínek pro předcházení zjištěným rizikům ovlivňujícím potřeby života současné generace obyvatel řešeného území a předpokládaným ohrožením podmínek života generací budoucích</w:t>
      </w:r>
      <w:r>
        <w:rPr>
          <w:noProof/>
        </w:rPr>
        <w:tab/>
      </w:r>
      <w:r>
        <w:rPr>
          <w:noProof/>
        </w:rPr>
        <w:fldChar w:fldCharType="begin"/>
      </w:r>
      <w:r>
        <w:rPr>
          <w:noProof/>
        </w:rPr>
        <w:instrText xml:space="preserve"> PAGEREF _Toc138848164 \h </w:instrText>
      </w:r>
      <w:r>
        <w:rPr>
          <w:noProof/>
        </w:rPr>
      </w:r>
      <w:r>
        <w:rPr>
          <w:noProof/>
        </w:rPr>
        <w:fldChar w:fldCharType="separate"/>
      </w:r>
      <w:r w:rsidR="00F45A70">
        <w:rPr>
          <w:noProof/>
        </w:rPr>
        <w:t>200</w:t>
      </w:r>
      <w:r>
        <w:rPr>
          <w:noProof/>
        </w:rPr>
        <w:fldChar w:fldCharType="end"/>
      </w:r>
    </w:p>
    <w:p w14:paraId="7EA678B2" w14:textId="65668E5D"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F.II.1</w:t>
      </w:r>
      <w:r>
        <w:rPr>
          <w:rFonts w:asciiTheme="minorHAnsi" w:eastAsiaTheme="minorEastAsia" w:hAnsiTheme="minorHAnsi" w:cstheme="minorBidi"/>
          <w:noProof/>
          <w:kern w:val="2"/>
          <w:sz w:val="22"/>
          <w:lang w:eastAsia="cs-CZ"/>
          <w14:ligatures w14:val="standardContextual"/>
        </w:rPr>
        <w:tab/>
      </w:r>
      <w:r>
        <w:rPr>
          <w:noProof/>
        </w:rPr>
        <w:t>Přínos předkládané ÚPD pro environmentální pilíř udržitelného rozvoje</w:t>
      </w:r>
      <w:r>
        <w:rPr>
          <w:noProof/>
        </w:rPr>
        <w:tab/>
      </w:r>
      <w:r>
        <w:rPr>
          <w:noProof/>
        </w:rPr>
        <w:fldChar w:fldCharType="begin"/>
      </w:r>
      <w:r>
        <w:rPr>
          <w:noProof/>
        </w:rPr>
        <w:instrText xml:space="preserve"> PAGEREF _Toc138848165 \h </w:instrText>
      </w:r>
      <w:r>
        <w:rPr>
          <w:noProof/>
        </w:rPr>
      </w:r>
      <w:r>
        <w:rPr>
          <w:noProof/>
        </w:rPr>
        <w:fldChar w:fldCharType="separate"/>
      </w:r>
      <w:r w:rsidR="00F45A70">
        <w:rPr>
          <w:noProof/>
        </w:rPr>
        <w:t>200</w:t>
      </w:r>
      <w:r>
        <w:rPr>
          <w:noProof/>
        </w:rPr>
        <w:fldChar w:fldCharType="end"/>
      </w:r>
    </w:p>
    <w:p w14:paraId="5371417E" w14:textId="38A61A08"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F.II.2</w:t>
      </w:r>
      <w:r>
        <w:rPr>
          <w:rFonts w:asciiTheme="minorHAnsi" w:eastAsiaTheme="minorEastAsia" w:hAnsiTheme="minorHAnsi" w:cstheme="minorBidi"/>
          <w:noProof/>
          <w:kern w:val="2"/>
          <w:sz w:val="22"/>
          <w:lang w:eastAsia="cs-CZ"/>
          <w14:ligatures w14:val="standardContextual"/>
        </w:rPr>
        <w:tab/>
      </w:r>
      <w:r>
        <w:rPr>
          <w:noProof/>
        </w:rPr>
        <w:t>Přínos předkládané ÚPD pro hospodářský rozvoj</w:t>
      </w:r>
      <w:r>
        <w:rPr>
          <w:noProof/>
        </w:rPr>
        <w:tab/>
      </w:r>
      <w:r>
        <w:rPr>
          <w:noProof/>
        </w:rPr>
        <w:fldChar w:fldCharType="begin"/>
      </w:r>
      <w:r>
        <w:rPr>
          <w:noProof/>
        </w:rPr>
        <w:instrText xml:space="preserve"> PAGEREF _Toc138848166 \h </w:instrText>
      </w:r>
      <w:r>
        <w:rPr>
          <w:noProof/>
        </w:rPr>
      </w:r>
      <w:r>
        <w:rPr>
          <w:noProof/>
        </w:rPr>
        <w:fldChar w:fldCharType="separate"/>
      </w:r>
      <w:r w:rsidR="00F45A70">
        <w:rPr>
          <w:noProof/>
        </w:rPr>
        <w:t>200</w:t>
      </w:r>
      <w:r>
        <w:rPr>
          <w:noProof/>
        </w:rPr>
        <w:fldChar w:fldCharType="end"/>
      </w:r>
    </w:p>
    <w:p w14:paraId="3AEA704A" w14:textId="0793EC75"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F.II.3</w:t>
      </w:r>
      <w:r>
        <w:rPr>
          <w:rFonts w:asciiTheme="minorHAnsi" w:eastAsiaTheme="minorEastAsia" w:hAnsiTheme="minorHAnsi" w:cstheme="minorBidi"/>
          <w:noProof/>
          <w:kern w:val="2"/>
          <w:sz w:val="22"/>
          <w:lang w:eastAsia="cs-CZ"/>
          <w14:ligatures w14:val="standardContextual"/>
        </w:rPr>
        <w:tab/>
      </w:r>
      <w:r>
        <w:rPr>
          <w:noProof/>
        </w:rPr>
        <w:t>Přínos předkládané ÚPD pro sociální vztahy a podmínky</w:t>
      </w:r>
      <w:r>
        <w:rPr>
          <w:noProof/>
        </w:rPr>
        <w:tab/>
      </w:r>
      <w:r>
        <w:rPr>
          <w:noProof/>
        </w:rPr>
        <w:fldChar w:fldCharType="begin"/>
      </w:r>
      <w:r>
        <w:rPr>
          <w:noProof/>
        </w:rPr>
        <w:instrText xml:space="preserve"> PAGEREF _Toc138848167 \h </w:instrText>
      </w:r>
      <w:r>
        <w:rPr>
          <w:noProof/>
        </w:rPr>
      </w:r>
      <w:r>
        <w:rPr>
          <w:noProof/>
        </w:rPr>
        <w:fldChar w:fldCharType="separate"/>
      </w:r>
      <w:r w:rsidR="00F45A70">
        <w:rPr>
          <w:noProof/>
        </w:rPr>
        <w:t>200</w:t>
      </w:r>
      <w:r>
        <w:rPr>
          <w:noProof/>
        </w:rPr>
        <w:fldChar w:fldCharType="end"/>
      </w:r>
    </w:p>
    <w:p w14:paraId="4EE2A7D7" w14:textId="2F589DF5"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lastRenderedPageBreak/>
        <w:t>F.II.4</w:t>
      </w:r>
      <w:r>
        <w:rPr>
          <w:rFonts w:asciiTheme="minorHAnsi" w:eastAsiaTheme="minorEastAsia" w:hAnsiTheme="minorHAnsi" w:cstheme="minorBidi"/>
          <w:noProof/>
          <w:kern w:val="2"/>
          <w:sz w:val="22"/>
          <w:lang w:eastAsia="cs-CZ"/>
          <w14:ligatures w14:val="standardContextual"/>
        </w:rPr>
        <w:tab/>
      </w:r>
      <w:r>
        <w:rPr>
          <w:noProof/>
        </w:rPr>
        <w:t>Zohlednění hodnot kulturního dědictví</w:t>
      </w:r>
      <w:r>
        <w:rPr>
          <w:noProof/>
        </w:rPr>
        <w:tab/>
      </w:r>
      <w:r>
        <w:rPr>
          <w:noProof/>
        </w:rPr>
        <w:fldChar w:fldCharType="begin"/>
      </w:r>
      <w:r>
        <w:rPr>
          <w:noProof/>
        </w:rPr>
        <w:instrText xml:space="preserve"> PAGEREF _Toc138848168 \h </w:instrText>
      </w:r>
      <w:r>
        <w:rPr>
          <w:noProof/>
        </w:rPr>
      </w:r>
      <w:r>
        <w:rPr>
          <w:noProof/>
        </w:rPr>
        <w:fldChar w:fldCharType="separate"/>
      </w:r>
      <w:r w:rsidR="00F45A70">
        <w:rPr>
          <w:noProof/>
        </w:rPr>
        <w:t>201</w:t>
      </w:r>
      <w:r>
        <w:rPr>
          <w:noProof/>
        </w:rPr>
        <w:fldChar w:fldCharType="end"/>
      </w:r>
    </w:p>
    <w:p w14:paraId="684DBE97" w14:textId="13A5FE29"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rPr>
        <w:t>F.II.5</w:t>
      </w:r>
      <w:r>
        <w:rPr>
          <w:rFonts w:asciiTheme="minorHAnsi" w:eastAsiaTheme="minorEastAsia" w:hAnsiTheme="minorHAnsi" w:cstheme="minorBidi"/>
          <w:noProof/>
          <w:kern w:val="2"/>
          <w:sz w:val="22"/>
          <w:lang w:eastAsia="cs-CZ"/>
          <w14:ligatures w14:val="standardContextual"/>
        </w:rPr>
        <w:tab/>
      </w:r>
      <w:r>
        <w:rPr>
          <w:noProof/>
        </w:rPr>
        <w:t>Podmínky pro přiměřený rozvoj města</w:t>
      </w:r>
      <w:r>
        <w:rPr>
          <w:noProof/>
        </w:rPr>
        <w:tab/>
      </w:r>
      <w:r>
        <w:rPr>
          <w:noProof/>
        </w:rPr>
        <w:fldChar w:fldCharType="begin"/>
      </w:r>
      <w:r>
        <w:rPr>
          <w:noProof/>
        </w:rPr>
        <w:instrText xml:space="preserve"> PAGEREF _Toc138848169 \h </w:instrText>
      </w:r>
      <w:r>
        <w:rPr>
          <w:noProof/>
        </w:rPr>
      </w:r>
      <w:r>
        <w:rPr>
          <w:noProof/>
        </w:rPr>
        <w:fldChar w:fldCharType="separate"/>
      </w:r>
      <w:r w:rsidR="00F45A70">
        <w:rPr>
          <w:noProof/>
        </w:rPr>
        <w:t>201</w:t>
      </w:r>
      <w:r>
        <w:rPr>
          <w:noProof/>
        </w:rPr>
        <w:fldChar w:fldCharType="end"/>
      </w:r>
    </w:p>
    <w:p w14:paraId="09959EBF" w14:textId="39F1E7C5" w:rsidR="00FC24B6" w:rsidRDefault="00FC24B6" w:rsidP="004856A2">
      <w:pPr>
        <w:pStyle w:val="Obsah3"/>
        <w:rPr>
          <w:rFonts w:asciiTheme="minorHAnsi" w:eastAsiaTheme="minorEastAsia" w:hAnsiTheme="minorHAnsi" w:cstheme="minorBidi"/>
          <w:noProof/>
          <w:kern w:val="2"/>
          <w:sz w:val="22"/>
          <w:lang w:eastAsia="cs-CZ"/>
          <w14:ligatures w14:val="standardContextual"/>
        </w:rPr>
      </w:pPr>
      <w:r>
        <w:rPr>
          <w:noProof/>
          <w:lang w:eastAsia="cs-CZ"/>
        </w:rPr>
        <w:t>F.II.6</w:t>
      </w:r>
      <w:r>
        <w:rPr>
          <w:rFonts w:asciiTheme="minorHAnsi" w:eastAsiaTheme="minorEastAsia" w:hAnsiTheme="minorHAnsi" w:cstheme="minorBidi"/>
          <w:noProof/>
          <w:kern w:val="2"/>
          <w:sz w:val="22"/>
          <w:lang w:eastAsia="cs-CZ"/>
          <w14:ligatures w14:val="standardContextual"/>
        </w:rPr>
        <w:tab/>
      </w:r>
      <w:r>
        <w:rPr>
          <w:noProof/>
          <w:lang w:eastAsia="cs-CZ"/>
        </w:rPr>
        <w:t>Shrnutí</w:t>
      </w:r>
      <w:r>
        <w:rPr>
          <w:noProof/>
        </w:rPr>
        <w:tab/>
      </w:r>
      <w:r>
        <w:rPr>
          <w:noProof/>
        </w:rPr>
        <w:fldChar w:fldCharType="begin"/>
      </w:r>
      <w:r>
        <w:rPr>
          <w:noProof/>
        </w:rPr>
        <w:instrText xml:space="preserve"> PAGEREF _Toc138848170 \h </w:instrText>
      </w:r>
      <w:r>
        <w:rPr>
          <w:noProof/>
        </w:rPr>
      </w:r>
      <w:r>
        <w:rPr>
          <w:noProof/>
        </w:rPr>
        <w:fldChar w:fldCharType="separate"/>
      </w:r>
      <w:r w:rsidR="00F45A70">
        <w:rPr>
          <w:noProof/>
        </w:rPr>
        <w:t>203</w:t>
      </w:r>
      <w:r>
        <w:rPr>
          <w:noProof/>
        </w:rPr>
        <w:fldChar w:fldCharType="end"/>
      </w:r>
    </w:p>
    <w:p w14:paraId="1E496498" w14:textId="4BF7AA7A" w:rsidR="00D34FB3" w:rsidRPr="006B3F59" w:rsidRDefault="002D1155" w:rsidP="009449A1">
      <w:pPr>
        <w:tabs>
          <w:tab w:val="left" w:pos="3915"/>
        </w:tabs>
        <w:spacing w:before="0"/>
        <w:ind w:left="1049" w:right="255" w:hanging="1049"/>
        <w:rPr>
          <w:rFonts w:eastAsia="Times New Roman"/>
          <w:caps/>
          <w:noProof/>
          <w:color w:val="000000"/>
          <w:szCs w:val="20"/>
          <w:lang w:eastAsia="cs-CZ"/>
        </w:rPr>
      </w:pPr>
      <w:r w:rsidRPr="006B3F59">
        <w:rPr>
          <w:rFonts w:eastAsia="Times New Roman"/>
          <w:caps/>
          <w:noProof/>
          <w:color w:val="000000"/>
          <w:szCs w:val="20"/>
          <w:lang w:eastAsia="cs-CZ"/>
        </w:rPr>
        <w:fldChar w:fldCharType="end"/>
      </w:r>
    </w:p>
    <w:p w14:paraId="35067F64" w14:textId="3586182C" w:rsidR="00CE4DC9" w:rsidRPr="006B3F59" w:rsidRDefault="00CE4DC9" w:rsidP="00CE4DC9">
      <w:pPr>
        <w:tabs>
          <w:tab w:val="left" w:pos="3915"/>
        </w:tabs>
        <w:spacing w:before="360"/>
        <w:ind w:left="1418" w:right="255" w:hanging="1418"/>
        <w:rPr>
          <w:b/>
          <w:bCs/>
        </w:rPr>
      </w:pPr>
      <w:r w:rsidRPr="006B3F59">
        <w:rPr>
          <w:rFonts w:eastAsia="Times New Roman"/>
          <w:b/>
          <w:bCs/>
          <w:caps/>
          <w:noProof/>
          <w:color w:val="000000"/>
          <w:szCs w:val="20"/>
          <w:lang w:eastAsia="cs-CZ"/>
        </w:rPr>
        <w:t xml:space="preserve">Příloha 1: </w:t>
      </w:r>
      <w:r w:rsidRPr="006B3F59">
        <w:rPr>
          <w:rFonts w:eastAsia="Times New Roman"/>
          <w:b/>
          <w:bCs/>
          <w:caps/>
          <w:noProof/>
          <w:color w:val="000000"/>
          <w:szCs w:val="20"/>
          <w:lang w:eastAsia="cs-CZ"/>
        </w:rPr>
        <w:tab/>
      </w:r>
      <w:r w:rsidRPr="006B3F59">
        <w:rPr>
          <w:b/>
          <w:bCs/>
        </w:rPr>
        <w:t>Hodnocení vlivů Změny Z </w:t>
      </w:r>
      <w:r w:rsidR="008469E1">
        <w:rPr>
          <w:b/>
          <w:bCs/>
        </w:rPr>
        <w:t>3827</w:t>
      </w:r>
      <w:r w:rsidRPr="006B3F59">
        <w:rPr>
          <w:b/>
          <w:bCs/>
        </w:rPr>
        <w:t>/00 územního plánu hlavního města Prahy na evropsky významné lokality a ptačí oblasti dle § 45i, zákona č. 114/1994 Sb. o ochraně přírody a krajiny v platném znění</w:t>
      </w:r>
    </w:p>
    <w:p w14:paraId="2429D95C" w14:textId="3FD5AE6A" w:rsidR="00CE4DC9" w:rsidRPr="006B3F59" w:rsidRDefault="00CE4DC9" w:rsidP="00CE4DC9">
      <w:pPr>
        <w:tabs>
          <w:tab w:val="left" w:pos="3915"/>
        </w:tabs>
        <w:spacing w:before="360"/>
        <w:ind w:left="1418" w:right="255" w:hanging="1418"/>
        <w:rPr>
          <w:rFonts w:eastAsia="Times New Roman"/>
          <w:b/>
          <w:bCs/>
          <w:caps/>
          <w:noProof/>
          <w:color w:val="000000"/>
          <w:szCs w:val="20"/>
          <w:lang w:eastAsia="cs-CZ"/>
        </w:rPr>
      </w:pPr>
      <w:r w:rsidRPr="006B3F59">
        <w:rPr>
          <w:rFonts w:eastAsia="Times New Roman"/>
          <w:b/>
          <w:bCs/>
          <w:caps/>
          <w:noProof/>
          <w:color w:val="000000"/>
          <w:szCs w:val="20"/>
          <w:lang w:eastAsia="cs-CZ"/>
        </w:rPr>
        <w:t xml:space="preserve">Příloha 2: </w:t>
      </w:r>
      <w:r w:rsidRPr="006B3F59">
        <w:rPr>
          <w:rFonts w:eastAsia="Times New Roman"/>
          <w:b/>
          <w:bCs/>
          <w:caps/>
          <w:noProof/>
          <w:color w:val="000000"/>
          <w:szCs w:val="20"/>
          <w:lang w:eastAsia="cs-CZ"/>
        </w:rPr>
        <w:tab/>
      </w:r>
      <w:r w:rsidRPr="006B3F59">
        <w:rPr>
          <w:b/>
          <w:bCs/>
        </w:rPr>
        <w:t>Akustická studie pro změnu Z </w:t>
      </w:r>
      <w:r w:rsidR="008469E1">
        <w:rPr>
          <w:b/>
          <w:bCs/>
        </w:rPr>
        <w:t>3827</w:t>
      </w:r>
      <w:r w:rsidRPr="006B3F59">
        <w:rPr>
          <w:b/>
          <w:bCs/>
        </w:rPr>
        <w:t xml:space="preserve">/00 územního plánu hlavního města Prahy </w:t>
      </w:r>
    </w:p>
    <w:p w14:paraId="0E001A88" w14:textId="77777777" w:rsidR="00CE4DC9" w:rsidRPr="006B3F59" w:rsidRDefault="00CE4DC9" w:rsidP="009449A1">
      <w:pPr>
        <w:tabs>
          <w:tab w:val="left" w:pos="3915"/>
        </w:tabs>
        <w:spacing w:before="0"/>
        <w:ind w:left="1049" w:right="255" w:hanging="1049"/>
        <w:rPr>
          <w:rFonts w:eastAsia="Times New Roman"/>
          <w:caps/>
          <w:noProof/>
          <w:color w:val="000000"/>
          <w:szCs w:val="20"/>
          <w:lang w:eastAsia="cs-CZ"/>
        </w:rPr>
      </w:pPr>
    </w:p>
    <w:p w14:paraId="24218021" w14:textId="60A4687D" w:rsidR="000B6260" w:rsidRPr="006B3F59" w:rsidRDefault="000B6260" w:rsidP="009449A1">
      <w:pPr>
        <w:tabs>
          <w:tab w:val="left" w:pos="3915"/>
        </w:tabs>
        <w:spacing w:before="0"/>
        <w:ind w:left="1049" w:right="255" w:hanging="1049"/>
        <w:rPr>
          <w:rFonts w:cs="Arial"/>
          <w:color w:val="0070C0"/>
          <w:sz w:val="40"/>
          <w:szCs w:val="40"/>
        </w:rPr>
      </w:pPr>
      <w:r w:rsidRPr="006B3F59">
        <w:rPr>
          <w:rFonts w:cs="Arial"/>
          <w:color w:val="0070C0"/>
          <w:sz w:val="40"/>
          <w:szCs w:val="40"/>
        </w:rPr>
        <w:t>Seznam tabulek</w:t>
      </w:r>
    </w:p>
    <w:bookmarkStart w:id="3" w:name="_Toc316289998"/>
    <w:p w14:paraId="00AA6A29" w14:textId="00911A64" w:rsidR="00FC24B6" w:rsidRDefault="0018499E">
      <w:pPr>
        <w:pStyle w:val="Obsah5"/>
        <w:rPr>
          <w:rFonts w:asciiTheme="minorHAnsi" w:eastAsiaTheme="minorEastAsia" w:hAnsiTheme="minorHAnsi" w:cstheme="minorBidi"/>
          <w:noProof/>
          <w:kern w:val="2"/>
          <w:sz w:val="22"/>
          <w:lang w:eastAsia="cs-CZ"/>
          <w14:ligatures w14:val="standardContextual"/>
        </w:rPr>
      </w:pPr>
      <w:r w:rsidRPr="006B3F59">
        <w:rPr>
          <w:rFonts w:eastAsia="Times New Roman"/>
          <w:noProof/>
          <w:szCs w:val="20"/>
          <w:lang w:eastAsia="cs-CZ"/>
        </w:rPr>
        <w:fldChar w:fldCharType="begin"/>
      </w:r>
      <w:r w:rsidRPr="006B3F59">
        <w:rPr>
          <w:rFonts w:eastAsia="Times New Roman"/>
          <w:noProof/>
          <w:szCs w:val="20"/>
          <w:lang w:eastAsia="cs-CZ"/>
        </w:rPr>
        <w:instrText xml:space="preserve"> TOC \h \z \t "Tabulka název;5" </w:instrText>
      </w:r>
      <w:r w:rsidRPr="006B3F59">
        <w:rPr>
          <w:rFonts w:eastAsia="Times New Roman"/>
          <w:noProof/>
          <w:szCs w:val="20"/>
          <w:lang w:eastAsia="cs-CZ"/>
        </w:rPr>
        <w:fldChar w:fldCharType="separate"/>
      </w:r>
      <w:hyperlink w:anchor="_Toc138848171" w:history="1">
        <w:r w:rsidR="00FC24B6" w:rsidRPr="008A1971">
          <w:rPr>
            <w:rStyle w:val="Hypertextovodkaz"/>
            <w:noProof/>
          </w:rPr>
          <w:t>Tab. 1</w:t>
        </w:r>
        <w:r w:rsidR="00FC24B6">
          <w:rPr>
            <w:rFonts w:asciiTheme="minorHAnsi" w:eastAsiaTheme="minorEastAsia" w:hAnsiTheme="minorHAnsi" w:cstheme="minorBidi"/>
            <w:noProof/>
            <w:kern w:val="2"/>
            <w:sz w:val="22"/>
            <w:lang w:eastAsia="cs-CZ"/>
            <w14:ligatures w14:val="standardContextual"/>
          </w:rPr>
          <w:tab/>
        </w:r>
        <w:r w:rsidR="00FC24B6" w:rsidRPr="008A1971">
          <w:rPr>
            <w:rStyle w:val="Hypertextovodkaz"/>
            <w:noProof/>
          </w:rPr>
          <w:t>Přehled potenciálního záboru ZPF, zdroj: IPR</w:t>
        </w:r>
        <w:r w:rsidR="00FC24B6">
          <w:rPr>
            <w:noProof/>
            <w:webHidden/>
          </w:rPr>
          <w:tab/>
        </w:r>
        <w:r w:rsidR="00FC24B6">
          <w:rPr>
            <w:noProof/>
            <w:webHidden/>
          </w:rPr>
          <w:fldChar w:fldCharType="begin"/>
        </w:r>
        <w:r w:rsidR="00FC24B6">
          <w:rPr>
            <w:noProof/>
            <w:webHidden/>
          </w:rPr>
          <w:instrText xml:space="preserve"> PAGEREF _Toc138848171 \h </w:instrText>
        </w:r>
        <w:r w:rsidR="00FC24B6">
          <w:rPr>
            <w:noProof/>
            <w:webHidden/>
          </w:rPr>
        </w:r>
        <w:r w:rsidR="00FC24B6">
          <w:rPr>
            <w:noProof/>
            <w:webHidden/>
          </w:rPr>
          <w:fldChar w:fldCharType="separate"/>
        </w:r>
        <w:r w:rsidR="00F45A70">
          <w:rPr>
            <w:noProof/>
            <w:webHidden/>
          </w:rPr>
          <w:t>66</w:t>
        </w:r>
        <w:r w:rsidR="00FC24B6">
          <w:rPr>
            <w:noProof/>
            <w:webHidden/>
          </w:rPr>
          <w:fldChar w:fldCharType="end"/>
        </w:r>
      </w:hyperlink>
    </w:p>
    <w:p w14:paraId="24B74EAF" w14:textId="066B0380" w:rsidR="00FC24B6" w:rsidRDefault="00704D62">
      <w:pPr>
        <w:pStyle w:val="Obsah5"/>
        <w:rPr>
          <w:rFonts w:asciiTheme="minorHAnsi" w:eastAsiaTheme="minorEastAsia" w:hAnsiTheme="minorHAnsi" w:cstheme="minorBidi"/>
          <w:noProof/>
          <w:kern w:val="2"/>
          <w:sz w:val="22"/>
          <w:lang w:eastAsia="cs-CZ"/>
          <w14:ligatures w14:val="standardContextual"/>
        </w:rPr>
      </w:pPr>
      <w:hyperlink w:anchor="_Toc138848172" w:history="1">
        <w:r w:rsidR="00FC24B6" w:rsidRPr="008A1971">
          <w:rPr>
            <w:rStyle w:val="Hypertextovodkaz"/>
            <w:noProof/>
          </w:rPr>
          <w:t>Tab. 2</w:t>
        </w:r>
        <w:r w:rsidR="00FC24B6">
          <w:rPr>
            <w:rFonts w:asciiTheme="minorHAnsi" w:eastAsiaTheme="minorEastAsia" w:hAnsiTheme="minorHAnsi" w:cstheme="minorBidi"/>
            <w:noProof/>
            <w:kern w:val="2"/>
            <w:sz w:val="22"/>
            <w:lang w:eastAsia="cs-CZ"/>
            <w14:ligatures w14:val="standardContextual"/>
          </w:rPr>
          <w:tab/>
        </w:r>
        <w:r w:rsidR="00FC24B6" w:rsidRPr="008A1971">
          <w:rPr>
            <w:rStyle w:val="Hypertextovodkaz"/>
            <w:noProof/>
          </w:rPr>
          <w:t>Klimatologická charakteristika území</w:t>
        </w:r>
        <w:r w:rsidR="00FC24B6">
          <w:rPr>
            <w:noProof/>
            <w:webHidden/>
          </w:rPr>
          <w:tab/>
        </w:r>
        <w:r w:rsidR="00FC24B6">
          <w:rPr>
            <w:noProof/>
            <w:webHidden/>
          </w:rPr>
          <w:fldChar w:fldCharType="begin"/>
        </w:r>
        <w:r w:rsidR="00FC24B6">
          <w:rPr>
            <w:noProof/>
            <w:webHidden/>
          </w:rPr>
          <w:instrText xml:space="preserve"> PAGEREF _Toc138848172 \h </w:instrText>
        </w:r>
        <w:r w:rsidR="00FC24B6">
          <w:rPr>
            <w:noProof/>
            <w:webHidden/>
          </w:rPr>
        </w:r>
        <w:r w:rsidR="00FC24B6">
          <w:rPr>
            <w:noProof/>
            <w:webHidden/>
          </w:rPr>
          <w:fldChar w:fldCharType="separate"/>
        </w:r>
        <w:r w:rsidR="00F45A70">
          <w:rPr>
            <w:noProof/>
            <w:webHidden/>
          </w:rPr>
          <w:t>79</w:t>
        </w:r>
        <w:r w:rsidR="00FC24B6">
          <w:rPr>
            <w:noProof/>
            <w:webHidden/>
          </w:rPr>
          <w:fldChar w:fldCharType="end"/>
        </w:r>
      </w:hyperlink>
    </w:p>
    <w:p w14:paraId="2752545D" w14:textId="76D15E5D" w:rsidR="00FC24B6" w:rsidRDefault="00704D62">
      <w:pPr>
        <w:pStyle w:val="Obsah5"/>
        <w:rPr>
          <w:rFonts w:asciiTheme="minorHAnsi" w:eastAsiaTheme="minorEastAsia" w:hAnsiTheme="minorHAnsi" w:cstheme="minorBidi"/>
          <w:noProof/>
          <w:kern w:val="2"/>
          <w:sz w:val="22"/>
          <w:lang w:eastAsia="cs-CZ"/>
          <w14:ligatures w14:val="standardContextual"/>
        </w:rPr>
      </w:pPr>
      <w:hyperlink w:anchor="_Toc138848173" w:history="1">
        <w:r w:rsidR="00FC24B6" w:rsidRPr="008A1971">
          <w:rPr>
            <w:rStyle w:val="Hypertextovodkaz"/>
            <w:noProof/>
          </w:rPr>
          <w:t>Tab. 3</w:t>
        </w:r>
        <w:r w:rsidR="00FC24B6">
          <w:rPr>
            <w:rFonts w:asciiTheme="minorHAnsi" w:eastAsiaTheme="minorEastAsia" w:hAnsiTheme="minorHAnsi" w:cstheme="minorBidi"/>
            <w:noProof/>
            <w:kern w:val="2"/>
            <w:sz w:val="22"/>
            <w:lang w:eastAsia="cs-CZ"/>
            <w14:ligatures w14:val="standardContextual"/>
          </w:rPr>
          <w:tab/>
        </w:r>
        <w:r w:rsidR="00FC24B6" w:rsidRPr="008A1971">
          <w:rPr>
            <w:rStyle w:val="Hypertextovodkaz"/>
            <w:noProof/>
          </w:rPr>
          <w:t>Mezní hodnoty hlukových ukazatelů stanovené vyhláškou 315/2018 Sb.</w:t>
        </w:r>
        <w:r w:rsidR="00FC24B6">
          <w:rPr>
            <w:noProof/>
            <w:webHidden/>
          </w:rPr>
          <w:tab/>
        </w:r>
        <w:r w:rsidR="00FC24B6">
          <w:rPr>
            <w:noProof/>
            <w:webHidden/>
          </w:rPr>
          <w:fldChar w:fldCharType="begin"/>
        </w:r>
        <w:r w:rsidR="00FC24B6">
          <w:rPr>
            <w:noProof/>
            <w:webHidden/>
          </w:rPr>
          <w:instrText xml:space="preserve"> PAGEREF _Toc138848173 \h </w:instrText>
        </w:r>
        <w:r w:rsidR="00FC24B6">
          <w:rPr>
            <w:noProof/>
            <w:webHidden/>
          </w:rPr>
        </w:r>
        <w:r w:rsidR="00FC24B6">
          <w:rPr>
            <w:noProof/>
            <w:webHidden/>
          </w:rPr>
          <w:fldChar w:fldCharType="separate"/>
        </w:r>
        <w:r w:rsidR="00F45A70">
          <w:rPr>
            <w:noProof/>
            <w:webHidden/>
          </w:rPr>
          <w:t>83</w:t>
        </w:r>
        <w:r w:rsidR="00FC24B6">
          <w:rPr>
            <w:noProof/>
            <w:webHidden/>
          </w:rPr>
          <w:fldChar w:fldCharType="end"/>
        </w:r>
      </w:hyperlink>
    </w:p>
    <w:p w14:paraId="1C7B2906" w14:textId="711C09CB" w:rsidR="00FC24B6" w:rsidRDefault="00704D62">
      <w:pPr>
        <w:pStyle w:val="Obsah5"/>
        <w:rPr>
          <w:rFonts w:asciiTheme="minorHAnsi" w:eastAsiaTheme="minorEastAsia" w:hAnsiTheme="minorHAnsi" w:cstheme="minorBidi"/>
          <w:noProof/>
          <w:kern w:val="2"/>
          <w:sz w:val="22"/>
          <w:lang w:eastAsia="cs-CZ"/>
          <w14:ligatures w14:val="standardContextual"/>
        </w:rPr>
      </w:pPr>
      <w:hyperlink w:anchor="_Toc138848174" w:history="1">
        <w:r w:rsidR="00FC24B6" w:rsidRPr="008A1971">
          <w:rPr>
            <w:rStyle w:val="Hypertextovodkaz"/>
            <w:noProof/>
          </w:rPr>
          <w:t>Tab. 4</w:t>
        </w:r>
        <w:r w:rsidR="00FC24B6">
          <w:rPr>
            <w:rFonts w:asciiTheme="minorHAnsi" w:eastAsiaTheme="minorEastAsia" w:hAnsiTheme="minorHAnsi" w:cstheme="minorBidi"/>
            <w:noProof/>
            <w:kern w:val="2"/>
            <w:sz w:val="22"/>
            <w:lang w:eastAsia="cs-CZ"/>
            <w14:ligatures w14:val="standardContextual"/>
          </w:rPr>
          <w:tab/>
        </w:r>
        <w:r w:rsidR="00FC24B6" w:rsidRPr="008A1971">
          <w:rPr>
            <w:rStyle w:val="Hypertextovodkaz"/>
            <w:noProof/>
          </w:rPr>
          <w:t>Sada referenčních cílů ochrany ŽP</w:t>
        </w:r>
        <w:r w:rsidR="00FC24B6">
          <w:rPr>
            <w:noProof/>
            <w:webHidden/>
          </w:rPr>
          <w:tab/>
        </w:r>
        <w:r w:rsidR="00FC24B6">
          <w:rPr>
            <w:noProof/>
            <w:webHidden/>
          </w:rPr>
          <w:fldChar w:fldCharType="begin"/>
        </w:r>
        <w:r w:rsidR="00FC24B6">
          <w:rPr>
            <w:noProof/>
            <w:webHidden/>
          </w:rPr>
          <w:instrText xml:space="preserve"> PAGEREF _Toc138848174 \h </w:instrText>
        </w:r>
        <w:r w:rsidR="00FC24B6">
          <w:rPr>
            <w:noProof/>
            <w:webHidden/>
          </w:rPr>
        </w:r>
        <w:r w:rsidR="00FC24B6">
          <w:rPr>
            <w:noProof/>
            <w:webHidden/>
          </w:rPr>
          <w:fldChar w:fldCharType="separate"/>
        </w:r>
        <w:r w:rsidR="00F45A70">
          <w:rPr>
            <w:noProof/>
            <w:webHidden/>
          </w:rPr>
          <w:t>114</w:t>
        </w:r>
        <w:r w:rsidR="00FC24B6">
          <w:rPr>
            <w:noProof/>
            <w:webHidden/>
          </w:rPr>
          <w:fldChar w:fldCharType="end"/>
        </w:r>
      </w:hyperlink>
    </w:p>
    <w:p w14:paraId="3BE193F9" w14:textId="1FE980FF" w:rsidR="00FC24B6" w:rsidRDefault="00704D62">
      <w:pPr>
        <w:pStyle w:val="Obsah5"/>
        <w:rPr>
          <w:rFonts w:asciiTheme="minorHAnsi" w:eastAsiaTheme="minorEastAsia" w:hAnsiTheme="minorHAnsi" w:cstheme="minorBidi"/>
          <w:noProof/>
          <w:kern w:val="2"/>
          <w:sz w:val="22"/>
          <w:lang w:eastAsia="cs-CZ"/>
          <w14:ligatures w14:val="standardContextual"/>
        </w:rPr>
      </w:pPr>
      <w:hyperlink w:anchor="_Toc138848175" w:history="1">
        <w:r w:rsidR="00FC24B6" w:rsidRPr="008A1971">
          <w:rPr>
            <w:rStyle w:val="Hypertextovodkaz"/>
            <w:noProof/>
          </w:rPr>
          <w:t>Tab. 5</w:t>
        </w:r>
        <w:r w:rsidR="00FC24B6">
          <w:rPr>
            <w:rFonts w:asciiTheme="minorHAnsi" w:eastAsiaTheme="minorEastAsia" w:hAnsiTheme="minorHAnsi" w:cstheme="minorBidi"/>
            <w:noProof/>
            <w:kern w:val="2"/>
            <w:sz w:val="22"/>
            <w:lang w:eastAsia="cs-CZ"/>
            <w14:ligatures w14:val="standardContextual"/>
          </w:rPr>
          <w:tab/>
        </w:r>
        <w:r w:rsidR="00FC24B6" w:rsidRPr="008A1971">
          <w:rPr>
            <w:rStyle w:val="Hypertextovodkaz"/>
            <w:noProof/>
          </w:rPr>
          <w:t>Charakteristika referenčních cílů ochrany ŽP a způsobu hodnocení</w:t>
        </w:r>
        <w:r w:rsidR="00FC24B6">
          <w:rPr>
            <w:noProof/>
            <w:webHidden/>
          </w:rPr>
          <w:tab/>
        </w:r>
        <w:r w:rsidR="00FC24B6">
          <w:rPr>
            <w:noProof/>
            <w:webHidden/>
          </w:rPr>
          <w:fldChar w:fldCharType="begin"/>
        </w:r>
        <w:r w:rsidR="00FC24B6">
          <w:rPr>
            <w:noProof/>
            <w:webHidden/>
          </w:rPr>
          <w:instrText xml:space="preserve"> PAGEREF _Toc138848175 \h </w:instrText>
        </w:r>
        <w:r w:rsidR="00FC24B6">
          <w:rPr>
            <w:noProof/>
            <w:webHidden/>
          </w:rPr>
        </w:r>
        <w:r w:rsidR="00FC24B6">
          <w:rPr>
            <w:noProof/>
            <w:webHidden/>
          </w:rPr>
          <w:fldChar w:fldCharType="separate"/>
        </w:r>
        <w:r w:rsidR="00F45A70">
          <w:rPr>
            <w:noProof/>
            <w:webHidden/>
          </w:rPr>
          <w:t>115</w:t>
        </w:r>
        <w:r w:rsidR="00FC24B6">
          <w:rPr>
            <w:noProof/>
            <w:webHidden/>
          </w:rPr>
          <w:fldChar w:fldCharType="end"/>
        </w:r>
      </w:hyperlink>
    </w:p>
    <w:p w14:paraId="57F68FE9" w14:textId="7EC83931" w:rsidR="00FC24B6" w:rsidRDefault="00704D62">
      <w:pPr>
        <w:pStyle w:val="Obsah5"/>
        <w:rPr>
          <w:rFonts w:asciiTheme="minorHAnsi" w:eastAsiaTheme="minorEastAsia" w:hAnsiTheme="minorHAnsi" w:cstheme="minorBidi"/>
          <w:noProof/>
          <w:kern w:val="2"/>
          <w:sz w:val="22"/>
          <w:lang w:eastAsia="cs-CZ"/>
          <w14:ligatures w14:val="standardContextual"/>
        </w:rPr>
      </w:pPr>
      <w:hyperlink w:anchor="_Toc138848176" w:history="1">
        <w:r w:rsidR="00FC24B6" w:rsidRPr="008A1971">
          <w:rPr>
            <w:rStyle w:val="Hypertextovodkaz"/>
            <w:noProof/>
          </w:rPr>
          <w:t>Tab. 6</w:t>
        </w:r>
        <w:r w:rsidR="00FC24B6">
          <w:rPr>
            <w:rFonts w:asciiTheme="minorHAnsi" w:eastAsiaTheme="minorEastAsia" w:hAnsiTheme="minorHAnsi" w:cstheme="minorBidi"/>
            <w:noProof/>
            <w:kern w:val="2"/>
            <w:sz w:val="22"/>
            <w:lang w:eastAsia="cs-CZ"/>
            <w14:ligatures w14:val="standardContextual"/>
          </w:rPr>
          <w:tab/>
        </w:r>
        <w:r w:rsidR="00FC24B6" w:rsidRPr="008A1971">
          <w:rPr>
            <w:rStyle w:val="Hypertextovodkaz"/>
            <w:noProof/>
          </w:rPr>
          <w:t>Vztah zdravotních determinant a předkládané ÚPD</w:t>
        </w:r>
        <w:r w:rsidR="00FC24B6">
          <w:rPr>
            <w:noProof/>
            <w:webHidden/>
          </w:rPr>
          <w:tab/>
        </w:r>
        <w:r w:rsidR="00FC24B6">
          <w:rPr>
            <w:noProof/>
            <w:webHidden/>
          </w:rPr>
          <w:fldChar w:fldCharType="begin"/>
        </w:r>
        <w:r w:rsidR="00FC24B6">
          <w:rPr>
            <w:noProof/>
            <w:webHidden/>
          </w:rPr>
          <w:instrText xml:space="preserve"> PAGEREF _Toc138848176 \h </w:instrText>
        </w:r>
        <w:r w:rsidR="00FC24B6">
          <w:rPr>
            <w:noProof/>
            <w:webHidden/>
          </w:rPr>
        </w:r>
        <w:r w:rsidR="00FC24B6">
          <w:rPr>
            <w:noProof/>
            <w:webHidden/>
          </w:rPr>
          <w:fldChar w:fldCharType="separate"/>
        </w:r>
        <w:r w:rsidR="00F45A70">
          <w:rPr>
            <w:noProof/>
            <w:webHidden/>
          </w:rPr>
          <w:t>143</w:t>
        </w:r>
        <w:r w:rsidR="00FC24B6">
          <w:rPr>
            <w:noProof/>
            <w:webHidden/>
          </w:rPr>
          <w:fldChar w:fldCharType="end"/>
        </w:r>
      </w:hyperlink>
    </w:p>
    <w:p w14:paraId="28FBB4B7" w14:textId="5BED03F9" w:rsidR="00FC24B6" w:rsidRDefault="00704D62">
      <w:pPr>
        <w:pStyle w:val="Obsah5"/>
        <w:rPr>
          <w:rFonts w:asciiTheme="minorHAnsi" w:eastAsiaTheme="minorEastAsia" w:hAnsiTheme="minorHAnsi" w:cstheme="minorBidi"/>
          <w:noProof/>
          <w:kern w:val="2"/>
          <w:sz w:val="22"/>
          <w:lang w:eastAsia="cs-CZ"/>
          <w14:ligatures w14:val="standardContextual"/>
        </w:rPr>
      </w:pPr>
      <w:hyperlink w:anchor="_Toc138848177" w:history="1">
        <w:r w:rsidR="00FC24B6" w:rsidRPr="008A1971">
          <w:rPr>
            <w:rStyle w:val="Hypertextovodkaz"/>
            <w:noProof/>
          </w:rPr>
          <w:t>Tab. 7</w:t>
        </w:r>
        <w:r w:rsidR="00FC24B6">
          <w:rPr>
            <w:rFonts w:asciiTheme="minorHAnsi" w:eastAsiaTheme="minorEastAsia" w:hAnsiTheme="minorHAnsi" w:cstheme="minorBidi"/>
            <w:noProof/>
            <w:kern w:val="2"/>
            <w:sz w:val="22"/>
            <w:lang w:eastAsia="cs-CZ"/>
            <w14:ligatures w14:val="standardContextual"/>
          </w:rPr>
          <w:tab/>
        </w:r>
        <w:r w:rsidR="00FC24B6" w:rsidRPr="008A1971">
          <w:rPr>
            <w:rStyle w:val="Hypertextovodkaz"/>
            <w:noProof/>
          </w:rPr>
          <w:t>Přehled vlivů na environmentální determinanty tabelárně</w:t>
        </w:r>
        <w:r w:rsidR="00FC24B6">
          <w:rPr>
            <w:noProof/>
            <w:webHidden/>
          </w:rPr>
          <w:tab/>
        </w:r>
        <w:r w:rsidR="00FC24B6">
          <w:rPr>
            <w:noProof/>
            <w:webHidden/>
          </w:rPr>
          <w:fldChar w:fldCharType="begin"/>
        </w:r>
        <w:r w:rsidR="00FC24B6">
          <w:rPr>
            <w:noProof/>
            <w:webHidden/>
          </w:rPr>
          <w:instrText xml:space="preserve"> PAGEREF _Toc138848177 \h </w:instrText>
        </w:r>
        <w:r w:rsidR="00FC24B6">
          <w:rPr>
            <w:noProof/>
            <w:webHidden/>
          </w:rPr>
        </w:r>
        <w:r w:rsidR="00FC24B6">
          <w:rPr>
            <w:noProof/>
            <w:webHidden/>
          </w:rPr>
          <w:fldChar w:fldCharType="separate"/>
        </w:r>
        <w:r w:rsidR="00F45A70">
          <w:rPr>
            <w:noProof/>
            <w:webHidden/>
          </w:rPr>
          <w:t>144</w:t>
        </w:r>
        <w:r w:rsidR="00FC24B6">
          <w:rPr>
            <w:noProof/>
            <w:webHidden/>
          </w:rPr>
          <w:fldChar w:fldCharType="end"/>
        </w:r>
      </w:hyperlink>
    </w:p>
    <w:p w14:paraId="5B508681" w14:textId="54A7E919" w:rsidR="00FC24B6" w:rsidRDefault="00704D62">
      <w:pPr>
        <w:pStyle w:val="Obsah5"/>
        <w:rPr>
          <w:rFonts w:asciiTheme="minorHAnsi" w:eastAsiaTheme="minorEastAsia" w:hAnsiTheme="minorHAnsi" w:cstheme="minorBidi"/>
          <w:noProof/>
          <w:kern w:val="2"/>
          <w:sz w:val="22"/>
          <w:lang w:eastAsia="cs-CZ"/>
          <w14:ligatures w14:val="standardContextual"/>
        </w:rPr>
      </w:pPr>
      <w:hyperlink w:anchor="_Toc138848178" w:history="1">
        <w:r w:rsidR="00FC24B6" w:rsidRPr="008A1971">
          <w:rPr>
            <w:rStyle w:val="Hypertextovodkaz"/>
            <w:noProof/>
          </w:rPr>
          <w:t>Tab. 8</w:t>
        </w:r>
        <w:r w:rsidR="00FC24B6">
          <w:rPr>
            <w:rFonts w:asciiTheme="minorHAnsi" w:eastAsiaTheme="minorEastAsia" w:hAnsiTheme="minorHAnsi" w:cstheme="minorBidi"/>
            <w:noProof/>
            <w:kern w:val="2"/>
            <w:sz w:val="22"/>
            <w:lang w:eastAsia="cs-CZ"/>
            <w14:ligatures w14:val="standardContextual"/>
          </w:rPr>
          <w:tab/>
        </w:r>
        <w:r w:rsidR="00FC24B6" w:rsidRPr="008A1971">
          <w:rPr>
            <w:rStyle w:val="Hypertextovodkaz"/>
            <w:noProof/>
          </w:rPr>
          <w:t>Vzájemné porovnání variantních možností</w:t>
        </w:r>
        <w:r w:rsidR="00FC24B6">
          <w:rPr>
            <w:noProof/>
            <w:webHidden/>
          </w:rPr>
          <w:tab/>
        </w:r>
        <w:r w:rsidR="00FC24B6">
          <w:rPr>
            <w:noProof/>
            <w:webHidden/>
          </w:rPr>
          <w:fldChar w:fldCharType="begin"/>
        </w:r>
        <w:r w:rsidR="00FC24B6">
          <w:rPr>
            <w:noProof/>
            <w:webHidden/>
          </w:rPr>
          <w:instrText xml:space="preserve"> PAGEREF _Toc138848178 \h </w:instrText>
        </w:r>
        <w:r w:rsidR="00FC24B6">
          <w:rPr>
            <w:noProof/>
            <w:webHidden/>
          </w:rPr>
        </w:r>
        <w:r w:rsidR="00FC24B6">
          <w:rPr>
            <w:noProof/>
            <w:webHidden/>
          </w:rPr>
          <w:fldChar w:fldCharType="separate"/>
        </w:r>
        <w:r w:rsidR="00F45A70">
          <w:rPr>
            <w:noProof/>
            <w:webHidden/>
          </w:rPr>
          <w:t>153</w:t>
        </w:r>
        <w:r w:rsidR="00FC24B6">
          <w:rPr>
            <w:noProof/>
            <w:webHidden/>
          </w:rPr>
          <w:fldChar w:fldCharType="end"/>
        </w:r>
      </w:hyperlink>
    </w:p>
    <w:p w14:paraId="3B44DB47" w14:textId="2EB6207B" w:rsidR="00FC24B6" w:rsidRDefault="00704D62">
      <w:pPr>
        <w:pStyle w:val="Obsah5"/>
        <w:rPr>
          <w:rFonts w:asciiTheme="minorHAnsi" w:eastAsiaTheme="minorEastAsia" w:hAnsiTheme="minorHAnsi" w:cstheme="minorBidi"/>
          <w:noProof/>
          <w:kern w:val="2"/>
          <w:sz w:val="22"/>
          <w:lang w:eastAsia="cs-CZ"/>
          <w14:ligatures w14:val="standardContextual"/>
        </w:rPr>
      </w:pPr>
      <w:hyperlink w:anchor="_Toc138848179" w:history="1">
        <w:r w:rsidR="00FC24B6" w:rsidRPr="008A1971">
          <w:rPr>
            <w:rStyle w:val="Hypertextovodkaz"/>
            <w:noProof/>
          </w:rPr>
          <w:t>Tab. 9</w:t>
        </w:r>
        <w:r w:rsidR="00FC24B6">
          <w:rPr>
            <w:rFonts w:asciiTheme="minorHAnsi" w:eastAsiaTheme="minorEastAsia" w:hAnsiTheme="minorHAnsi" w:cstheme="minorBidi"/>
            <w:noProof/>
            <w:kern w:val="2"/>
            <w:sz w:val="22"/>
            <w:lang w:eastAsia="cs-CZ"/>
            <w14:ligatures w14:val="standardContextual"/>
          </w:rPr>
          <w:tab/>
        </w:r>
        <w:r w:rsidR="00FC24B6" w:rsidRPr="008A1971">
          <w:rPr>
            <w:rStyle w:val="Hypertextovodkaz"/>
            <w:noProof/>
          </w:rPr>
          <w:t>Zapracování cílů ochrany životního prostředí přijatých na vnitrostátní úrovni</w:t>
        </w:r>
        <w:r w:rsidR="00FC24B6">
          <w:rPr>
            <w:noProof/>
            <w:webHidden/>
          </w:rPr>
          <w:tab/>
        </w:r>
        <w:r w:rsidR="00FC24B6">
          <w:rPr>
            <w:noProof/>
            <w:webHidden/>
          </w:rPr>
          <w:fldChar w:fldCharType="begin"/>
        </w:r>
        <w:r w:rsidR="00FC24B6">
          <w:rPr>
            <w:noProof/>
            <w:webHidden/>
          </w:rPr>
          <w:instrText xml:space="preserve"> PAGEREF _Toc138848179 \h </w:instrText>
        </w:r>
        <w:r w:rsidR="00FC24B6">
          <w:rPr>
            <w:noProof/>
            <w:webHidden/>
          </w:rPr>
        </w:r>
        <w:r w:rsidR="00FC24B6">
          <w:rPr>
            <w:noProof/>
            <w:webHidden/>
          </w:rPr>
          <w:fldChar w:fldCharType="separate"/>
        </w:r>
        <w:r w:rsidR="00F45A70">
          <w:rPr>
            <w:noProof/>
            <w:webHidden/>
          </w:rPr>
          <w:t>160</w:t>
        </w:r>
        <w:r w:rsidR="00FC24B6">
          <w:rPr>
            <w:noProof/>
            <w:webHidden/>
          </w:rPr>
          <w:fldChar w:fldCharType="end"/>
        </w:r>
      </w:hyperlink>
    </w:p>
    <w:p w14:paraId="5B9D1985" w14:textId="1D76C6B9" w:rsidR="00FC24B6" w:rsidRDefault="00704D62">
      <w:pPr>
        <w:pStyle w:val="Obsah5"/>
        <w:rPr>
          <w:rFonts w:asciiTheme="minorHAnsi" w:eastAsiaTheme="minorEastAsia" w:hAnsiTheme="minorHAnsi" w:cstheme="minorBidi"/>
          <w:noProof/>
          <w:kern w:val="2"/>
          <w:sz w:val="22"/>
          <w:lang w:eastAsia="cs-CZ"/>
          <w14:ligatures w14:val="standardContextual"/>
        </w:rPr>
      </w:pPr>
      <w:hyperlink w:anchor="_Toc138848180" w:history="1">
        <w:r w:rsidR="00FC24B6" w:rsidRPr="008A1971">
          <w:rPr>
            <w:rStyle w:val="Hypertextovodkaz"/>
            <w:noProof/>
          </w:rPr>
          <w:t>Tab. 10</w:t>
        </w:r>
        <w:r w:rsidR="00FC24B6">
          <w:rPr>
            <w:rFonts w:asciiTheme="minorHAnsi" w:eastAsiaTheme="minorEastAsia" w:hAnsiTheme="minorHAnsi" w:cstheme="minorBidi"/>
            <w:noProof/>
            <w:kern w:val="2"/>
            <w:sz w:val="22"/>
            <w:lang w:eastAsia="cs-CZ"/>
            <w14:ligatures w14:val="standardContextual"/>
          </w:rPr>
          <w:tab/>
        </w:r>
        <w:r w:rsidR="00FC24B6" w:rsidRPr="008A1971">
          <w:rPr>
            <w:rStyle w:val="Hypertextovodkaz"/>
            <w:noProof/>
          </w:rPr>
          <w:t>Vliv na naplňování vybraných cílů a indikátorů v oblasti environmentálního pilíře dle ÚAP nástroji územního plánování promítnutými v posuzované ÚPD</w:t>
        </w:r>
        <w:r w:rsidR="00FC24B6">
          <w:rPr>
            <w:noProof/>
            <w:webHidden/>
          </w:rPr>
          <w:tab/>
        </w:r>
        <w:r w:rsidR="00FC24B6">
          <w:rPr>
            <w:noProof/>
            <w:webHidden/>
          </w:rPr>
          <w:fldChar w:fldCharType="begin"/>
        </w:r>
        <w:r w:rsidR="00FC24B6">
          <w:rPr>
            <w:noProof/>
            <w:webHidden/>
          </w:rPr>
          <w:instrText xml:space="preserve"> PAGEREF _Toc138848180 \h </w:instrText>
        </w:r>
        <w:r w:rsidR="00FC24B6">
          <w:rPr>
            <w:noProof/>
            <w:webHidden/>
          </w:rPr>
        </w:r>
        <w:r w:rsidR="00FC24B6">
          <w:rPr>
            <w:noProof/>
            <w:webHidden/>
          </w:rPr>
          <w:fldChar w:fldCharType="separate"/>
        </w:r>
        <w:r w:rsidR="00F45A70">
          <w:rPr>
            <w:noProof/>
            <w:webHidden/>
          </w:rPr>
          <w:t>179</w:t>
        </w:r>
        <w:r w:rsidR="00FC24B6">
          <w:rPr>
            <w:noProof/>
            <w:webHidden/>
          </w:rPr>
          <w:fldChar w:fldCharType="end"/>
        </w:r>
      </w:hyperlink>
    </w:p>
    <w:p w14:paraId="34E8DE48" w14:textId="090AF22F" w:rsidR="00FC24B6" w:rsidRDefault="00704D62">
      <w:pPr>
        <w:pStyle w:val="Obsah5"/>
        <w:rPr>
          <w:rFonts w:asciiTheme="minorHAnsi" w:eastAsiaTheme="minorEastAsia" w:hAnsiTheme="minorHAnsi" w:cstheme="minorBidi"/>
          <w:noProof/>
          <w:kern w:val="2"/>
          <w:sz w:val="22"/>
          <w:lang w:eastAsia="cs-CZ"/>
          <w14:ligatures w14:val="standardContextual"/>
        </w:rPr>
      </w:pPr>
      <w:hyperlink w:anchor="_Toc138848181" w:history="1">
        <w:r w:rsidR="00FC24B6" w:rsidRPr="008A1971">
          <w:rPr>
            <w:rStyle w:val="Hypertextovodkaz"/>
            <w:noProof/>
          </w:rPr>
          <w:t>Tab. 11</w:t>
        </w:r>
        <w:r w:rsidR="00FC24B6">
          <w:rPr>
            <w:rFonts w:asciiTheme="minorHAnsi" w:eastAsiaTheme="minorEastAsia" w:hAnsiTheme="minorHAnsi" w:cstheme="minorBidi"/>
            <w:noProof/>
            <w:kern w:val="2"/>
            <w:sz w:val="22"/>
            <w:lang w:eastAsia="cs-CZ"/>
            <w14:ligatures w14:val="standardContextual"/>
          </w:rPr>
          <w:tab/>
        </w:r>
        <w:r w:rsidR="00FC24B6" w:rsidRPr="008A1971">
          <w:rPr>
            <w:rStyle w:val="Hypertextovodkaz"/>
            <w:noProof/>
          </w:rPr>
          <w:t>Vliv na naplňování vybraných cílů a indikátorů v oblasti sociálního pilíře dle ÚAP nástroji územního plánování promítnutými v posuzované ÚPD</w:t>
        </w:r>
        <w:r w:rsidR="00FC24B6">
          <w:rPr>
            <w:noProof/>
            <w:webHidden/>
          </w:rPr>
          <w:tab/>
        </w:r>
        <w:r w:rsidR="00FC24B6">
          <w:rPr>
            <w:noProof/>
            <w:webHidden/>
          </w:rPr>
          <w:fldChar w:fldCharType="begin"/>
        </w:r>
        <w:r w:rsidR="00FC24B6">
          <w:rPr>
            <w:noProof/>
            <w:webHidden/>
          </w:rPr>
          <w:instrText xml:space="preserve"> PAGEREF _Toc138848181 \h </w:instrText>
        </w:r>
        <w:r w:rsidR="00FC24B6">
          <w:rPr>
            <w:noProof/>
            <w:webHidden/>
          </w:rPr>
        </w:r>
        <w:r w:rsidR="00FC24B6">
          <w:rPr>
            <w:noProof/>
            <w:webHidden/>
          </w:rPr>
          <w:fldChar w:fldCharType="separate"/>
        </w:r>
        <w:r w:rsidR="00F45A70">
          <w:rPr>
            <w:noProof/>
            <w:webHidden/>
          </w:rPr>
          <w:t>181</w:t>
        </w:r>
        <w:r w:rsidR="00FC24B6">
          <w:rPr>
            <w:noProof/>
            <w:webHidden/>
          </w:rPr>
          <w:fldChar w:fldCharType="end"/>
        </w:r>
      </w:hyperlink>
    </w:p>
    <w:p w14:paraId="64A43743" w14:textId="1D05EC6A" w:rsidR="00FC24B6" w:rsidRDefault="00704D62">
      <w:pPr>
        <w:pStyle w:val="Obsah5"/>
        <w:tabs>
          <w:tab w:val="left" w:pos="1418"/>
        </w:tabs>
        <w:rPr>
          <w:rFonts w:asciiTheme="minorHAnsi" w:eastAsiaTheme="minorEastAsia" w:hAnsiTheme="minorHAnsi" w:cstheme="minorBidi"/>
          <w:noProof/>
          <w:kern w:val="2"/>
          <w:sz w:val="22"/>
          <w:lang w:eastAsia="cs-CZ"/>
          <w14:ligatures w14:val="standardContextual"/>
        </w:rPr>
      </w:pPr>
      <w:hyperlink w:anchor="_Toc138848182" w:history="1">
        <w:r w:rsidR="00FC24B6" w:rsidRPr="008A1971">
          <w:rPr>
            <w:rStyle w:val="Hypertextovodkaz"/>
            <w:noProof/>
          </w:rPr>
          <w:t>Tab. 12</w:t>
        </w:r>
        <w:r w:rsidR="00FC24B6">
          <w:rPr>
            <w:rFonts w:asciiTheme="minorHAnsi" w:eastAsiaTheme="minorEastAsia" w:hAnsiTheme="minorHAnsi" w:cstheme="minorBidi"/>
            <w:noProof/>
            <w:kern w:val="2"/>
            <w:sz w:val="22"/>
            <w:lang w:eastAsia="cs-CZ"/>
            <w14:ligatures w14:val="standardContextual"/>
          </w:rPr>
          <w:tab/>
        </w:r>
        <w:r w:rsidR="00FC24B6" w:rsidRPr="008A1971">
          <w:rPr>
            <w:rStyle w:val="Hypertextovodkaz"/>
            <w:noProof/>
          </w:rPr>
          <w:t>Vliv na naplňování vybraných cílů a indikátorů v oblasti ekonomického pilíře dle ÚAP nástroji územního plánování promítnutými v posuzované ÚPD</w:t>
        </w:r>
        <w:r w:rsidR="00FC24B6">
          <w:rPr>
            <w:noProof/>
            <w:webHidden/>
          </w:rPr>
          <w:tab/>
        </w:r>
        <w:r w:rsidR="00FC24B6">
          <w:rPr>
            <w:noProof/>
            <w:webHidden/>
          </w:rPr>
          <w:fldChar w:fldCharType="begin"/>
        </w:r>
        <w:r w:rsidR="00FC24B6">
          <w:rPr>
            <w:noProof/>
            <w:webHidden/>
          </w:rPr>
          <w:instrText xml:space="preserve"> PAGEREF _Toc138848182 \h </w:instrText>
        </w:r>
        <w:r w:rsidR="00FC24B6">
          <w:rPr>
            <w:noProof/>
            <w:webHidden/>
          </w:rPr>
        </w:r>
        <w:r w:rsidR="00FC24B6">
          <w:rPr>
            <w:noProof/>
            <w:webHidden/>
          </w:rPr>
          <w:fldChar w:fldCharType="separate"/>
        </w:r>
        <w:r w:rsidR="00F45A70">
          <w:rPr>
            <w:noProof/>
            <w:webHidden/>
          </w:rPr>
          <w:t>183</w:t>
        </w:r>
        <w:r w:rsidR="00FC24B6">
          <w:rPr>
            <w:noProof/>
            <w:webHidden/>
          </w:rPr>
          <w:fldChar w:fldCharType="end"/>
        </w:r>
      </w:hyperlink>
    </w:p>
    <w:p w14:paraId="0AE8EDA5" w14:textId="6F55C510" w:rsidR="00FC24B6" w:rsidRDefault="00704D62">
      <w:pPr>
        <w:pStyle w:val="Obsah5"/>
        <w:rPr>
          <w:rFonts w:asciiTheme="minorHAnsi" w:eastAsiaTheme="minorEastAsia" w:hAnsiTheme="minorHAnsi" w:cstheme="minorBidi"/>
          <w:noProof/>
          <w:kern w:val="2"/>
          <w:sz w:val="22"/>
          <w:lang w:eastAsia="cs-CZ"/>
          <w14:ligatures w14:val="standardContextual"/>
        </w:rPr>
      </w:pPr>
      <w:hyperlink w:anchor="_Toc138848183" w:history="1">
        <w:r w:rsidR="00FC24B6" w:rsidRPr="008A1971">
          <w:rPr>
            <w:rStyle w:val="Hypertextovodkaz"/>
            <w:noProof/>
          </w:rPr>
          <w:t>Tab. 13</w:t>
        </w:r>
        <w:r w:rsidR="00FC24B6">
          <w:rPr>
            <w:rFonts w:asciiTheme="minorHAnsi" w:eastAsiaTheme="minorEastAsia" w:hAnsiTheme="minorHAnsi" w:cstheme="minorBidi"/>
            <w:noProof/>
            <w:kern w:val="2"/>
            <w:sz w:val="22"/>
            <w:lang w:eastAsia="cs-CZ"/>
            <w14:ligatures w14:val="standardContextual"/>
          </w:rPr>
          <w:tab/>
        </w:r>
        <w:r w:rsidR="00FC24B6" w:rsidRPr="008A1971">
          <w:rPr>
            <w:rStyle w:val="Hypertextovodkaz"/>
            <w:noProof/>
          </w:rPr>
          <w:t>Vliv řešené ÚPD na zachování a rozvoj vybraných hodnot území dle ÚAP</w:t>
        </w:r>
        <w:r w:rsidR="00FC24B6">
          <w:rPr>
            <w:noProof/>
            <w:webHidden/>
          </w:rPr>
          <w:tab/>
        </w:r>
        <w:r w:rsidR="00FC24B6">
          <w:rPr>
            <w:noProof/>
            <w:webHidden/>
          </w:rPr>
          <w:fldChar w:fldCharType="begin"/>
        </w:r>
        <w:r w:rsidR="00FC24B6">
          <w:rPr>
            <w:noProof/>
            <w:webHidden/>
          </w:rPr>
          <w:instrText xml:space="preserve"> PAGEREF _Toc138848183 \h </w:instrText>
        </w:r>
        <w:r w:rsidR="00FC24B6">
          <w:rPr>
            <w:noProof/>
            <w:webHidden/>
          </w:rPr>
        </w:r>
        <w:r w:rsidR="00FC24B6">
          <w:rPr>
            <w:noProof/>
            <w:webHidden/>
          </w:rPr>
          <w:fldChar w:fldCharType="separate"/>
        </w:r>
        <w:r w:rsidR="00F45A70">
          <w:rPr>
            <w:noProof/>
            <w:webHidden/>
          </w:rPr>
          <w:t>184</w:t>
        </w:r>
        <w:r w:rsidR="00FC24B6">
          <w:rPr>
            <w:noProof/>
            <w:webHidden/>
          </w:rPr>
          <w:fldChar w:fldCharType="end"/>
        </w:r>
      </w:hyperlink>
    </w:p>
    <w:p w14:paraId="24F1806D" w14:textId="6CD7D122" w:rsidR="00FC24B6" w:rsidRDefault="00704D62">
      <w:pPr>
        <w:pStyle w:val="Obsah5"/>
        <w:rPr>
          <w:rFonts w:asciiTheme="minorHAnsi" w:eastAsiaTheme="minorEastAsia" w:hAnsiTheme="minorHAnsi" w:cstheme="minorBidi"/>
          <w:noProof/>
          <w:kern w:val="2"/>
          <w:sz w:val="22"/>
          <w:lang w:eastAsia="cs-CZ"/>
          <w14:ligatures w14:val="standardContextual"/>
        </w:rPr>
      </w:pPr>
      <w:hyperlink w:anchor="_Toc138848184" w:history="1">
        <w:r w:rsidR="00FC24B6" w:rsidRPr="008A1971">
          <w:rPr>
            <w:rStyle w:val="Hypertextovodkaz"/>
            <w:noProof/>
          </w:rPr>
          <w:t>Tab. 14</w:t>
        </w:r>
        <w:r w:rsidR="00FC24B6">
          <w:rPr>
            <w:rFonts w:asciiTheme="minorHAnsi" w:eastAsiaTheme="minorEastAsia" w:hAnsiTheme="minorHAnsi" w:cstheme="minorBidi"/>
            <w:noProof/>
            <w:kern w:val="2"/>
            <w:sz w:val="22"/>
            <w:lang w:eastAsia="cs-CZ"/>
            <w14:ligatures w14:val="standardContextual"/>
          </w:rPr>
          <w:tab/>
        </w:r>
        <w:r w:rsidR="00FC24B6" w:rsidRPr="008A1971">
          <w:rPr>
            <w:rStyle w:val="Hypertextovodkaz"/>
            <w:noProof/>
          </w:rPr>
          <w:t>Sada referenčních cílů udržitelného rozvoje</w:t>
        </w:r>
        <w:r w:rsidR="00FC24B6">
          <w:rPr>
            <w:noProof/>
            <w:webHidden/>
          </w:rPr>
          <w:tab/>
        </w:r>
        <w:r w:rsidR="00FC24B6">
          <w:rPr>
            <w:noProof/>
            <w:webHidden/>
          </w:rPr>
          <w:fldChar w:fldCharType="begin"/>
        </w:r>
        <w:r w:rsidR="00FC24B6">
          <w:rPr>
            <w:noProof/>
            <w:webHidden/>
          </w:rPr>
          <w:instrText xml:space="preserve"> PAGEREF _Toc138848184 \h </w:instrText>
        </w:r>
        <w:r w:rsidR="00FC24B6">
          <w:rPr>
            <w:noProof/>
            <w:webHidden/>
          </w:rPr>
        </w:r>
        <w:r w:rsidR="00FC24B6">
          <w:rPr>
            <w:noProof/>
            <w:webHidden/>
          </w:rPr>
          <w:fldChar w:fldCharType="separate"/>
        </w:r>
        <w:r w:rsidR="00F45A70">
          <w:rPr>
            <w:noProof/>
            <w:webHidden/>
          </w:rPr>
          <w:t>187</w:t>
        </w:r>
        <w:r w:rsidR="00FC24B6">
          <w:rPr>
            <w:noProof/>
            <w:webHidden/>
          </w:rPr>
          <w:fldChar w:fldCharType="end"/>
        </w:r>
      </w:hyperlink>
    </w:p>
    <w:p w14:paraId="5FD892E3" w14:textId="59109566" w:rsidR="00FC24B6" w:rsidRDefault="00704D62">
      <w:pPr>
        <w:pStyle w:val="Obsah5"/>
        <w:rPr>
          <w:rFonts w:asciiTheme="minorHAnsi" w:eastAsiaTheme="minorEastAsia" w:hAnsiTheme="minorHAnsi" w:cstheme="minorBidi"/>
          <w:noProof/>
          <w:kern w:val="2"/>
          <w:sz w:val="22"/>
          <w:lang w:eastAsia="cs-CZ"/>
          <w14:ligatures w14:val="standardContextual"/>
        </w:rPr>
      </w:pPr>
      <w:hyperlink w:anchor="_Toc138848185" w:history="1">
        <w:r w:rsidR="00FC24B6" w:rsidRPr="008A1971">
          <w:rPr>
            <w:rStyle w:val="Hypertextovodkaz"/>
            <w:noProof/>
          </w:rPr>
          <w:t>Tab. 15</w:t>
        </w:r>
        <w:r w:rsidR="00FC24B6">
          <w:rPr>
            <w:rFonts w:asciiTheme="minorHAnsi" w:eastAsiaTheme="minorEastAsia" w:hAnsiTheme="minorHAnsi" w:cstheme="minorBidi"/>
            <w:noProof/>
            <w:kern w:val="2"/>
            <w:sz w:val="22"/>
            <w:lang w:eastAsia="cs-CZ"/>
            <w14:ligatures w14:val="standardContextual"/>
          </w:rPr>
          <w:tab/>
        </w:r>
        <w:r w:rsidR="00FC24B6" w:rsidRPr="008A1971">
          <w:rPr>
            <w:rStyle w:val="Hypertextovodkaz"/>
            <w:noProof/>
          </w:rPr>
          <w:t>Charakteristika referenčních cílů ekonomického a sociálního pilíře udržitelného rozvoje a způsobu hodnocení</w:t>
        </w:r>
        <w:r w:rsidR="00FC24B6">
          <w:rPr>
            <w:noProof/>
            <w:webHidden/>
          </w:rPr>
          <w:tab/>
        </w:r>
        <w:r w:rsidR="00FC24B6">
          <w:rPr>
            <w:noProof/>
            <w:webHidden/>
          </w:rPr>
          <w:fldChar w:fldCharType="begin"/>
        </w:r>
        <w:r w:rsidR="00FC24B6">
          <w:rPr>
            <w:noProof/>
            <w:webHidden/>
          </w:rPr>
          <w:instrText xml:space="preserve"> PAGEREF _Toc138848185 \h </w:instrText>
        </w:r>
        <w:r w:rsidR="00FC24B6">
          <w:rPr>
            <w:noProof/>
            <w:webHidden/>
          </w:rPr>
        </w:r>
        <w:r w:rsidR="00FC24B6">
          <w:rPr>
            <w:noProof/>
            <w:webHidden/>
          </w:rPr>
          <w:fldChar w:fldCharType="separate"/>
        </w:r>
        <w:r w:rsidR="00F45A70">
          <w:rPr>
            <w:noProof/>
            <w:webHidden/>
          </w:rPr>
          <w:t>188</w:t>
        </w:r>
        <w:r w:rsidR="00FC24B6">
          <w:rPr>
            <w:noProof/>
            <w:webHidden/>
          </w:rPr>
          <w:fldChar w:fldCharType="end"/>
        </w:r>
      </w:hyperlink>
    </w:p>
    <w:p w14:paraId="1222E7CA" w14:textId="1287FEA3" w:rsidR="000B6260" w:rsidRPr="006B3F59" w:rsidRDefault="0018499E" w:rsidP="00F960D0">
      <w:pPr>
        <w:spacing w:before="360"/>
        <w:rPr>
          <w:rFonts w:cs="Arial"/>
          <w:color w:val="0070C0"/>
          <w:sz w:val="40"/>
          <w:szCs w:val="40"/>
        </w:rPr>
      </w:pPr>
      <w:r w:rsidRPr="006B3F59">
        <w:rPr>
          <w:rFonts w:eastAsia="Times New Roman"/>
          <w:noProof/>
          <w:szCs w:val="20"/>
          <w:lang w:eastAsia="cs-CZ"/>
        </w:rPr>
        <w:fldChar w:fldCharType="end"/>
      </w:r>
      <w:r w:rsidR="000B6260" w:rsidRPr="006B3F59">
        <w:rPr>
          <w:rFonts w:cs="Arial"/>
          <w:color w:val="0070C0"/>
          <w:sz w:val="40"/>
          <w:szCs w:val="40"/>
        </w:rPr>
        <w:t>Seznam obrázků</w:t>
      </w:r>
      <w:bookmarkEnd w:id="3"/>
    </w:p>
    <w:p w14:paraId="68CE0959" w14:textId="6436D178" w:rsidR="00FC24B6" w:rsidRDefault="0018499E">
      <w:pPr>
        <w:pStyle w:val="Obsah5"/>
        <w:rPr>
          <w:rFonts w:asciiTheme="minorHAnsi" w:eastAsiaTheme="minorEastAsia" w:hAnsiTheme="minorHAnsi" w:cstheme="minorBidi"/>
          <w:noProof/>
          <w:kern w:val="2"/>
          <w:sz w:val="22"/>
          <w:lang w:eastAsia="cs-CZ"/>
          <w14:ligatures w14:val="standardContextual"/>
        </w:rPr>
      </w:pPr>
      <w:r w:rsidRPr="006B3F59">
        <w:rPr>
          <w:rFonts w:eastAsia="Times New Roman"/>
          <w:caps/>
          <w:noProof/>
          <w:szCs w:val="20"/>
          <w:lang w:eastAsia="cs-CZ"/>
        </w:rPr>
        <w:fldChar w:fldCharType="begin"/>
      </w:r>
      <w:r w:rsidRPr="006B3F59">
        <w:rPr>
          <w:rFonts w:eastAsia="Times New Roman"/>
          <w:caps/>
          <w:noProof/>
          <w:szCs w:val="20"/>
          <w:lang w:eastAsia="cs-CZ"/>
        </w:rPr>
        <w:instrText xml:space="preserve"> TOC \t "Obr. nadpis;5" </w:instrText>
      </w:r>
      <w:r w:rsidRPr="006B3F59">
        <w:rPr>
          <w:rFonts w:eastAsia="Times New Roman"/>
          <w:caps/>
          <w:noProof/>
          <w:szCs w:val="20"/>
          <w:lang w:eastAsia="cs-CZ"/>
        </w:rPr>
        <w:fldChar w:fldCharType="separate"/>
      </w:r>
      <w:r w:rsidR="00FC24B6" w:rsidRPr="00087486">
        <w:rPr>
          <w:rFonts w:cs="Arial"/>
          <w:bCs/>
          <w:noProof/>
          <w:snapToGrid w:val="0"/>
        </w:rPr>
        <w:t>Obr. 1</w:t>
      </w:r>
      <w:r w:rsidR="00FC24B6">
        <w:rPr>
          <w:rFonts w:asciiTheme="minorHAnsi" w:eastAsiaTheme="minorEastAsia" w:hAnsiTheme="minorHAnsi" w:cstheme="minorBidi"/>
          <w:noProof/>
          <w:kern w:val="2"/>
          <w:sz w:val="22"/>
          <w:lang w:eastAsia="cs-CZ"/>
          <w14:ligatures w14:val="standardContextual"/>
        </w:rPr>
        <w:tab/>
      </w:r>
      <w:r w:rsidR="00FC24B6">
        <w:rPr>
          <w:noProof/>
        </w:rPr>
        <w:t>Zákres řešeného území do ortofoto, zdroj: IPR</w:t>
      </w:r>
      <w:r w:rsidR="00FC24B6">
        <w:rPr>
          <w:noProof/>
        </w:rPr>
        <w:tab/>
      </w:r>
      <w:r w:rsidR="00FC24B6">
        <w:rPr>
          <w:noProof/>
        </w:rPr>
        <w:fldChar w:fldCharType="begin"/>
      </w:r>
      <w:r w:rsidR="00FC24B6">
        <w:rPr>
          <w:noProof/>
        </w:rPr>
        <w:instrText xml:space="preserve"> PAGEREF _Toc138848189 \h </w:instrText>
      </w:r>
      <w:r w:rsidR="00FC24B6">
        <w:rPr>
          <w:noProof/>
        </w:rPr>
      </w:r>
      <w:r w:rsidR="00FC24B6">
        <w:rPr>
          <w:noProof/>
        </w:rPr>
        <w:fldChar w:fldCharType="separate"/>
      </w:r>
      <w:r w:rsidR="00F45A70">
        <w:rPr>
          <w:noProof/>
        </w:rPr>
        <w:t>12</w:t>
      </w:r>
      <w:r w:rsidR="00FC24B6">
        <w:rPr>
          <w:noProof/>
        </w:rPr>
        <w:fldChar w:fldCharType="end"/>
      </w:r>
    </w:p>
    <w:p w14:paraId="43498FD8" w14:textId="2395BC56" w:rsidR="00FC24B6" w:rsidRDefault="00FC24B6">
      <w:pPr>
        <w:pStyle w:val="Obsah5"/>
        <w:rPr>
          <w:rFonts w:asciiTheme="minorHAnsi" w:eastAsiaTheme="minorEastAsia" w:hAnsiTheme="minorHAnsi" w:cstheme="minorBidi"/>
          <w:noProof/>
          <w:kern w:val="2"/>
          <w:sz w:val="22"/>
          <w:lang w:eastAsia="cs-CZ"/>
          <w14:ligatures w14:val="standardContextual"/>
        </w:rPr>
      </w:pPr>
      <w:r w:rsidRPr="00087486">
        <w:rPr>
          <w:rFonts w:cs="Arial"/>
          <w:bCs/>
          <w:noProof/>
          <w:snapToGrid w:val="0"/>
        </w:rPr>
        <w:t>Obr. 2</w:t>
      </w:r>
      <w:r>
        <w:rPr>
          <w:rFonts w:asciiTheme="minorHAnsi" w:eastAsiaTheme="minorEastAsia" w:hAnsiTheme="minorHAnsi" w:cstheme="minorBidi"/>
          <w:noProof/>
          <w:kern w:val="2"/>
          <w:sz w:val="22"/>
          <w:lang w:eastAsia="cs-CZ"/>
          <w14:ligatures w14:val="standardContextual"/>
        </w:rPr>
        <w:tab/>
      </w:r>
      <w:r>
        <w:rPr>
          <w:noProof/>
        </w:rPr>
        <w:t>Zákres řešeného území do platného stavu ÚP, zdroj: IPR</w:t>
      </w:r>
      <w:r>
        <w:rPr>
          <w:noProof/>
        </w:rPr>
        <w:tab/>
      </w:r>
      <w:r>
        <w:rPr>
          <w:noProof/>
        </w:rPr>
        <w:fldChar w:fldCharType="begin"/>
      </w:r>
      <w:r>
        <w:rPr>
          <w:noProof/>
        </w:rPr>
        <w:instrText xml:space="preserve"> PAGEREF _Toc138848190 \h </w:instrText>
      </w:r>
      <w:r>
        <w:rPr>
          <w:noProof/>
        </w:rPr>
      </w:r>
      <w:r>
        <w:rPr>
          <w:noProof/>
        </w:rPr>
        <w:fldChar w:fldCharType="separate"/>
      </w:r>
      <w:r w:rsidR="00F45A70">
        <w:rPr>
          <w:noProof/>
        </w:rPr>
        <w:t>12</w:t>
      </w:r>
      <w:r>
        <w:rPr>
          <w:noProof/>
        </w:rPr>
        <w:fldChar w:fldCharType="end"/>
      </w:r>
    </w:p>
    <w:p w14:paraId="78203C9D" w14:textId="04530DA2" w:rsidR="00FC24B6" w:rsidRDefault="00FC24B6">
      <w:pPr>
        <w:pStyle w:val="Obsah5"/>
        <w:rPr>
          <w:rFonts w:asciiTheme="minorHAnsi" w:eastAsiaTheme="minorEastAsia" w:hAnsiTheme="minorHAnsi" w:cstheme="minorBidi"/>
          <w:noProof/>
          <w:kern w:val="2"/>
          <w:sz w:val="22"/>
          <w:lang w:eastAsia="cs-CZ"/>
          <w14:ligatures w14:val="standardContextual"/>
        </w:rPr>
      </w:pPr>
      <w:r w:rsidRPr="00087486">
        <w:rPr>
          <w:rFonts w:cs="Arial"/>
          <w:bCs/>
          <w:noProof/>
          <w:snapToGrid w:val="0"/>
        </w:rPr>
        <w:t>Obr. 3</w:t>
      </w:r>
      <w:r>
        <w:rPr>
          <w:rFonts w:asciiTheme="minorHAnsi" w:eastAsiaTheme="minorEastAsia" w:hAnsiTheme="minorHAnsi" w:cstheme="minorBidi"/>
          <w:noProof/>
          <w:kern w:val="2"/>
          <w:sz w:val="22"/>
          <w:lang w:eastAsia="cs-CZ"/>
          <w14:ligatures w14:val="standardContextual"/>
        </w:rPr>
        <w:tab/>
      </w:r>
      <w:r>
        <w:rPr>
          <w:noProof/>
        </w:rPr>
        <w:t>Výkres č. 4 ÚPSÚ HLMP – plán využití ploch, platný stav, zdroj IPR, cit 30.3.2023</w:t>
      </w:r>
      <w:r>
        <w:rPr>
          <w:noProof/>
        </w:rPr>
        <w:tab/>
      </w:r>
      <w:r>
        <w:rPr>
          <w:noProof/>
        </w:rPr>
        <w:fldChar w:fldCharType="begin"/>
      </w:r>
      <w:r>
        <w:rPr>
          <w:noProof/>
        </w:rPr>
        <w:instrText xml:space="preserve"> PAGEREF _Toc138848191 \h </w:instrText>
      </w:r>
      <w:r>
        <w:rPr>
          <w:noProof/>
        </w:rPr>
      </w:r>
      <w:r>
        <w:rPr>
          <w:noProof/>
        </w:rPr>
        <w:fldChar w:fldCharType="separate"/>
      </w:r>
      <w:r w:rsidR="00F45A70">
        <w:rPr>
          <w:noProof/>
        </w:rPr>
        <w:t>25</w:t>
      </w:r>
      <w:r>
        <w:rPr>
          <w:noProof/>
        </w:rPr>
        <w:fldChar w:fldCharType="end"/>
      </w:r>
    </w:p>
    <w:p w14:paraId="07C24980" w14:textId="5FA5D5D7" w:rsidR="00FC24B6" w:rsidRDefault="00FC24B6">
      <w:pPr>
        <w:pStyle w:val="Obsah5"/>
        <w:rPr>
          <w:rFonts w:asciiTheme="minorHAnsi" w:eastAsiaTheme="minorEastAsia" w:hAnsiTheme="minorHAnsi" w:cstheme="minorBidi"/>
          <w:noProof/>
          <w:kern w:val="2"/>
          <w:sz w:val="22"/>
          <w:lang w:eastAsia="cs-CZ"/>
          <w14:ligatures w14:val="standardContextual"/>
        </w:rPr>
      </w:pPr>
      <w:r w:rsidRPr="00087486">
        <w:rPr>
          <w:rFonts w:eastAsia="Century Gothic" w:cs="Arial"/>
          <w:bCs/>
          <w:noProof/>
          <w:snapToGrid w:val="0"/>
        </w:rPr>
        <w:t>Obr. 4</w:t>
      </w:r>
      <w:r>
        <w:rPr>
          <w:rFonts w:asciiTheme="minorHAnsi" w:eastAsiaTheme="minorEastAsia" w:hAnsiTheme="minorHAnsi" w:cstheme="minorBidi"/>
          <w:noProof/>
          <w:kern w:val="2"/>
          <w:sz w:val="22"/>
          <w:lang w:eastAsia="cs-CZ"/>
          <w14:ligatures w14:val="standardContextual"/>
        </w:rPr>
        <w:tab/>
      </w:r>
      <w:r w:rsidRPr="00087486">
        <w:rPr>
          <w:rFonts w:eastAsia="Century Gothic"/>
          <w:noProof/>
        </w:rPr>
        <w:t>3827/00 Grafické řešení – měněné plochy, zdroj: IPR</w:t>
      </w:r>
      <w:r>
        <w:rPr>
          <w:noProof/>
        </w:rPr>
        <w:tab/>
      </w:r>
      <w:r>
        <w:rPr>
          <w:noProof/>
        </w:rPr>
        <w:fldChar w:fldCharType="begin"/>
      </w:r>
      <w:r>
        <w:rPr>
          <w:noProof/>
        </w:rPr>
        <w:instrText xml:space="preserve"> PAGEREF _Toc138848192 \h </w:instrText>
      </w:r>
      <w:r>
        <w:rPr>
          <w:noProof/>
        </w:rPr>
      </w:r>
      <w:r>
        <w:rPr>
          <w:noProof/>
        </w:rPr>
        <w:fldChar w:fldCharType="separate"/>
      </w:r>
      <w:r w:rsidR="00F45A70">
        <w:rPr>
          <w:noProof/>
        </w:rPr>
        <w:t>26</w:t>
      </w:r>
      <w:r>
        <w:rPr>
          <w:noProof/>
        </w:rPr>
        <w:fldChar w:fldCharType="end"/>
      </w:r>
    </w:p>
    <w:p w14:paraId="438A6DB8" w14:textId="1D29CF73" w:rsidR="00FC24B6" w:rsidRDefault="00FC24B6">
      <w:pPr>
        <w:pStyle w:val="Obsah5"/>
        <w:rPr>
          <w:rFonts w:asciiTheme="minorHAnsi" w:eastAsiaTheme="minorEastAsia" w:hAnsiTheme="minorHAnsi" w:cstheme="minorBidi"/>
          <w:noProof/>
          <w:kern w:val="2"/>
          <w:sz w:val="22"/>
          <w:lang w:eastAsia="cs-CZ"/>
          <w14:ligatures w14:val="standardContextual"/>
        </w:rPr>
      </w:pPr>
      <w:r w:rsidRPr="00087486">
        <w:rPr>
          <w:rFonts w:cs="Arial"/>
          <w:bCs/>
          <w:noProof/>
          <w:snapToGrid w:val="0"/>
        </w:rPr>
        <w:t>Obr. 5</w:t>
      </w:r>
      <w:r>
        <w:rPr>
          <w:rFonts w:asciiTheme="minorHAnsi" w:eastAsiaTheme="minorEastAsia" w:hAnsiTheme="minorHAnsi" w:cstheme="minorBidi"/>
          <w:noProof/>
          <w:kern w:val="2"/>
          <w:sz w:val="22"/>
          <w:lang w:eastAsia="cs-CZ"/>
          <w14:ligatures w14:val="standardContextual"/>
        </w:rPr>
        <w:tab/>
      </w:r>
      <w:r>
        <w:rPr>
          <w:noProof/>
        </w:rPr>
        <w:t>Promítnutí změny do výkresu č. 4 Plán využití ploch, zdroj: IPR</w:t>
      </w:r>
      <w:r>
        <w:rPr>
          <w:noProof/>
        </w:rPr>
        <w:tab/>
      </w:r>
      <w:r>
        <w:rPr>
          <w:noProof/>
        </w:rPr>
        <w:fldChar w:fldCharType="begin"/>
      </w:r>
      <w:r>
        <w:rPr>
          <w:noProof/>
        </w:rPr>
        <w:instrText xml:space="preserve"> PAGEREF _Toc138848193 \h </w:instrText>
      </w:r>
      <w:r>
        <w:rPr>
          <w:noProof/>
        </w:rPr>
      </w:r>
      <w:r>
        <w:rPr>
          <w:noProof/>
        </w:rPr>
        <w:fldChar w:fldCharType="separate"/>
      </w:r>
      <w:r w:rsidR="00F45A70">
        <w:rPr>
          <w:noProof/>
        </w:rPr>
        <w:t>27</w:t>
      </w:r>
      <w:r>
        <w:rPr>
          <w:noProof/>
        </w:rPr>
        <w:fldChar w:fldCharType="end"/>
      </w:r>
    </w:p>
    <w:p w14:paraId="30A00ADB" w14:textId="1D950C94" w:rsidR="00FC24B6" w:rsidRDefault="00FC24B6">
      <w:pPr>
        <w:pStyle w:val="Obsah5"/>
        <w:rPr>
          <w:rFonts w:asciiTheme="minorHAnsi" w:eastAsiaTheme="minorEastAsia" w:hAnsiTheme="minorHAnsi" w:cstheme="minorBidi"/>
          <w:noProof/>
          <w:kern w:val="2"/>
          <w:sz w:val="22"/>
          <w:lang w:eastAsia="cs-CZ"/>
          <w14:ligatures w14:val="standardContextual"/>
        </w:rPr>
      </w:pPr>
      <w:r w:rsidRPr="00087486">
        <w:rPr>
          <w:rFonts w:cs="Arial"/>
          <w:bCs/>
          <w:noProof/>
          <w:snapToGrid w:val="0"/>
        </w:rPr>
        <w:t>Obr. 6</w:t>
      </w:r>
      <w:r>
        <w:rPr>
          <w:rFonts w:asciiTheme="minorHAnsi" w:eastAsiaTheme="minorEastAsia" w:hAnsiTheme="minorHAnsi" w:cstheme="minorBidi"/>
          <w:noProof/>
          <w:kern w:val="2"/>
          <w:sz w:val="22"/>
          <w:lang w:eastAsia="cs-CZ"/>
          <w14:ligatures w14:val="standardContextual"/>
        </w:rPr>
        <w:tab/>
      </w:r>
      <w:r>
        <w:rPr>
          <w:noProof/>
        </w:rPr>
        <w:t>Orientační ideální struktura zástavby dle ÚS Nový Sedlec – rozvoj Sedlce v řešeném území, IPR, 11/2021</w:t>
      </w:r>
      <w:r>
        <w:rPr>
          <w:noProof/>
        </w:rPr>
        <w:tab/>
      </w:r>
      <w:r>
        <w:rPr>
          <w:noProof/>
        </w:rPr>
        <w:fldChar w:fldCharType="begin"/>
      </w:r>
      <w:r>
        <w:rPr>
          <w:noProof/>
        </w:rPr>
        <w:instrText xml:space="preserve"> PAGEREF _Toc138848194 \h </w:instrText>
      </w:r>
      <w:r>
        <w:rPr>
          <w:noProof/>
        </w:rPr>
      </w:r>
      <w:r>
        <w:rPr>
          <w:noProof/>
        </w:rPr>
        <w:fldChar w:fldCharType="separate"/>
      </w:r>
      <w:r w:rsidR="00F45A70">
        <w:rPr>
          <w:noProof/>
        </w:rPr>
        <w:t>28</w:t>
      </w:r>
      <w:r>
        <w:rPr>
          <w:noProof/>
        </w:rPr>
        <w:fldChar w:fldCharType="end"/>
      </w:r>
    </w:p>
    <w:p w14:paraId="06CD3354" w14:textId="5CD93BE2" w:rsidR="00FC24B6" w:rsidRDefault="00FC24B6">
      <w:pPr>
        <w:pStyle w:val="Obsah5"/>
        <w:rPr>
          <w:rFonts w:asciiTheme="minorHAnsi" w:eastAsiaTheme="minorEastAsia" w:hAnsiTheme="minorHAnsi" w:cstheme="minorBidi"/>
          <w:noProof/>
          <w:kern w:val="2"/>
          <w:sz w:val="22"/>
          <w:lang w:eastAsia="cs-CZ"/>
          <w14:ligatures w14:val="standardContextual"/>
        </w:rPr>
      </w:pPr>
      <w:r w:rsidRPr="00087486">
        <w:rPr>
          <w:rFonts w:cs="Arial"/>
          <w:bCs/>
          <w:noProof/>
          <w:snapToGrid w:val="0"/>
        </w:rPr>
        <w:t>Obr. 7</w:t>
      </w:r>
      <w:r>
        <w:rPr>
          <w:rFonts w:asciiTheme="minorHAnsi" w:eastAsiaTheme="minorEastAsia" w:hAnsiTheme="minorHAnsi" w:cstheme="minorBidi"/>
          <w:noProof/>
          <w:kern w:val="2"/>
          <w:sz w:val="22"/>
          <w:lang w:eastAsia="cs-CZ"/>
          <w14:ligatures w14:val="standardContextual"/>
        </w:rPr>
        <w:tab/>
      </w:r>
      <w:r>
        <w:rPr>
          <w:noProof/>
        </w:rPr>
        <w:t>Orientační ideální struktura zástavby dle ÚS Nový Sedlec – Výhledy v řešeném území, IPR, 11/2021</w:t>
      </w:r>
      <w:r>
        <w:rPr>
          <w:noProof/>
        </w:rPr>
        <w:tab/>
      </w:r>
      <w:r>
        <w:rPr>
          <w:noProof/>
        </w:rPr>
        <w:fldChar w:fldCharType="begin"/>
      </w:r>
      <w:r>
        <w:rPr>
          <w:noProof/>
        </w:rPr>
        <w:instrText xml:space="preserve"> PAGEREF _Toc138848195 \h </w:instrText>
      </w:r>
      <w:r>
        <w:rPr>
          <w:noProof/>
        </w:rPr>
      </w:r>
      <w:r>
        <w:rPr>
          <w:noProof/>
        </w:rPr>
        <w:fldChar w:fldCharType="separate"/>
      </w:r>
      <w:r w:rsidR="00F45A70">
        <w:rPr>
          <w:noProof/>
        </w:rPr>
        <w:t>29</w:t>
      </w:r>
      <w:r>
        <w:rPr>
          <w:noProof/>
        </w:rPr>
        <w:fldChar w:fldCharType="end"/>
      </w:r>
    </w:p>
    <w:p w14:paraId="0936C0BC" w14:textId="37ED2C27" w:rsidR="00FC24B6" w:rsidRDefault="00FC24B6">
      <w:pPr>
        <w:pStyle w:val="Obsah5"/>
        <w:rPr>
          <w:rFonts w:asciiTheme="minorHAnsi" w:eastAsiaTheme="minorEastAsia" w:hAnsiTheme="minorHAnsi" w:cstheme="minorBidi"/>
          <w:noProof/>
          <w:kern w:val="2"/>
          <w:sz w:val="22"/>
          <w:lang w:eastAsia="cs-CZ"/>
          <w14:ligatures w14:val="standardContextual"/>
        </w:rPr>
      </w:pPr>
      <w:r w:rsidRPr="00087486">
        <w:rPr>
          <w:rFonts w:cs="Arial"/>
          <w:bCs/>
          <w:noProof/>
          <w:snapToGrid w:val="0"/>
        </w:rPr>
        <w:t>Obr. 8</w:t>
      </w:r>
      <w:r>
        <w:rPr>
          <w:rFonts w:asciiTheme="minorHAnsi" w:eastAsiaTheme="minorEastAsia" w:hAnsiTheme="minorHAnsi" w:cstheme="minorBidi"/>
          <w:noProof/>
          <w:kern w:val="2"/>
          <w:sz w:val="22"/>
          <w:lang w:eastAsia="cs-CZ"/>
          <w14:ligatures w14:val="standardContextual"/>
        </w:rPr>
        <w:tab/>
      </w:r>
      <w:r>
        <w:rPr>
          <w:noProof/>
        </w:rPr>
        <w:t>Počet obyvatel MČ Praha - Suchdol k 1.1.2023, dle dat Ministerstva vnitra ČR, zdroj:mistopisy.cz, citováno 7.4.2023</w:t>
      </w:r>
      <w:r>
        <w:rPr>
          <w:noProof/>
        </w:rPr>
        <w:tab/>
      </w:r>
      <w:r>
        <w:rPr>
          <w:noProof/>
        </w:rPr>
        <w:fldChar w:fldCharType="begin"/>
      </w:r>
      <w:r>
        <w:rPr>
          <w:noProof/>
        </w:rPr>
        <w:instrText xml:space="preserve"> PAGEREF _Toc138848196 \h </w:instrText>
      </w:r>
      <w:r>
        <w:rPr>
          <w:noProof/>
        </w:rPr>
      </w:r>
      <w:r>
        <w:rPr>
          <w:noProof/>
        </w:rPr>
        <w:fldChar w:fldCharType="separate"/>
      </w:r>
      <w:r w:rsidR="00F45A70">
        <w:rPr>
          <w:noProof/>
        </w:rPr>
        <w:t>51</w:t>
      </w:r>
      <w:r>
        <w:rPr>
          <w:noProof/>
        </w:rPr>
        <w:fldChar w:fldCharType="end"/>
      </w:r>
    </w:p>
    <w:p w14:paraId="148CAE03" w14:textId="0CDDA113" w:rsidR="00FC24B6" w:rsidRDefault="00FC24B6">
      <w:pPr>
        <w:pStyle w:val="Obsah5"/>
        <w:rPr>
          <w:rFonts w:asciiTheme="minorHAnsi" w:eastAsiaTheme="minorEastAsia" w:hAnsiTheme="minorHAnsi" w:cstheme="minorBidi"/>
          <w:noProof/>
          <w:kern w:val="2"/>
          <w:sz w:val="22"/>
          <w:lang w:eastAsia="cs-CZ"/>
          <w14:ligatures w14:val="standardContextual"/>
        </w:rPr>
      </w:pPr>
      <w:r w:rsidRPr="00087486">
        <w:rPr>
          <w:rFonts w:cs="Arial"/>
          <w:bCs/>
          <w:noProof/>
          <w:snapToGrid w:val="0"/>
        </w:rPr>
        <w:t>Obr. 10</w:t>
      </w:r>
      <w:r>
        <w:rPr>
          <w:rFonts w:asciiTheme="minorHAnsi" w:eastAsiaTheme="minorEastAsia" w:hAnsiTheme="minorHAnsi" w:cstheme="minorBidi"/>
          <w:noProof/>
          <w:kern w:val="2"/>
          <w:sz w:val="22"/>
          <w:lang w:eastAsia="cs-CZ"/>
          <w14:ligatures w14:val="standardContextual"/>
        </w:rPr>
        <w:tab/>
      </w:r>
      <w:r>
        <w:rPr>
          <w:noProof/>
        </w:rPr>
        <w:t>PP Podbabské skály</w:t>
      </w:r>
      <w:r>
        <w:rPr>
          <w:noProof/>
        </w:rPr>
        <w:tab/>
      </w:r>
      <w:r>
        <w:rPr>
          <w:noProof/>
        </w:rPr>
        <w:fldChar w:fldCharType="begin"/>
      </w:r>
      <w:r>
        <w:rPr>
          <w:noProof/>
        </w:rPr>
        <w:instrText xml:space="preserve"> PAGEREF _Toc138848197 \h </w:instrText>
      </w:r>
      <w:r>
        <w:rPr>
          <w:noProof/>
        </w:rPr>
      </w:r>
      <w:r>
        <w:rPr>
          <w:noProof/>
        </w:rPr>
        <w:fldChar w:fldCharType="separate"/>
      </w:r>
      <w:r w:rsidR="00F45A70">
        <w:rPr>
          <w:noProof/>
        </w:rPr>
        <w:t>59</w:t>
      </w:r>
      <w:r>
        <w:rPr>
          <w:noProof/>
        </w:rPr>
        <w:fldChar w:fldCharType="end"/>
      </w:r>
    </w:p>
    <w:p w14:paraId="73FC6807" w14:textId="1A607DC5" w:rsidR="00FC24B6" w:rsidRDefault="00FC24B6">
      <w:pPr>
        <w:pStyle w:val="Obsah5"/>
        <w:rPr>
          <w:rFonts w:asciiTheme="minorHAnsi" w:eastAsiaTheme="minorEastAsia" w:hAnsiTheme="minorHAnsi" w:cstheme="minorBidi"/>
          <w:noProof/>
          <w:kern w:val="2"/>
          <w:sz w:val="22"/>
          <w:lang w:eastAsia="cs-CZ"/>
          <w14:ligatures w14:val="standardContextual"/>
        </w:rPr>
      </w:pPr>
      <w:r w:rsidRPr="00087486">
        <w:rPr>
          <w:rFonts w:cs="Arial"/>
          <w:bCs/>
          <w:noProof/>
          <w:snapToGrid w:val="0"/>
        </w:rPr>
        <w:t>Obr. 11</w:t>
      </w:r>
      <w:r>
        <w:rPr>
          <w:rFonts w:asciiTheme="minorHAnsi" w:eastAsiaTheme="minorEastAsia" w:hAnsiTheme="minorHAnsi" w:cstheme="minorBidi"/>
          <w:noProof/>
          <w:kern w:val="2"/>
          <w:sz w:val="22"/>
          <w:lang w:eastAsia="cs-CZ"/>
          <w14:ligatures w14:val="standardContextual"/>
        </w:rPr>
        <w:tab/>
      </w:r>
      <w:r>
        <w:rPr>
          <w:noProof/>
        </w:rPr>
        <w:t>Přírodní památka Baba</w:t>
      </w:r>
      <w:r>
        <w:rPr>
          <w:noProof/>
        </w:rPr>
        <w:tab/>
      </w:r>
      <w:r>
        <w:rPr>
          <w:noProof/>
        </w:rPr>
        <w:fldChar w:fldCharType="begin"/>
      </w:r>
      <w:r>
        <w:rPr>
          <w:noProof/>
        </w:rPr>
        <w:instrText xml:space="preserve"> PAGEREF _Toc138848198 \h </w:instrText>
      </w:r>
      <w:r>
        <w:rPr>
          <w:noProof/>
        </w:rPr>
      </w:r>
      <w:r>
        <w:rPr>
          <w:noProof/>
        </w:rPr>
        <w:fldChar w:fldCharType="separate"/>
      </w:r>
      <w:r w:rsidR="00F45A70">
        <w:rPr>
          <w:noProof/>
        </w:rPr>
        <w:t>60</w:t>
      </w:r>
      <w:r>
        <w:rPr>
          <w:noProof/>
        </w:rPr>
        <w:fldChar w:fldCharType="end"/>
      </w:r>
    </w:p>
    <w:p w14:paraId="352FC490" w14:textId="7683E806" w:rsidR="00FC24B6" w:rsidRDefault="00FC24B6">
      <w:pPr>
        <w:pStyle w:val="Obsah5"/>
        <w:rPr>
          <w:rFonts w:asciiTheme="minorHAnsi" w:eastAsiaTheme="minorEastAsia" w:hAnsiTheme="minorHAnsi" w:cstheme="minorBidi"/>
          <w:noProof/>
          <w:kern w:val="2"/>
          <w:sz w:val="22"/>
          <w:lang w:eastAsia="cs-CZ"/>
          <w14:ligatures w14:val="standardContextual"/>
        </w:rPr>
      </w:pPr>
      <w:r w:rsidRPr="00087486">
        <w:rPr>
          <w:rFonts w:cs="Arial"/>
          <w:bCs/>
          <w:noProof/>
          <w:snapToGrid w:val="0"/>
        </w:rPr>
        <w:t>Obr. 12</w:t>
      </w:r>
      <w:r>
        <w:rPr>
          <w:rFonts w:asciiTheme="minorHAnsi" w:eastAsiaTheme="minorEastAsia" w:hAnsiTheme="minorHAnsi" w:cstheme="minorBidi"/>
          <w:noProof/>
          <w:kern w:val="2"/>
          <w:sz w:val="22"/>
          <w:lang w:eastAsia="cs-CZ"/>
          <w14:ligatures w14:val="standardContextual"/>
        </w:rPr>
        <w:tab/>
      </w:r>
      <w:r>
        <w:rPr>
          <w:noProof/>
        </w:rPr>
        <w:t>Zvláště chráněná území v řešeném území dle Geoportálu INSPIRE, cit.: 6.4.2023</w:t>
      </w:r>
      <w:r>
        <w:rPr>
          <w:noProof/>
        </w:rPr>
        <w:tab/>
      </w:r>
      <w:r>
        <w:rPr>
          <w:noProof/>
        </w:rPr>
        <w:fldChar w:fldCharType="begin"/>
      </w:r>
      <w:r>
        <w:rPr>
          <w:noProof/>
        </w:rPr>
        <w:instrText xml:space="preserve"> PAGEREF _Toc138848199 \h </w:instrText>
      </w:r>
      <w:r>
        <w:rPr>
          <w:noProof/>
        </w:rPr>
      </w:r>
      <w:r>
        <w:rPr>
          <w:noProof/>
        </w:rPr>
        <w:fldChar w:fldCharType="separate"/>
      </w:r>
      <w:r w:rsidR="00F45A70">
        <w:rPr>
          <w:noProof/>
        </w:rPr>
        <w:t>62</w:t>
      </w:r>
      <w:r>
        <w:rPr>
          <w:noProof/>
        </w:rPr>
        <w:fldChar w:fldCharType="end"/>
      </w:r>
    </w:p>
    <w:p w14:paraId="04949112" w14:textId="03AFF61D" w:rsidR="00FC24B6" w:rsidRDefault="00FC24B6">
      <w:pPr>
        <w:pStyle w:val="Obsah5"/>
        <w:rPr>
          <w:rFonts w:asciiTheme="minorHAnsi" w:eastAsiaTheme="minorEastAsia" w:hAnsiTheme="minorHAnsi" w:cstheme="minorBidi"/>
          <w:noProof/>
          <w:kern w:val="2"/>
          <w:sz w:val="22"/>
          <w:lang w:eastAsia="cs-CZ"/>
          <w14:ligatures w14:val="standardContextual"/>
        </w:rPr>
      </w:pPr>
      <w:r w:rsidRPr="00087486">
        <w:rPr>
          <w:rFonts w:cs="Arial"/>
          <w:bCs/>
          <w:noProof/>
          <w:snapToGrid w:val="0"/>
        </w:rPr>
        <w:t>Obr. 13</w:t>
      </w:r>
      <w:r>
        <w:rPr>
          <w:rFonts w:asciiTheme="minorHAnsi" w:eastAsiaTheme="minorEastAsia" w:hAnsiTheme="minorHAnsi" w:cstheme="minorBidi"/>
          <w:noProof/>
          <w:kern w:val="2"/>
          <w:sz w:val="22"/>
          <w:lang w:eastAsia="cs-CZ"/>
          <w14:ligatures w14:val="standardContextual"/>
        </w:rPr>
        <w:tab/>
      </w:r>
      <w:r>
        <w:rPr>
          <w:noProof/>
        </w:rPr>
        <w:t>Ochrana přírody a krajiny v řešeném území. Zdroj: Atlas životního prostředí Praha IPR Praha dostupný z: www.geoportalpraha.cz , citováno 10.4.2023</w:t>
      </w:r>
      <w:r>
        <w:rPr>
          <w:noProof/>
        </w:rPr>
        <w:tab/>
      </w:r>
      <w:r>
        <w:rPr>
          <w:noProof/>
        </w:rPr>
        <w:fldChar w:fldCharType="begin"/>
      </w:r>
      <w:r>
        <w:rPr>
          <w:noProof/>
        </w:rPr>
        <w:instrText xml:space="preserve"> PAGEREF _Toc138848200 \h </w:instrText>
      </w:r>
      <w:r>
        <w:rPr>
          <w:noProof/>
        </w:rPr>
      </w:r>
      <w:r>
        <w:rPr>
          <w:noProof/>
        </w:rPr>
        <w:fldChar w:fldCharType="separate"/>
      </w:r>
      <w:r w:rsidR="00F45A70">
        <w:rPr>
          <w:noProof/>
        </w:rPr>
        <w:t>63</w:t>
      </w:r>
      <w:r>
        <w:rPr>
          <w:noProof/>
        </w:rPr>
        <w:fldChar w:fldCharType="end"/>
      </w:r>
    </w:p>
    <w:p w14:paraId="528E2153" w14:textId="4EDE317F" w:rsidR="00FC24B6" w:rsidRDefault="00FC24B6">
      <w:pPr>
        <w:pStyle w:val="Obsah5"/>
        <w:rPr>
          <w:rFonts w:asciiTheme="minorHAnsi" w:eastAsiaTheme="minorEastAsia" w:hAnsiTheme="minorHAnsi" w:cstheme="minorBidi"/>
          <w:noProof/>
          <w:kern w:val="2"/>
          <w:sz w:val="22"/>
          <w:lang w:eastAsia="cs-CZ"/>
          <w14:ligatures w14:val="standardContextual"/>
        </w:rPr>
      </w:pPr>
      <w:r w:rsidRPr="00087486">
        <w:rPr>
          <w:rFonts w:cs="Arial"/>
          <w:bCs/>
          <w:noProof/>
          <w:snapToGrid w:val="0"/>
        </w:rPr>
        <w:t>Obr. 14</w:t>
      </w:r>
      <w:r>
        <w:rPr>
          <w:rFonts w:asciiTheme="minorHAnsi" w:eastAsiaTheme="minorEastAsia" w:hAnsiTheme="minorHAnsi" w:cstheme="minorBidi"/>
          <w:noProof/>
          <w:kern w:val="2"/>
          <w:sz w:val="22"/>
          <w:lang w:eastAsia="cs-CZ"/>
          <w14:ligatures w14:val="standardContextual"/>
        </w:rPr>
        <w:tab/>
      </w:r>
      <w:r>
        <w:rPr>
          <w:noProof/>
        </w:rPr>
        <w:t>Plochy se změnou využití území a detail vymezení EVL Kaňon Vltavy v řešeném území, zdroj: IPR, návrh změny a Atlas ŽP Prahy, IPR, cit. 6.4.2023</w:t>
      </w:r>
      <w:r>
        <w:rPr>
          <w:noProof/>
        </w:rPr>
        <w:tab/>
      </w:r>
      <w:r>
        <w:rPr>
          <w:noProof/>
        </w:rPr>
        <w:fldChar w:fldCharType="begin"/>
      </w:r>
      <w:r>
        <w:rPr>
          <w:noProof/>
        </w:rPr>
        <w:instrText xml:space="preserve"> PAGEREF _Toc138848201 \h </w:instrText>
      </w:r>
      <w:r>
        <w:rPr>
          <w:noProof/>
        </w:rPr>
      </w:r>
      <w:r>
        <w:rPr>
          <w:noProof/>
        </w:rPr>
        <w:fldChar w:fldCharType="separate"/>
      </w:r>
      <w:r w:rsidR="00F45A70">
        <w:rPr>
          <w:noProof/>
        </w:rPr>
        <w:t>64</w:t>
      </w:r>
      <w:r>
        <w:rPr>
          <w:noProof/>
        </w:rPr>
        <w:fldChar w:fldCharType="end"/>
      </w:r>
    </w:p>
    <w:p w14:paraId="31A1596D" w14:textId="3641A4D4" w:rsidR="00FC24B6" w:rsidRDefault="00FC24B6">
      <w:pPr>
        <w:pStyle w:val="Obsah5"/>
        <w:rPr>
          <w:rFonts w:asciiTheme="minorHAnsi" w:eastAsiaTheme="minorEastAsia" w:hAnsiTheme="minorHAnsi" w:cstheme="minorBidi"/>
          <w:noProof/>
          <w:kern w:val="2"/>
          <w:sz w:val="22"/>
          <w:lang w:eastAsia="cs-CZ"/>
          <w14:ligatures w14:val="standardContextual"/>
        </w:rPr>
      </w:pPr>
      <w:r w:rsidRPr="00087486">
        <w:rPr>
          <w:rFonts w:cs="Arial"/>
          <w:bCs/>
          <w:noProof/>
          <w:snapToGrid w:val="0"/>
        </w:rPr>
        <w:t>Obr. 15</w:t>
      </w:r>
      <w:r>
        <w:rPr>
          <w:rFonts w:asciiTheme="minorHAnsi" w:eastAsiaTheme="minorEastAsia" w:hAnsiTheme="minorHAnsi" w:cstheme="minorBidi"/>
          <w:noProof/>
          <w:kern w:val="2"/>
          <w:sz w:val="22"/>
          <w:lang w:eastAsia="cs-CZ"/>
          <w14:ligatures w14:val="standardContextual"/>
        </w:rPr>
        <w:tab/>
      </w:r>
      <w:r>
        <w:rPr>
          <w:noProof/>
        </w:rPr>
        <w:t>ÚSES v řešeném území, zdroj: Atlas ŽP Praha, IPR, cit. 6.4.2023</w:t>
      </w:r>
      <w:r>
        <w:rPr>
          <w:noProof/>
        </w:rPr>
        <w:tab/>
      </w:r>
      <w:r>
        <w:rPr>
          <w:noProof/>
        </w:rPr>
        <w:fldChar w:fldCharType="begin"/>
      </w:r>
      <w:r>
        <w:rPr>
          <w:noProof/>
        </w:rPr>
        <w:instrText xml:space="preserve"> PAGEREF _Toc138848202 \h </w:instrText>
      </w:r>
      <w:r>
        <w:rPr>
          <w:noProof/>
        </w:rPr>
      </w:r>
      <w:r>
        <w:rPr>
          <w:noProof/>
        </w:rPr>
        <w:fldChar w:fldCharType="separate"/>
      </w:r>
      <w:r w:rsidR="00F45A70">
        <w:rPr>
          <w:noProof/>
        </w:rPr>
        <w:t>65</w:t>
      </w:r>
      <w:r>
        <w:rPr>
          <w:noProof/>
        </w:rPr>
        <w:fldChar w:fldCharType="end"/>
      </w:r>
    </w:p>
    <w:p w14:paraId="15F07022" w14:textId="06E79C8D" w:rsidR="00FC24B6" w:rsidRDefault="00FC24B6">
      <w:pPr>
        <w:pStyle w:val="Obsah5"/>
        <w:tabs>
          <w:tab w:val="left" w:pos="1418"/>
        </w:tabs>
        <w:rPr>
          <w:rFonts w:asciiTheme="minorHAnsi" w:eastAsiaTheme="minorEastAsia" w:hAnsiTheme="minorHAnsi" w:cstheme="minorBidi"/>
          <w:noProof/>
          <w:kern w:val="2"/>
          <w:sz w:val="22"/>
          <w:lang w:eastAsia="cs-CZ"/>
          <w14:ligatures w14:val="standardContextual"/>
        </w:rPr>
      </w:pPr>
      <w:r w:rsidRPr="00087486">
        <w:rPr>
          <w:rFonts w:cs="Arial"/>
          <w:bCs/>
          <w:noProof/>
          <w:snapToGrid w:val="0"/>
        </w:rPr>
        <w:t>Obr. 16</w:t>
      </w:r>
      <w:r>
        <w:rPr>
          <w:rFonts w:asciiTheme="minorHAnsi" w:eastAsiaTheme="minorEastAsia" w:hAnsiTheme="minorHAnsi" w:cstheme="minorBidi"/>
          <w:noProof/>
          <w:kern w:val="2"/>
          <w:sz w:val="22"/>
          <w:lang w:eastAsia="cs-CZ"/>
          <w14:ligatures w14:val="standardContextual"/>
        </w:rPr>
        <w:tab/>
      </w:r>
      <w:r>
        <w:rPr>
          <w:noProof/>
        </w:rPr>
        <w:t>Nevýhradní ložisko sprašových hlín v řešeném území dle Surovinového informačního systému, ČGS, cit. 2.6.2023</w:t>
      </w:r>
      <w:r>
        <w:rPr>
          <w:noProof/>
        </w:rPr>
        <w:tab/>
      </w:r>
      <w:r>
        <w:rPr>
          <w:noProof/>
        </w:rPr>
        <w:fldChar w:fldCharType="begin"/>
      </w:r>
      <w:r>
        <w:rPr>
          <w:noProof/>
        </w:rPr>
        <w:instrText xml:space="preserve"> PAGEREF _Toc138848203 \h </w:instrText>
      </w:r>
      <w:r>
        <w:rPr>
          <w:noProof/>
        </w:rPr>
      </w:r>
      <w:r>
        <w:rPr>
          <w:noProof/>
        </w:rPr>
        <w:fldChar w:fldCharType="separate"/>
      </w:r>
      <w:r w:rsidR="00F45A70">
        <w:rPr>
          <w:noProof/>
        </w:rPr>
        <w:t>68</w:t>
      </w:r>
      <w:r>
        <w:rPr>
          <w:noProof/>
        </w:rPr>
        <w:fldChar w:fldCharType="end"/>
      </w:r>
    </w:p>
    <w:p w14:paraId="440A9168" w14:textId="4AAFBC09" w:rsidR="00FC24B6" w:rsidRDefault="00FC24B6">
      <w:pPr>
        <w:pStyle w:val="Obsah5"/>
        <w:rPr>
          <w:rFonts w:asciiTheme="minorHAnsi" w:eastAsiaTheme="minorEastAsia" w:hAnsiTheme="minorHAnsi" w:cstheme="minorBidi"/>
          <w:noProof/>
          <w:kern w:val="2"/>
          <w:sz w:val="22"/>
          <w:lang w:eastAsia="cs-CZ"/>
          <w14:ligatures w14:val="standardContextual"/>
        </w:rPr>
      </w:pPr>
      <w:r w:rsidRPr="00087486">
        <w:rPr>
          <w:rFonts w:cs="Arial"/>
          <w:bCs/>
          <w:noProof/>
          <w:snapToGrid w:val="0"/>
        </w:rPr>
        <w:t>Obr. 17</w:t>
      </w:r>
      <w:r>
        <w:rPr>
          <w:rFonts w:asciiTheme="minorHAnsi" w:eastAsiaTheme="minorEastAsia" w:hAnsiTheme="minorHAnsi" w:cstheme="minorBidi"/>
          <w:noProof/>
          <w:kern w:val="2"/>
          <w:sz w:val="22"/>
          <w:lang w:eastAsia="cs-CZ"/>
          <w14:ligatures w14:val="standardContextual"/>
        </w:rPr>
        <w:tab/>
      </w:r>
      <w:r>
        <w:rPr>
          <w:noProof/>
        </w:rPr>
        <w:t>Evidované sesuvné území, zdroj: Mapa svahových nestabilit, ČGS, cit. 22.5.2023</w:t>
      </w:r>
      <w:r>
        <w:rPr>
          <w:noProof/>
        </w:rPr>
        <w:tab/>
      </w:r>
      <w:r>
        <w:rPr>
          <w:noProof/>
        </w:rPr>
        <w:fldChar w:fldCharType="begin"/>
      </w:r>
      <w:r>
        <w:rPr>
          <w:noProof/>
        </w:rPr>
        <w:instrText xml:space="preserve"> PAGEREF _Toc138848204 \h </w:instrText>
      </w:r>
      <w:r>
        <w:rPr>
          <w:noProof/>
        </w:rPr>
      </w:r>
      <w:r>
        <w:rPr>
          <w:noProof/>
        </w:rPr>
        <w:fldChar w:fldCharType="separate"/>
      </w:r>
      <w:r w:rsidR="00F45A70">
        <w:rPr>
          <w:noProof/>
        </w:rPr>
        <w:t>69</w:t>
      </w:r>
      <w:r>
        <w:rPr>
          <w:noProof/>
        </w:rPr>
        <w:fldChar w:fldCharType="end"/>
      </w:r>
    </w:p>
    <w:p w14:paraId="64792071" w14:textId="2F61748E" w:rsidR="00FC24B6" w:rsidRDefault="00FC24B6">
      <w:pPr>
        <w:pStyle w:val="Obsah5"/>
        <w:rPr>
          <w:rFonts w:asciiTheme="minorHAnsi" w:eastAsiaTheme="minorEastAsia" w:hAnsiTheme="minorHAnsi" w:cstheme="minorBidi"/>
          <w:noProof/>
          <w:kern w:val="2"/>
          <w:sz w:val="22"/>
          <w:lang w:eastAsia="cs-CZ"/>
          <w14:ligatures w14:val="standardContextual"/>
        </w:rPr>
      </w:pPr>
      <w:r w:rsidRPr="00087486">
        <w:rPr>
          <w:rFonts w:cs="Arial"/>
          <w:bCs/>
          <w:noProof/>
          <w:snapToGrid w:val="0"/>
        </w:rPr>
        <w:t>Obr. 18</w:t>
      </w:r>
      <w:r>
        <w:rPr>
          <w:rFonts w:asciiTheme="minorHAnsi" w:eastAsiaTheme="minorEastAsia" w:hAnsiTheme="minorHAnsi" w:cstheme="minorBidi"/>
          <w:noProof/>
          <w:kern w:val="2"/>
          <w:sz w:val="22"/>
          <w:lang w:eastAsia="cs-CZ"/>
          <w14:ligatures w14:val="standardContextual"/>
        </w:rPr>
        <w:tab/>
      </w:r>
      <w:r>
        <w:rPr>
          <w:noProof/>
        </w:rPr>
        <w:t>Evidovaná lokalita potenciální staré ekologické zátěže dle SEKM, cit. 11. 4.2023</w:t>
      </w:r>
      <w:r>
        <w:rPr>
          <w:noProof/>
        </w:rPr>
        <w:tab/>
      </w:r>
      <w:r>
        <w:rPr>
          <w:noProof/>
        </w:rPr>
        <w:fldChar w:fldCharType="begin"/>
      </w:r>
      <w:r>
        <w:rPr>
          <w:noProof/>
        </w:rPr>
        <w:instrText xml:space="preserve"> PAGEREF _Toc138848205 \h </w:instrText>
      </w:r>
      <w:r>
        <w:rPr>
          <w:noProof/>
        </w:rPr>
      </w:r>
      <w:r>
        <w:rPr>
          <w:noProof/>
        </w:rPr>
        <w:fldChar w:fldCharType="separate"/>
      </w:r>
      <w:r w:rsidR="00F45A70">
        <w:rPr>
          <w:noProof/>
        </w:rPr>
        <w:t>70</w:t>
      </w:r>
      <w:r>
        <w:rPr>
          <w:noProof/>
        </w:rPr>
        <w:fldChar w:fldCharType="end"/>
      </w:r>
    </w:p>
    <w:p w14:paraId="15DE6AD7" w14:textId="35F961A8" w:rsidR="00FC24B6" w:rsidRDefault="00FC24B6">
      <w:pPr>
        <w:pStyle w:val="Obsah5"/>
        <w:rPr>
          <w:rFonts w:asciiTheme="minorHAnsi" w:eastAsiaTheme="minorEastAsia" w:hAnsiTheme="minorHAnsi" w:cstheme="minorBidi"/>
          <w:noProof/>
          <w:kern w:val="2"/>
          <w:sz w:val="22"/>
          <w:lang w:eastAsia="cs-CZ"/>
          <w14:ligatures w14:val="standardContextual"/>
        </w:rPr>
      </w:pPr>
      <w:r w:rsidRPr="00087486">
        <w:rPr>
          <w:rFonts w:cs="Arial"/>
          <w:bCs/>
          <w:noProof/>
          <w:snapToGrid w:val="0"/>
        </w:rPr>
        <w:lastRenderedPageBreak/>
        <w:t>Obr. 19</w:t>
      </w:r>
      <w:r>
        <w:rPr>
          <w:rFonts w:asciiTheme="minorHAnsi" w:eastAsiaTheme="minorEastAsia" w:hAnsiTheme="minorHAnsi" w:cstheme="minorBidi"/>
          <w:noProof/>
          <w:kern w:val="2"/>
          <w:sz w:val="22"/>
          <w:lang w:eastAsia="cs-CZ"/>
          <w14:ligatures w14:val="standardContextual"/>
        </w:rPr>
        <w:tab/>
      </w:r>
      <w:r>
        <w:rPr>
          <w:noProof/>
        </w:rPr>
        <w:t>Pohled na lokalitu bývalé skládky od JZ, foto 12.5.2023</w:t>
      </w:r>
      <w:r>
        <w:rPr>
          <w:noProof/>
        </w:rPr>
        <w:tab/>
      </w:r>
      <w:r>
        <w:rPr>
          <w:noProof/>
        </w:rPr>
        <w:fldChar w:fldCharType="begin"/>
      </w:r>
      <w:r>
        <w:rPr>
          <w:noProof/>
        </w:rPr>
        <w:instrText xml:space="preserve"> PAGEREF _Toc138848206 \h </w:instrText>
      </w:r>
      <w:r>
        <w:rPr>
          <w:noProof/>
        </w:rPr>
      </w:r>
      <w:r>
        <w:rPr>
          <w:noProof/>
        </w:rPr>
        <w:fldChar w:fldCharType="separate"/>
      </w:r>
      <w:r w:rsidR="00F45A70">
        <w:rPr>
          <w:noProof/>
        </w:rPr>
        <w:t>70</w:t>
      </w:r>
      <w:r>
        <w:rPr>
          <w:noProof/>
        </w:rPr>
        <w:fldChar w:fldCharType="end"/>
      </w:r>
    </w:p>
    <w:p w14:paraId="10B58124" w14:textId="75A37DD7" w:rsidR="00FC24B6" w:rsidRDefault="00FC24B6">
      <w:pPr>
        <w:pStyle w:val="Obsah5"/>
        <w:rPr>
          <w:rFonts w:asciiTheme="minorHAnsi" w:eastAsiaTheme="minorEastAsia" w:hAnsiTheme="minorHAnsi" w:cstheme="minorBidi"/>
          <w:noProof/>
          <w:kern w:val="2"/>
          <w:sz w:val="22"/>
          <w:lang w:eastAsia="cs-CZ"/>
          <w14:ligatures w14:val="standardContextual"/>
        </w:rPr>
      </w:pPr>
      <w:r w:rsidRPr="00087486">
        <w:rPr>
          <w:rFonts w:cs="Arial"/>
          <w:bCs/>
          <w:noProof/>
          <w:snapToGrid w:val="0"/>
        </w:rPr>
        <w:t>Obr. 20</w:t>
      </w:r>
      <w:r>
        <w:rPr>
          <w:rFonts w:asciiTheme="minorHAnsi" w:eastAsiaTheme="minorEastAsia" w:hAnsiTheme="minorHAnsi" w:cstheme="minorBidi"/>
          <w:noProof/>
          <w:kern w:val="2"/>
          <w:sz w:val="22"/>
          <w:lang w:eastAsia="cs-CZ"/>
          <w14:ligatures w14:val="standardContextual"/>
        </w:rPr>
        <w:tab/>
      </w:r>
      <w:r>
        <w:rPr>
          <w:noProof/>
        </w:rPr>
        <w:t>Evidovaná lokalita potenciální staré ekologické zátěže dle SEKM, cit. 11. 4.2023</w:t>
      </w:r>
      <w:r>
        <w:rPr>
          <w:noProof/>
        </w:rPr>
        <w:tab/>
      </w:r>
      <w:r>
        <w:rPr>
          <w:noProof/>
        </w:rPr>
        <w:fldChar w:fldCharType="begin"/>
      </w:r>
      <w:r>
        <w:rPr>
          <w:noProof/>
        </w:rPr>
        <w:instrText xml:space="preserve"> PAGEREF _Toc138848207 \h </w:instrText>
      </w:r>
      <w:r>
        <w:rPr>
          <w:noProof/>
        </w:rPr>
      </w:r>
      <w:r>
        <w:rPr>
          <w:noProof/>
        </w:rPr>
        <w:fldChar w:fldCharType="separate"/>
      </w:r>
      <w:r w:rsidR="00F45A70">
        <w:rPr>
          <w:noProof/>
        </w:rPr>
        <w:t>72</w:t>
      </w:r>
      <w:r>
        <w:rPr>
          <w:noProof/>
        </w:rPr>
        <w:fldChar w:fldCharType="end"/>
      </w:r>
    </w:p>
    <w:p w14:paraId="1E27FD0D" w14:textId="0487A4EF" w:rsidR="00FC24B6" w:rsidRDefault="00FC24B6">
      <w:pPr>
        <w:pStyle w:val="Obsah5"/>
        <w:rPr>
          <w:rFonts w:asciiTheme="minorHAnsi" w:eastAsiaTheme="minorEastAsia" w:hAnsiTheme="minorHAnsi" w:cstheme="minorBidi"/>
          <w:noProof/>
          <w:kern w:val="2"/>
          <w:sz w:val="22"/>
          <w:lang w:eastAsia="cs-CZ"/>
          <w14:ligatures w14:val="standardContextual"/>
        </w:rPr>
      </w:pPr>
      <w:r w:rsidRPr="00087486">
        <w:rPr>
          <w:rFonts w:cs="Arial"/>
          <w:bCs/>
          <w:noProof/>
          <w:snapToGrid w:val="0"/>
        </w:rPr>
        <w:t>Obr. 21</w:t>
      </w:r>
      <w:r>
        <w:rPr>
          <w:rFonts w:asciiTheme="minorHAnsi" w:eastAsiaTheme="minorEastAsia" w:hAnsiTheme="minorHAnsi" w:cstheme="minorBidi"/>
          <w:noProof/>
          <w:kern w:val="2"/>
          <w:sz w:val="22"/>
          <w:lang w:eastAsia="cs-CZ"/>
          <w14:ligatures w14:val="standardContextual"/>
        </w:rPr>
        <w:tab/>
      </w:r>
      <w:r>
        <w:rPr>
          <w:noProof/>
        </w:rPr>
        <w:t>Pohled na navážky v severní části lokality bývalé cihelny</w:t>
      </w:r>
      <w:r>
        <w:rPr>
          <w:noProof/>
        </w:rPr>
        <w:tab/>
      </w:r>
      <w:r>
        <w:rPr>
          <w:noProof/>
        </w:rPr>
        <w:fldChar w:fldCharType="begin"/>
      </w:r>
      <w:r>
        <w:rPr>
          <w:noProof/>
        </w:rPr>
        <w:instrText xml:space="preserve"> PAGEREF _Toc138848208 \h </w:instrText>
      </w:r>
      <w:r>
        <w:rPr>
          <w:noProof/>
        </w:rPr>
      </w:r>
      <w:r>
        <w:rPr>
          <w:noProof/>
        </w:rPr>
        <w:fldChar w:fldCharType="separate"/>
      </w:r>
      <w:r w:rsidR="00F45A70">
        <w:rPr>
          <w:noProof/>
        </w:rPr>
        <w:t>72</w:t>
      </w:r>
      <w:r>
        <w:rPr>
          <w:noProof/>
        </w:rPr>
        <w:fldChar w:fldCharType="end"/>
      </w:r>
    </w:p>
    <w:p w14:paraId="7F238D52" w14:textId="3C65C4D8" w:rsidR="00FC24B6" w:rsidRDefault="00FC24B6">
      <w:pPr>
        <w:pStyle w:val="Obsah5"/>
        <w:rPr>
          <w:rFonts w:asciiTheme="minorHAnsi" w:eastAsiaTheme="minorEastAsia" w:hAnsiTheme="minorHAnsi" w:cstheme="minorBidi"/>
          <w:noProof/>
          <w:kern w:val="2"/>
          <w:sz w:val="22"/>
          <w:lang w:eastAsia="cs-CZ"/>
          <w14:ligatures w14:val="standardContextual"/>
        </w:rPr>
      </w:pPr>
      <w:r w:rsidRPr="00087486">
        <w:rPr>
          <w:rFonts w:cs="Arial"/>
          <w:bCs/>
          <w:noProof/>
          <w:snapToGrid w:val="0"/>
        </w:rPr>
        <w:t>Obr. 22</w:t>
      </w:r>
      <w:r>
        <w:rPr>
          <w:rFonts w:asciiTheme="minorHAnsi" w:eastAsiaTheme="minorEastAsia" w:hAnsiTheme="minorHAnsi" w:cstheme="minorBidi"/>
          <w:noProof/>
          <w:kern w:val="2"/>
          <w:sz w:val="22"/>
          <w:lang w:eastAsia="cs-CZ"/>
          <w14:ligatures w14:val="standardContextual"/>
        </w:rPr>
        <w:tab/>
      </w:r>
      <w:r>
        <w:rPr>
          <w:noProof/>
        </w:rPr>
        <w:t>Stávající využití části lokality bývalé cihelny, foto 12.5.2023</w:t>
      </w:r>
      <w:r>
        <w:rPr>
          <w:noProof/>
        </w:rPr>
        <w:tab/>
      </w:r>
      <w:r>
        <w:rPr>
          <w:noProof/>
        </w:rPr>
        <w:fldChar w:fldCharType="begin"/>
      </w:r>
      <w:r>
        <w:rPr>
          <w:noProof/>
        </w:rPr>
        <w:instrText xml:space="preserve"> PAGEREF _Toc138848209 \h </w:instrText>
      </w:r>
      <w:r>
        <w:rPr>
          <w:noProof/>
        </w:rPr>
      </w:r>
      <w:r>
        <w:rPr>
          <w:noProof/>
        </w:rPr>
        <w:fldChar w:fldCharType="separate"/>
      </w:r>
      <w:r w:rsidR="00F45A70">
        <w:rPr>
          <w:noProof/>
        </w:rPr>
        <w:t>73</w:t>
      </w:r>
      <w:r>
        <w:rPr>
          <w:noProof/>
        </w:rPr>
        <w:fldChar w:fldCharType="end"/>
      </w:r>
    </w:p>
    <w:p w14:paraId="11F18C6F" w14:textId="7C063222" w:rsidR="00FC24B6" w:rsidRDefault="00FC24B6">
      <w:pPr>
        <w:pStyle w:val="Obsah5"/>
        <w:rPr>
          <w:rFonts w:asciiTheme="minorHAnsi" w:eastAsiaTheme="minorEastAsia" w:hAnsiTheme="minorHAnsi" w:cstheme="minorBidi"/>
          <w:noProof/>
          <w:kern w:val="2"/>
          <w:sz w:val="22"/>
          <w:lang w:eastAsia="cs-CZ"/>
          <w14:ligatures w14:val="standardContextual"/>
        </w:rPr>
      </w:pPr>
      <w:r w:rsidRPr="00087486">
        <w:rPr>
          <w:rFonts w:cs="Arial"/>
          <w:bCs/>
          <w:noProof/>
          <w:snapToGrid w:val="0"/>
        </w:rPr>
        <w:t>Obr. 23</w:t>
      </w:r>
      <w:r>
        <w:rPr>
          <w:rFonts w:asciiTheme="minorHAnsi" w:eastAsiaTheme="minorEastAsia" w:hAnsiTheme="minorHAnsi" w:cstheme="minorBidi"/>
          <w:noProof/>
          <w:kern w:val="2"/>
          <w:sz w:val="22"/>
          <w:lang w:eastAsia="cs-CZ"/>
          <w14:ligatures w14:val="standardContextual"/>
        </w:rPr>
        <w:tab/>
      </w:r>
      <w:r>
        <w:rPr>
          <w:noProof/>
        </w:rPr>
        <w:t>Evidovaná lokalita snaované staré ekologické zátěže dle SEKM, cit. 11. 4.2023</w:t>
      </w:r>
      <w:r>
        <w:rPr>
          <w:noProof/>
        </w:rPr>
        <w:tab/>
      </w:r>
      <w:r>
        <w:rPr>
          <w:noProof/>
        </w:rPr>
        <w:fldChar w:fldCharType="begin"/>
      </w:r>
      <w:r>
        <w:rPr>
          <w:noProof/>
        </w:rPr>
        <w:instrText xml:space="preserve"> PAGEREF _Toc138848210 \h </w:instrText>
      </w:r>
      <w:r>
        <w:rPr>
          <w:noProof/>
        </w:rPr>
      </w:r>
      <w:r>
        <w:rPr>
          <w:noProof/>
        </w:rPr>
        <w:fldChar w:fldCharType="separate"/>
      </w:r>
      <w:r w:rsidR="00F45A70">
        <w:rPr>
          <w:noProof/>
        </w:rPr>
        <w:t>74</w:t>
      </w:r>
      <w:r>
        <w:rPr>
          <w:noProof/>
        </w:rPr>
        <w:fldChar w:fldCharType="end"/>
      </w:r>
    </w:p>
    <w:p w14:paraId="7AA54BB9" w14:textId="61233DE2" w:rsidR="00FC24B6" w:rsidRDefault="00FC24B6">
      <w:pPr>
        <w:pStyle w:val="Obsah5"/>
        <w:rPr>
          <w:rFonts w:asciiTheme="minorHAnsi" w:eastAsiaTheme="minorEastAsia" w:hAnsiTheme="minorHAnsi" w:cstheme="minorBidi"/>
          <w:noProof/>
          <w:kern w:val="2"/>
          <w:sz w:val="22"/>
          <w:lang w:eastAsia="cs-CZ"/>
          <w14:ligatures w14:val="standardContextual"/>
        </w:rPr>
      </w:pPr>
      <w:r w:rsidRPr="00087486">
        <w:rPr>
          <w:rFonts w:cs="Arial"/>
          <w:bCs/>
          <w:noProof/>
          <w:snapToGrid w:val="0"/>
        </w:rPr>
        <w:t>Obr. 24</w:t>
      </w:r>
      <w:r>
        <w:rPr>
          <w:rFonts w:asciiTheme="minorHAnsi" w:eastAsiaTheme="minorEastAsia" w:hAnsiTheme="minorHAnsi" w:cstheme="minorBidi"/>
          <w:noProof/>
          <w:kern w:val="2"/>
          <w:sz w:val="22"/>
          <w:lang w:eastAsia="cs-CZ"/>
          <w14:ligatures w14:val="standardContextual"/>
        </w:rPr>
        <w:tab/>
      </w:r>
      <w:r>
        <w:rPr>
          <w:noProof/>
        </w:rPr>
        <w:t>Pohled na lokality ČS PHM Praha - Suchdol</w:t>
      </w:r>
      <w:r>
        <w:rPr>
          <w:noProof/>
        </w:rPr>
        <w:tab/>
      </w:r>
      <w:r>
        <w:rPr>
          <w:noProof/>
        </w:rPr>
        <w:fldChar w:fldCharType="begin"/>
      </w:r>
      <w:r>
        <w:rPr>
          <w:noProof/>
        </w:rPr>
        <w:instrText xml:space="preserve"> PAGEREF _Toc138848211 \h </w:instrText>
      </w:r>
      <w:r>
        <w:rPr>
          <w:noProof/>
        </w:rPr>
      </w:r>
      <w:r>
        <w:rPr>
          <w:noProof/>
        </w:rPr>
        <w:fldChar w:fldCharType="separate"/>
      </w:r>
      <w:r w:rsidR="00F45A70">
        <w:rPr>
          <w:noProof/>
        </w:rPr>
        <w:t>74</w:t>
      </w:r>
      <w:r>
        <w:rPr>
          <w:noProof/>
        </w:rPr>
        <w:fldChar w:fldCharType="end"/>
      </w:r>
    </w:p>
    <w:p w14:paraId="3256EA66" w14:textId="3654EBBB" w:rsidR="00FC24B6" w:rsidRDefault="00FC24B6">
      <w:pPr>
        <w:pStyle w:val="Obsah5"/>
        <w:tabs>
          <w:tab w:val="left" w:pos="1418"/>
        </w:tabs>
        <w:rPr>
          <w:rFonts w:asciiTheme="minorHAnsi" w:eastAsiaTheme="minorEastAsia" w:hAnsiTheme="minorHAnsi" w:cstheme="minorBidi"/>
          <w:noProof/>
          <w:kern w:val="2"/>
          <w:sz w:val="22"/>
          <w:lang w:eastAsia="cs-CZ"/>
          <w14:ligatures w14:val="standardContextual"/>
        </w:rPr>
      </w:pPr>
      <w:r w:rsidRPr="00087486">
        <w:rPr>
          <w:rFonts w:cs="Arial"/>
          <w:bCs/>
          <w:noProof/>
          <w:snapToGrid w:val="0"/>
        </w:rPr>
        <w:t>Obr. 25</w:t>
      </w:r>
      <w:r>
        <w:rPr>
          <w:rFonts w:asciiTheme="minorHAnsi" w:eastAsiaTheme="minorEastAsia" w:hAnsiTheme="minorHAnsi" w:cstheme="minorBidi"/>
          <w:noProof/>
          <w:kern w:val="2"/>
          <w:sz w:val="22"/>
          <w:lang w:eastAsia="cs-CZ"/>
          <w14:ligatures w14:val="standardContextual"/>
        </w:rPr>
        <w:tab/>
      </w:r>
      <w:r>
        <w:rPr>
          <w:noProof/>
        </w:rPr>
        <w:t>Záplavové území v řešeném území, zdroj dat VVUTGM prostřednictvím Geoportál INSPIRE, citováno 10.5.2023</w:t>
      </w:r>
      <w:r>
        <w:rPr>
          <w:noProof/>
        </w:rPr>
        <w:tab/>
      </w:r>
      <w:r>
        <w:rPr>
          <w:noProof/>
        </w:rPr>
        <w:fldChar w:fldCharType="begin"/>
      </w:r>
      <w:r>
        <w:rPr>
          <w:noProof/>
        </w:rPr>
        <w:instrText xml:space="preserve"> PAGEREF _Toc138848212 \h </w:instrText>
      </w:r>
      <w:r>
        <w:rPr>
          <w:noProof/>
        </w:rPr>
      </w:r>
      <w:r>
        <w:rPr>
          <w:noProof/>
        </w:rPr>
        <w:fldChar w:fldCharType="separate"/>
      </w:r>
      <w:r w:rsidR="00F45A70">
        <w:rPr>
          <w:noProof/>
        </w:rPr>
        <w:t>76</w:t>
      </w:r>
      <w:r>
        <w:rPr>
          <w:noProof/>
        </w:rPr>
        <w:fldChar w:fldCharType="end"/>
      </w:r>
    </w:p>
    <w:p w14:paraId="4B6B1E00" w14:textId="39CA5DC8" w:rsidR="00FC24B6" w:rsidRDefault="00FC24B6">
      <w:pPr>
        <w:pStyle w:val="Obsah5"/>
        <w:rPr>
          <w:rFonts w:asciiTheme="minorHAnsi" w:eastAsiaTheme="minorEastAsia" w:hAnsiTheme="minorHAnsi" w:cstheme="minorBidi"/>
          <w:noProof/>
          <w:kern w:val="2"/>
          <w:sz w:val="22"/>
          <w:lang w:eastAsia="cs-CZ"/>
          <w14:ligatures w14:val="standardContextual"/>
        </w:rPr>
      </w:pPr>
      <w:r w:rsidRPr="00087486">
        <w:rPr>
          <w:rFonts w:cs="Arial"/>
          <w:bCs/>
          <w:noProof/>
          <w:snapToGrid w:val="0"/>
        </w:rPr>
        <w:t>Obr. 26</w:t>
      </w:r>
      <w:r>
        <w:rPr>
          <w:rFonts w:asciiTheme="minorHAnsi" w:eastAsiaTheme="minorEastAsia" w:hAnsiTheme="minorHAnsi" w:cstheme="minorBidi"/>
          <w:noProof/>
          <w:kern w:val="2"/>
          <w:sz w:val="22"/>
          <w:lang w:eastAsia="cs-CZ"/>
          <w14:ligatures w14:val="standardContextual"/>
        </w:rPr>
        <w:tab/>
      </w:r>
      <w:r>
        <w:rPr>
          <w:noProof/>
        </w:rPr>
        <w:t>Roční chod intenzity tepelného ostrova v Praze (zdroj: ČHMÚ - projekt UHI (2016), in Analytická část Adaptační strategie hl.m. Prahy na změnu klimatu)</w:t>
      </w:r>
      <w:r>
        <w:rPr>
          <w:noProof/>
        </w:rPr>
        <w:tab/>
      </w:r>
      <w:r>
        <w:rPr>
          <w:noProof/>
        </w:rPr>
        <w:fldChar w:fldCharType="begin"/>
      </w:r>
      <w:r>
        <w:rPr>
          <w:noProof/>
        </w:rPr>
        <w:instrText xml:space="preserve"> PAGEREF _Toc138848213 \h </w:instrText>
      </w:r>
      <w:r>
        <w:rPr>
          <w:noProof/>
        </w:rPr>
      </w:r>
      <w:r>
        <w:rPr>
          <w:noProof/>
        </w:rPr>
        <w:fldChar w:fldCharType="separate"/>
      </w:r>
      <w:r w:rsidR="00F45A70">
        <w:rPr>
          <w:noProof/>
        </w:rPr>
        <w:t>80</w:t>
      </w:r>
      <w:r>
        <w:rPr>
          <w:noProof/>
        </w:rPr>
        <w:fldChar w:fldCharType="end"/>
      </w:r>
    </w:p>
    <w:p w14:paraId="676AC2C2" w14:textId="7F4C1E75" w:rsidR="00FC24B6" w:rsidRDefault="00FC24B6">
      <w:pPr>
        <w:pStyle w:val="Obsah5"/>
        <w:rPr>
          <w:rFonts w:asciiTheme="minorHAnsi" w:eastAsiaTheme="minorEastAsia" w:hAnsiTheme="minorHAnsi" w:cstheme="minorBidi"/>
          <w:noProof/>
          <w:kern w:val="2"/>
          <w:sz w:val="22"/>
          <w:lang w:eastAsia="cs-CZ"/>
          <w14:ligatures w14:val="standardContextual"/>
        </w:rPr>
      </w:pPr>
      <w:r w:rsidRPr="00087486">
        <w:rPr>
          <w:rFonts w:cs="Arial"/>
          <w:bCs/>
          <w:noProof/>
          <w:snapToGrid w:val="0"/>
        </w:rPr>
        <w:t>Obr. 27</w:t>
      </w:r>
      <w:r>
        <w:rPr>
          <w:rFonts w:asciiTheme="minorHAnsi" w:eastAsiaTheme="minorEastAsia" w:hAnsiTheme="minorHAnsi" w:cstheme="minorBidi"/>
          <w:noProof/>
          <w:kern w:val="2"/>
          <w:sz w:val="22"/>
          <w:lang w:eastAsia="cs-CZ"/>
          <w14:ligatures w14:val="standardContextual"/>
        </w:rPr>
        <w:tab/>
      </w:r>
      <w:r>
        <w:rPr>
          <w:noProof/>
        </w:rPr>
        <w:t>Nárůst počtu tropických dní pro scénáře RCP4.5, RCP8.5 pro období blízké (2021-2040) a vzdálené budoucnosti (2081-2100), v porovnání s referenčním stavem (1981-2010) (zdroj: Ústav výzkumu globální změny AV ČR – CzechGlobe (2016), in Analytická část Adaptační strategie hl.m. Prahy na změnu klimatu)</w:t>
      </w:r>
      <w:r>
        <w:rPr>
          <w:noProof/>
        </w:rPr>
        <w:tab/>
      </w:r>
      <w:r>
        <w:rPr>
          <w:noProof/>
        </w:rPr>
        <w:fldChar w:fldCharType="begin"/>
      </w:r>
      <w:r>
        <w:rPr>
          <w:noProof/>
        </w:rPr>
        <w:instrText xml:space="preserve"> PAGEREF _Toc138848214 \h </w:instrText>
      </w:r>
      <w:r>
        <w:rPr>
          <w:noProof/>
        </w:rPr>
      </w:r>
      <w:r>
        <w:rPr>
          <w:noProof/>
        </w:rPr>
        <w:fldChar w:fldCharType="separate"/>
      </w:r>
      <w:r w:rsidR="00F45A70">
        <w:rPr>
          <w:noProof/>
        </w:rPr>
        <w:t>80</w:t>
      </w:r>
      <w:r>
        <w:rPr>
          <w:noProof/>
        </w:rPr>
        <w:fldChar w:fldCharType="end"/>
      </w:r>
    </w:p>
    <w:p w14:paraId="05BE87BD" w14:textId="069D8D61" w:rsidR="00FC24B6" w:rsidRDefault="00FC24B6">
      <w:pPr>
        <w:pStyle w:val="Obsah5"/>
        <w:rPr>
          <w:rFonts w:asciiTheme="minorHAnsi" w:eastAsiaTheme="minorEastAsia" w:hAnsiTheme="minorHAnsi" w:cstheme="minorBidi"/>
          <w:noProof/>
          <w:kern w:val="2"/>
          <w:sz w:val="22"/>
          <w:lang w:eastAsia="cs-CZ"/>
          <w14:ligatures w14:val="standardContextual"/>
        </w:rPr>
      </w:pPr>
      <w:r w:rsidRPr="00087486">
        <w:rPr>
          <w:rFonts w:cs="Arial"/>
          <w:bCs/>
          <w:noProof/>
          <w:snapToGrid w:val="0"/>
        </w:rPr>
        <w:t>Obr. 28</w:t>
      </w:r>
      <w:r>
        <w:rPr>
          <w:rFonts w:asciiTheme="minorHAnsi" w:eastAsiaTheme="minorEastAsia" w:hAnsiTheme="minorHAnsi" w:cstheme="minorBidi"/>
          <w:noProof/>
          <w:kern w:val="2"/>
          <w:sz w:val="22"/>
          <w:lang w:eastAsia="cs-CZ"/>
          <w14:ligatures w14:val="standardContextual"/>
        </w:rPr>
        <w:tab/>
      </w:r>
      <w:r>
        <w:rPr>
          <w:noProof/>
        </w:rPr>
        <w:t>Ekosystémově založená adaptační opatření (zdroj: Adaptační strategie hlavního města Prahy na změnu klimatu)</w:t>
      </w:r>
      <w:r>
        <w:rPr>
          <w:noProof/>
        </w:rPr>
        <w:tab/>
      </w:r>
      <w:r>
        <w:rPr>
          <w:noProof/>
        </w:rPr>
        <w:fldChar w:fldCharType="begin"/>
      </w:r>
      <w:r>
        <w:rPr>
          <w:noProof/>
        </w:rPr>
        <w:instrText xml:space="preserve"> PAGEREF _Toc138848215 \h </w:instrText>
      </w:r>
      <w:r>
        <w:rPr>
          <w:noProof/>
        </w:rPr>
      </w:r>
      <w:r>
        <w:rPr>
          <w:noProof/>
        </w:rPr>
        <w:fldChar w:fldCharType="separate"/>
      </w:r>
      <w:r w:rsidR="00F45A70">
        <w:rPr>
          <w:noProof/>
        </w:rPr>
        <w:t>81</w:t>
      </w:r>
      <w:r>
        <w:rPr>
          <w:noProof/>
        </w:rPr>
        <w:fldChar w:fldCharType="end"/>
      </w:r>
    </w:p>
    <w:p w14:paraId="796A096A" w14:textId="37767FFC" w:rsidR="00FC24B6" w:rsidRDefault="00FC24B6">
      <w:pPr>
        <w:pStyle w:val="Obsah5"/>
        <w:rPr>
          <w:rFonts w:asciiTheme="minorHAnsi" w:eastAsiaTheme="minorEastAsia" w:hAnsiTheme="minorHAnsi" w:cstheme="minorBidi"/>
          <w:noProof/>
          <w:kern w:val="2"/>
          <w:sz w:val="22"/>
          <w:lang w:eastAsia="cs-CZ"/>
          <w14:ligatures w14:val="standardContextual"/>
        </w:rPr>
      </w:pPr>
      <w:r w:rsidRPr="00087486">
        <w:rPr>
          <w:rFonts w:cs="Arial"/>
          <w:bCs/>
          <w:noProof/>
          <w:snapToGrid w:val="0"/>
        </w:rPr>
        <w:t>Obr. 29</w:t>
      </w:r>
      <w:r>
        <w:rPr>
          <w:rFonts w:asciiTheme="minorHAnsi" w:eastAsiaTheme="minorEastAsia" w:hAnsiTheme="minorHAnsi" w:cstheme="minorBidi"/>
          <w:noProof/>
          <w:kern w:val="2"/>
          <w:sz w:val="22"/>
          <w:lang w:eastAsia="cs-CZ"/>
          <w14:ligatures w14:val="standardContextual"/>
        </w:rPr>
        <w:tab/>
      </w:r>
      <w:r>
        <w:rPr>
          <w:noProof/>
        </w:rPr>
        <w:t>Mapa bonity klimatu dle Atlasu životního prostředí Prahy, cit.: 11.4.2023</w:t>
      </w:r>
      <w:r>
        <w:rPr>
          <w:noProof/>
        </w:rPr>
        <w:tab/>
      </w:r>
      <w:r>
        <w:rPr>
          <w:noProof/>
        </w:rPr>
        <w:fldChar w:fldCharType="begin"/>
      </w:r>
      <w:r>
        <w:rPr>
          <w:noProof/>
        </w:rPr>
        <w:instrText xml:space="preserve"> PAGEREF _Toc138848216 \h </w:instrText>
      </w:r>
      <w:r>
        <w:rPr>
          <w:noProof/>
        </w:rPr>
      </w:r>
      <w:r>
        <w:rPr>
          <w:noProof/>
        </w:rPr>
        <w:fldChar w:fldCharType="separate"/>
      </w:r>
      <w:r w:rsidR="00F45A70">
        <w:rPr>
          <w:noProof/>
        </w:rPr>
        <w:t>82</w:t>
      </w:r>
      <w:r>
        <w:rPr>
          <w:noProof/>
        </w:rPr>
        <w:fldChar w:fldCharType="end"/>
      </w:r>
    </w:p>
    <w:p w14:paraId="73F82AB4" w14:textId="492C010A" w:rsidR="00FC24B6" w:rsidRDefault="00FC24B6">
      <w:pPr>
        <w:pStyle w:val="Obsah5"/>
        <w:rPr>
          <w:rFonts w:asciiTheme="minorHAnsi" w:eastAsiaTheme="minorEastAsia" w:hAnsiTheme="minorHAnsi" w:cstheme="minorBidi"/>
          <w:noProof/>
          <w:kern w:val="2"/>
          <w:sz w:val="22"/>
          <w:lang w:eastAsia="cs-CZ"/>
          <w14:ligatures w14:val="standardContextual"/>
        </w:rPr>
      </w:pPr>
      <w:r w:rsidRPr="00087486">
        <w:rPr>
          <w:rFonts w:cs="Arial"/>
          <w:bCs/>
          <w:noProof/>
          <w:snapToGrid w:val="0"/>
        </w:rPr>
        <w:t>Obr. 30</w:t>
      </w:r>
      <w:r>
        <w:rPr>
          <w:rFonts w:asciiTheme="minorHAnsi" w:eastAsiaTheme="minorEastAsia" w:hAnsiTheme="minorHAnsi" w:cstheme="minorBidi"/>
          <w:noProof/>
          <w:kern w:val="2"/>
          <w:sz w:val="22"/>
          <w:lang w:eastAsia="cs-CZ"/>
          <w14:ligatures w14:val="standardContextual"/>
        </w:rPr>
        <w:tab/>
      </w:r>
      <w:r>
        <w:rPr>
          <w:noProof/>
        </w:rPr>
        <w:t>Index zranitelnosti klimatu dle mapového portálu IPR Praha, cit. 11.4.2023</w:t>
      </w:r>
      <w:r>
        <w:rPr>
          <w:noProof/>
        </w:rPr>
        <w:tab/>
      </w:r>
      <w:r>
        <w:rPr>
          <w:noProof/>
        </w:rPr>
        <w:fldChar w:fldCharType="begin"/>
      </w:r>
      <w:r>
        <w:rPr>
          <w:noProof/>
        </w:rPr>
        <w:instrText xml:space="preserve"> PAGEREF _Toc138848217 \h </w:instrText>
      </w:r>
      <w:r>
        <w:rPr>
          <w:noProof/>
        </w:rPr>
      </w:r>
      <w:r>
        <w:rPr>
          <w:noProof/>
        </w:rPr>
        <w:fldChar w:fldCharType="separate"/>
      </w:r>
      <w:r w:rsidR="00F45A70">
        <w:rPr>
          <w:noProof/>
        </w:rPr>
        <w:t>82</w:t>
      </w:r>
      <w:r>
        <w:rPr>
          <w:noProof/>
        </w:rPr>
        <w:fldChar w:fldCharType="end"/>
      </w:r>
    </w:p>
    <w:p w14:paraId="128B3DB2" w14:textId="42C34FE0" w:rsidR="00FC24B6" w:rsidRDefault="00FC24B6">
      <w:pPr>
        <w:pStyle w:val="Obsah5"/>
        <w:rPr>
          <w:rFonts w:asciiTheme="minorHAnsi" w:eastAsiaTheme="minorEastAsia" w:hAnsiTheme="minorHAnsi" w:cstheme="minorBidi"/>
          <w:noProof/>
          <w:kern w:val="2"/>
          <w:sz w:val="22"/>
          <w:lang w:eastAsia="cs-CZ"/>
          <w14:ligatures w14:val="standardContextual"/>
        </w:rPr>
      </w:pPr>
      <w:r w:rsidRPr="00087486">
        <w:rPr>
          <w:rFonts w:cs="Arial"/>
          <w:bCs/>
          <w:noProof/>
          <w:snapToGrid w:val="0"/>
        </w:rPr>
        <w:t>Obr. 31</w:t>
      </w:r>
      <w:r>
        <w:rPr>
          <w:rFonts w:asciiTheme="minorHAnsi" w:eastAsiaTheme="minorEastAsia" w:hAnsiTheme="minorHAnsi" w:cstheme="minorBidi"/>
          <w:noProof/>
          <w:kern w:val="2"/>
          <w:sz w:val="22"/>
          <w:lang w:eastAsia="cs-CZ"/>
          <w14:ligatures w14:val="standardContextual"/>
        </w:rPr>
        <w:tab/>
      </w:r>
      <w:r>
        <w:rPr>
          <w:noProof/>
        </w:rPr>
        <w:t>Atlas životního prostředí Praha – Hluková mapa – akustický vliv dopravní sítě – stav 2016, hladina hluku – den, zdroj: IPR</w:t>
      </w:r>
      <w:r>
        <w:rPr>
          <w:noProof/>
        </w:rPr>
        <w:tab/>
      </w:r>
      <w:r>
        <w:rPr>
          <w:noProof/>
        </w:rPr>
        <w:fldChar w:fldCharType="begin"/>
      </w:r>
      <w:r>
        <w:rPr>
          <w:noProof/>
        </w:rPr>
        <w:instrText xml:space="preserve"> PAGEREF _Toc138848218 \h </w:instrText>
      </w:r>
      <w:r>
        <w:rPr>
          <w:noProof/>
        </w:rPr>
      </w:r>
      <w:r>
        <w:rPr>
          <w:noProof/>
        </w:rPr>
        <w:fldChar w:fldCharType="separate"/>
      </w:r>
      <w:r w:rsidR="00F45A70">
        <w:rPr>
          <w:noProof/>
        </w:rPr>
        <w:t>84</w:t>
      </w:r>
      <w:r>
        <w:rPr>
          <w:noProof/>
        </w:rPr>
        <w:fldChar w:fldCharType="end"/>
      </w:r>
    </w:p>
    <w:p w14:paraId="02CA8459" w14:textId="6C3818E2" w:rsidR="00FC24B6" w:rsidRDefault="00FC24B6">
      <w:pPr>
        <w:pStyle w:val="Obsah5"/>
        <w:rPr>
          <w:rFonts w:asciiTheme="minorHAnsi" w:eastAsiaTheme="minorEastAsia" w:hAnsiTheme="minorHAnsi" w:cstheme="minorBidi"/>
          <w:noProof/>
          <w:kern w:val="2"/>
          <w:sz w:val="22"/>
          <w:lang w:eastAsia="cs-CZ"/>
          <w14:ligatures w14:val="standardContextual"/>
        </w:rPr>
      </w:pPr>
      <w:r w:rsidRPr="00087486">
        <w:rPr>
          <w:rFonts w:cs="Arial"/>
          <w:bCs/>
          <w:noProof/>
          <w:snapToGrid w:val="0"/>
        </w:rPr>
        <w:t>Obr. 32</w:t>
      </w:r>
      <w:r>
        <w:rPr>
          <w:rFonts w:asciiTheme="minorHAnsi" w:eastAsiaTheme="minorEastAsia" w:hAnsiTheme="minorHAnsi" w:cstheme="minorBidi"/>
          <w:noProof/>
          <w:kern w:val="2"/>
          <w:sz w:val="22"/>
          <w:lang w:eastAsia="cs-CZ"/>
          <w14:ligatures w14:val="standardContextual"/>
        </w:rPr>
        <w:tab/>
      </w:r>
      <w:r>
        <w:rPr>
          <w:noProof/>
        </w:rPr>
        <w:t>Atlas životního prostředí Praha – Hluková mapa – akustický vliv dopravní sítě – stav 2016, hladina hluku – noc, zdroj: IPR</w:t>
      </w:r>
      <w:r>
        <w:rPr>
          <w:noProof/>
        </w:rPr>
        <w:tab/>
      </w:r>
      <w:r>
        <w:rPr>
          <w:noProof/>
        </w:rPr>
        <w:fldChar w:fldCharType="begin"/>
      </w:r>
      <w:r>
        <w:rPr>
          <w:noProof/>
        </w:rPr>
        <w:instrText xml:space="preserve"> PAGEREF _Toc138848219 \h </w:instrText>
      </w:r>
      <w:r>
        <w:rPr>
          <w:noProof/>
        </w:rPr>
      </w:r>
      <w:r>
        <w:rPr>
          <w:noProof/>
        </w:rPr>
        <w:fldChar w:fldCharType="separate"/>
      </w:r>
      <w:r w:rsidR="00F45A70">
        <w:rPr>
          <w:noProof/>
        </w:rPr>
        <w:t>84</w:t>
      </w:r>
      <w:r>
        <w:rPr>
          <w:noProof/>
        </w:rPr>
        <w:fldChar w:fldCharType="end"/>
      </w:r>
    </w:p>
    <w:p w14:paraId="2E440407" w14:textId="37F5F59B" w:rsidR="00FC24B6" w:rsidRDefault="00FC24B6">
      <w:pPr>
        <w:pStyle w:val="Obsah5"/>
        <w:tabs>
          <w:tab w:val="left" w:pos="1418"/>
        </w:tabs>
        <w:rPr>
          <w:rFonts w:asciiTheme="minorHAnsi" w:eastAsiaTheme="minorEastAsia" w:hAnsiTheme="minorHAnsi" w:cstheme="minorBidi"/>
          <w:noProof/>
          <w:kern w:val="2"/>
          <w:sz w:val="22"/>
          <w:lang w:eastAsia="cs-CZ"/>
          <w14:ligatures w14:val="standardContextual"/>
        </w:rPr>
      </w:pPr>
      <w:r w:rsidRPr="00087486">
        <w:rPr>
          <w:rFonts w:cs="Arial"/>
          <w:bCs/>
          <w:noProof/>
          <w:snapToGrid w:val="0"/>
        </w:rPr>
        <w:t>Obr. 33</w:t>
      </w:r>
      <w:r>
        <w:rPr>
          <w:rFonts w:asciiTheme="minorHAnsi" w:eastAsiaTheme="minorEastAsia" w:hAnsiTheme="minorHAnsi" w:cstheme="minorBidi"/>
          <w:noProof/>
          <w:kern w:val="2"/>
          <w:sz w:val="22"/>
          <w:lang w:eastAsia="cs-CZ"/>
          <w14:ligatures w14:val="standardContextual"/>
        </w:rPr>
        <w:tab/>
      </w:r>
      <w:r>
        <w:rPr>
          <w:noProof/>
        </w:rPr>
        <w:t>Strategická hluková mapa - Aglomerace Praha 2017 pro hlukový ukazatel Ldvn pro Aglomerace celek (den), zdroj geoportal.mzcr.cz</w:t>
      </w:r>
      <w:r>
        <w:rPr>
          <w:noProof/>
        </w:rPr>
        <w:tab/>
      </w:r>
      <w:r>
        <w:rPr>
          <w:noProof/>
        </w:rPr>
        <w:fldChar w:fldCharType="begin"/>
      </w:r>
      <w:r>
        <w:rPr>
          <w:noProof/>
        </w:rPr>
        <w:instrText xml:space="preserve"> PAGEREF _Toc138848220 \h </w:instrText>
      </w:r>
      <w:r>
        <w:rPr>
          <w:noProof/>
        </w:rPr>
      </w:r>
      <w:r>
        <w:rPr>
          <w:noProof/>
        </w:rPr>
        <w:fldChar w:fldCharType="separate"/>
      </w:r>
      <w:r w:rsidR="00F45A70">
        <w:rPr>
          <w:noProof/>
        </w:rPr>
        <w:t>85</w:t>
      </w:r>
      <w:r>
        <w:rPr>
          <w:noProof/>
        </w:rPr>
        <w:fldChar w:fldCharType="end"/>
      </w:r>
    </w:p>
    <w:p w14:paraId="025B5525" w14:textId="22B9C944" w:rsidR="00FC24B6" w:rsidRDefault="00FC24B6">
      <w:pPr>
        <w:pStyle w:val="Obsah5"/>
        <w:tabs>
          <w:tab w:val="left" w:pos="1418"/>
        </w:tabs>
        <w:rPr>
          <w:rFonts w:asciiTheme="minorHAnsi" w:eastAsiaTheme="minorEastAsia" w:hAnsiTheme="minorHAnsi" w:cstheme="minorBidi"/>
          <w:noProof/>
          <w:kern w:val="2"/>
          <w:sz w:val="22"/>
          <w:lang w:eastAsia="cs-CZ"/>
          <w14:ligatures w14:val="standardContextual"/>
        </w:rPr>
      </w:pPr>
      <w:r w:rsidRPr="00087486">
        <w:rPr>
          <w:rFonts w:cs="Arial"/>
          <w:bCs/>
          <w:noProof/>
          <w:snapToGrid w:val="0"/>
        </w:rPr>
        <w:t>Obr. 34</w:t>
      </w:r>
      <w:r>
        <w:rPr>
          <w:rFonts w:asciiTheme="minorHAnsi" w:eastAsiaTheme="minorEastAsia" w:hAnsiTheme="minorHAnsi" w:cstheme="minorBidi"/>
          <w:noProof/>
          <w:kern w:val="2"/>
          <w:sz w:val="22"/>
          <w:lang w:eastAsia="cs-CZ"/>
          <w14:ligatures w14:val="standardContextual"/>
        </w:rPr>
        <w:tab/>
      </w:r>
      <w:r>
        <w:rPr>
          <w:noProof/>
        </w:rPr>
        <w:t>Strategická hluková mapa - Aglomerace Praha 2017 pro hlukový ukazatel Ln pro Aglomerace celek (noc), zdroj geoportal.mzcr.cz</w:t>
      </w:r>
      <w:r>
        <w:rPr>
          <w:noProof/>
        </w:rPr>
        <w:tab/>
      </w:r>
      <w:r>
        <w:rPr>
          <w:noProof/>
        </w:rPr>
        <w:fldChar w:fldCharType="begin"/>
      </w:r>
      <w:r>
        <w:rPr>
          <w:noProof/>
        </w:rPr>
        <w:instrText xml:space="preserve"> PAGEREF _Toc138848221 \h </w:instrText>
      </w:r>
      <w:r>
        <w:rPr>
          <w:noProof/>
        </w:rPr>
      </w:r>
      <w:r>
        <w:rPr>
          <w:noProof/>
        </w:rPr>
        <w:fldChar w:fldCharType="separate"/>
      </w:r>
      <w:r w:rsidR="00F45A70">
        <w:rPr>
          <w:noProof/>
        </w:rPr>
        <w:t>85</w:t>
      </w:r>
      <w:r>
        <w:rPr>
          <w:noProof/>
        </w:rPr>
        <w:fldChar w:fldCharType="end"/>
      </w:r>
    </w:p>
    <w:p w14:paraId="04DE1355" w14:textId="3C4C9DB6" w:rsidR="00FC24B6" w:rsidRDefault="00FC24B6">
      <w:pPr>
        <w:pStyle w:val="Obsah5"/>
        <w:tabs>
          <w:tab w:val="left" w:pos="1418"/>
        </w:tabs>
        <w:rPr>
          <w:rFonts w:asciiTheme="minorHAnsi" w:eastAsiaTheme="minorEastAsia" w:hAnsiTheme="minorHAnsi" w:cstheme="minorBidi"/>
          <w:noProof/>
          <w:kern w:val="2"/>
          <w:sz w:val="22"/>
          <w:lang w:eastAsia="cs-CZ"/>
          <w14:ligatures w14:val="standardContextual"/>
        </w:rPr>
      </w:pPr>
      <w:r w:rsidRPr="00087486">
        <w:rPr>
          <w:rFonts w:cs="Arial"/>
          <w:bCs/>
          <w:noProof/>
          <w:snapToGrid w:val="0"/>
        </w:rPr>
        <w:t>Obr. 36</w:t>
      </w:r>
      <w:r>
        <w:rPr>
          <w:rFonts w:asciiTheme="minorHAnsi" w:eastAsiaTheme="minorEastAsia" w:hAnsiTheme="minorHAnsi" w:cstheme="minorBidi"/>
          <w:noProof/>
          <w:kern w:val="2"/>
          <w:sz w:val="22"/>
          <w:lang w:eastAsia="cs-CZ"/>
          <w14:ligatures w14:val="standardContextual"/>
        </w:rPr>
        <w:tab/>
      </w:r>
      <w:r>
        <w:rPr>
          <w:noProof/>
        </w:rPr>
        <w:t>Kartogram zatížení AD z modelového výpočtu, Sedlec TSK Praha, oblast Praha 8 – Libeň, zdroj: DPI, IPR, duben 2021</w:t>
      </w:r>
      <w:r>
        <w:rPr>
          <w:noProof/>
        </w:rPr>
        <w:tab/>
      </w:r>
      <w:r>
        <w:rPr>
          <w:noProof/>
        </w:rPr>
        <w:fldChar w:fldCharType="begin"/>
      </w:r>
      <w:r>
        <w:rPr>
          <w:noProof/>
        </w:rPr>
        <w:instrText xml:space="preserve"> PAGEREF _Toc138848222 \h </w:instrText>
      </w:r>
      <w:r>
        <w:rPr>
          <w:noProof/>
        </w:rPr>
      </w:r>
      <w:r>
        <w:rPr>
          <w:noProof/>
        </w:rPr>
        <w:fldChar w:fldCharType="separate"/>
      </w:r>
      <w:r w:rsidR="00F45A70">
        <w:rPr>
          <w:noProof/>
        </w:rPr>
        <w:t>92</w:t>
      </w:r>
      <w:r>
        <w:rPr>
          <w:noProof/>
        </w:rPr>
        <w:fldChar w:fldCharType="end"/>
      </w:r>
    </w:p>
    <w:p w14:paraId="569861C5" w14:textId="77FC15D8" w:rsidR="00FC24B6" w:rsidRDefault="00FC24B6">
      <w:pPr>
        <w:pStyle w:val="Obsah5"/>
        <w:rPr>
          <w:rFonts w:asciiTheme="minorHAnsi" w:eastAsiaTheme="minorEastAsia" w:hAnsiTheme="minorHAnsi" w:cstheme="minorBidi"/>
          <w:noProof/>
          <w:kern w:val="2"/>
          <w:sz w:val="22"/>
          <w:lang w:eastAsia="cs-CZ"/>
          <w14:ligatures w14:val="standardContextual"/>
        </w:rPr>
      </w:pPr>
      <w:r w:rsidRPr="00087486">
        <w:rPr>
          <w:rFonts w:cs="Arial"/>
          <w:bCs/>
          <w:noProof/>
          <w:snapToGrid w:val="0"/>
        </w:rPr>
        <w:t>Obr. 37</w:t>
      </w:r>
      <w:r>
        <w:rPr>
          <w:rFonts w:asciiTheme="minorHAnsi" w:eastAsiaTheme="minorEastAsia" w:hAnsiTheme="minorHAnsi" w:cstheme="minorBidi"/>
          <w:noProof/>
          <w:kern w:val="2"/>
          <w:sz w:val="22"/>
          <w:lang w:eastAsia="cs-CZ"/>
          <w14:ligatures w14:val="standardContextual"/>
        </w:rPr>
        <w:tab/>
      </w:r>
      <w:r>
        <w:rPr>
          <w:noProof/>
        </w:rPr>
        <w:t>Kartogram návrhového modelového zatížení vybraných komunikací AD, Nový Sedlec + Výhledy, pro návrhové období ÚP hl. m. Prahy, zdroj: DPI, IPR, duben 2021.</w:t>
      </w:r>
      <w:r>
        <w:rPr>
          <w:noProof/>
        </w:rPr>
        <w:tab/>
      </w:r>
      <w:r>
        <w:rPr>
          <w:noProof/>
        </w:rPr>
        <w:fldChar w:fldCharType="begin"/>
      </w:r>
      <w:r>
        <w:rPr>
          <w:noProof/>
        </w:rPr>
        <w:instrText xml:space="preserve"> PAGEREF _Toc138848223 \h </w:instrText>
      </w:r>
      <w:r>
        <w:rPr>
          <w:noProof/>
        </w:rPr>
      </w:r>
      <w:r>
        <w:rPr>
          <w:noProof/>
        </w:rPr>
        <w:fldChar w:fldCharType="separate"/>
      </w:r>
      <w:r w:rsidR="00F45A70">
        <w:rPr>
          <w:noProof/>
        </w:rPr>
        <w:t>93</w:t>
      </w:r>
      <w:r>
        <w:rPr>
          <w:noProof/>
        </w:rPr>
        <w:fldChar w:fldCharType="end"/>
      </w:r>
    </w:p>
    <w:p w14:paraId="2EEBB4C0" w14:textId="33A6E85A" w:rsidR="00FC24B6" w:rsidRDefault="00FC24B6">
      <w:pPr>
        <w:pStyle w:val="Obsah5"/>
        <w:tabs>
          <w:tab w:val="left" w:pos="1418"/>
        </w:tabs>
        <w:rPr>
          <w:rFonts w:asciiTheme="minorHAnsi" w:eastAsiaTheme="minorEastAsia" w:hAnsiTheme="minorHAnsi" w:cstheme="minorBidi"/>
          <w:noProof/>
          <w:kern w:val="2"/>
          <w:sz w:val="22"/>
          <w:lang w:eastAsia="cs-CZ"/>
          <w14:ligatures w14:val="standardContextual"/>
        </w:rPr>
      </w:pPr>
      <w:r w:rsidRPr="00087486">
        <w:rPr>
          <w:rFonts w:cs="Arial"/>
          <w:bCs/>
          <w:noProof/>
          <w:snapToGrid w:val="0"/>
        </w:rPr>
        <w:t>Obr. 38</w:t>
      </w:r>
      <w:r>
        <w:rPr>
          <w:rFonts w:asciiTheme="minorHAnsi" w:eastAsiaTheme="minorEastAsia" w:hAnsiTheme="minorHAnsi" w:cstheme="minorBidi"/>
          <w:noProof/>
          <w:kern w:val="2"/>
          <w:sz w:val="22"/>
          <w:lang w:eastAsia="cs-CZ"/>
          <w14:ligatures w14:val="standardContextual"/>
        </w:rPr>
        <w:tab/>
      </w:r>
      <w:r>
        <w:rPr>
          <w:noProof/>
        </w:rPr>
        <w:t>Rozdílový kartogram návrhového modelového zatížení vybraných komunikací AD v oblasti Nový Sedlec + výhledy, zdroj: DPI, IPR, duben 2021</w:t>
      </w:r>
      <w:r>
        <w:rPr>
          <w:noProof/>
        </w:rPr>
        <w:tab/>
      </w:r>
      <w:r>
        <w:rPr>
          <w:noProof/>
        </w:rPr>
        <w:fldChar w:fldCharType="begin"/>
      </w:r>
      <w:r>
        <w:rPr>
          <w:noProof/>
        </w:rPr>
        <w:instrText xml:space="preserve"> PAGEREF _Toc138848224 \h </w:instrText>
      </w:r>
      <w:r>
        <w:rPr>
          <w:noProof/>
        </w:rPr>
      </w:r>
      <w:r>
        <w:rPr>
          <w:noProof/>
        </w:rPr>
        <w:fldChar w:fldCharType="separate"/>
      </w:r>
      <w:r w:rsidR="00F45A70">
        <w:rPr>
          <w:noProof/>
        </w:rPr>
        <w:t>94</w:t>
      </w:r>
      <w:r>
        <w:rPr>
          <w:noProof/>
        </w:rPr>
        <w:fldChar w:fldCharType="end"/>
      </w:r>
    </w:p>
    <w:p w14:paraId="2381ED6A" w14:textId="38D6C174" w:rsidR="00FC24B6" w:rsidRDefault="00FC24B6">
      <w:pPr>
        <w:pStyle w:val="Obsah5"/>
        <w:rPr>
          <w:rFonts w:asciiTheme="minorHAnsi" w:eastAsiaTheme="minorEastAsia" w:hAnsiTheme="minorHAnsi" w:cstheme="minorBidi"/>
          <w:noProof/>
          <w:kern w:val="2"/>
          <w:sz w:val="22"/>
          <w:lang w:eastAsia="cs-CZ"/>
          <w14:ligatures w14:val="standardContextual"/>
        </w:rPr>
      </w:pPr>
      <w:r w:rsidRPr="00087486">
        <w:rPr>
          <w:rFonts w:cs="Arial"/>
          <w:bCs/>
          <w:noProof/>
          <w:snapToGrid w:val="0"/>
        </w:rPr>
        <w:t>Obr. 39</w:t>
      </w:r>
      <w:r>
        <w:rPr>
          <w:rFonts w:asciiTheme="minorHAnsi" w:eastAsiaTheme="minorEastAsia" w:hAnsiTheme="minorHAnsi" w:cstheme="minorBidi"/>
          <w:noProof/>
          <w:kern w:val="2"/>
          <w:sz w:val="22"/>
          <w:lang w:eastAsia="cs-CZ"/>
          <w14:ligatures w14:val="standardContextual"/>
        </w:rPr>
        <w:tab/>
      </w:r>
      <w:r>
        <w:rPr>
          <w:noProof/>
        </w:rPr>
        <w:t xml:space="preserve">Památková mapa, zdroj: Geoportál Praha, IPR, </w:t>
      </w:r>
      <w:r w:rsidRPr="00087486">
        <w:rPr>
          <w:bCs/>
          <w:noProof/>
        </w:rPr>
        <w:t>cit. 15. 1. 2023</w:t>
      </w:r>
      <w:r>
        <w:rPr>
          <w:noProof/>
        </w:rPr>
        <w:tab/>
      </w:r>
      <w:r>
        <w:rPr>
          <w:noProof/>
        </w:rPr>
        <w:fldChar w:fldCharType="begin"/>
      </w:r>
      <w:r>
        <w:rPr>
          <w:noProof/>
        </w:rPr>
        <w:instrText xml:space="preserve"> PAGEREF _Toc138848225 \h </w:instrText>
      </w:r>
      <w:r>
        <w:rPr>
          <w:noProof/>
        </w:rPr>
      </w:r>
      <w:r>
        <w:rPr>
          <w:noProof/>
        </w:rPr>
        <w:fldChar w:fldCharType="separate"/>
      </w:r>
      <w:r w:rsidR="00F45A70">
        <w:rPr>
          <w:noProof/>
        </w:rPr>
        <w:t>97</w:t>
      </w:r>
      <w:r>
        <w:rPr>
          <w:noProof/>
        </w:rPr>
        <w:fldChar w:fldCharType="end"/>
      </w:r>
    </w:p>
    <w:p w14:paraId="4A7DAFCF" w14:textId="1F6BF6F3" w:rsidR="00FC24B6" w:rsidRDefault="00FC24B6">
      <w:pPr>
        <w:pStyle w:val="Obsah5"/>
        <w:rPr>
          <w:rFonts w:asciiTheme="minorHAnsi" w:eastAsiaTheme="minorEastAsia" w:hAnsiTheme="minorHAnsi" w:cstheme="minorBidi"/>
          <w:noProof/>
          <w:kern w:val="2"/>
          <w:sz w:val="22"/>
          <w:lang w:eastAsia="cs-CZ"/>
          <w14:ligatures w14:val="standardContextual"/>
        </w:rPr>
      </w:pPr>
      <w:r w:rsidRPr="00087486">
        <w:rPr>
          <w:rFonts w:cs="Arial"/>
          <w:bCs/>
          <w:noProof/>
          <w:snapToGrid w:val="0"/>
        </w:rPr>
        <w:t>Obr. 40</w:t>
      </w:r>
      <w:r>
        <w:rPr>
          <w:rFonts w:asciiTheme="minorHAnsi" w:eastAsiaTheme="minorEastAsia" w:hAnsiTheme="minorHAnsi" w:cstheme="minorBidi"/>
          <w:noProof/>
          <w:kern w:val="2"/>
          <w:sz w:val="22"/>
          <w:lang w:eastAsia="cs-CZ"/>
          <w14:ligatures w14:val="standardContextual"/>
        </w:rPr>
        <w:tab/>
      </w:r>
      <w:r>
        <w:rPr>
          <w:noProof/>
        </w:rPr>
        <w:t>Památkově chráněnž Viadukt železniční tratě Praha Bubeneč - Kralupy nad Vltavou - Děčín</w:t>
      </w:r>
      <w:r>
        <w:rPr>
          <w:noProof/>
        </w:rPr>
        <w:tab/>
      </w:r>
      <w:r>
        <w:rPr>
          <w:noProof/>
        </w:rPr>
        <w:fldChar w:fldCharType="begin"/>
      </w:r>
      <w:r>
        <w:rPr>
          <w:noProof/>
        </w:rPr>
        <w:instrText xml:space="preserve"> PAGEREF _Toc138848226 \h </w:instrText>
      </w:r>
      <w:r>
        <w:rPr>
          <w:noProof/>
        </w:rPr>
      </w:r>
      <w:r>
        <w:rPr>
          <w:noProof/>
        </w:rPr>
        <w:fldChar w:fldCharType="separate"/>
      </w:r>
      <w:r w:rsidR="00F45A70">
        <w:rPr>
          <w:noProof/>
        </w:rPr>
        <w:t>98</w:t>
      </w:r>
      <w:r>
        <w:rPr>
          <w:noProof/>
        </w:rPr>
        <w:fldChar w:fldCharType="end"/>
      </w:r>
    </w:p>
    <w:p w14:paraId="52CE69CC" w14:textId="35269972" w:rsidR="00FC24B6" w:rsidRDefault="00FC24B6">
      <w:pPr>
        <w:pStyle w:val="Obsah5"/>
        <w:rPr>
          <w:rFonts w:asciiTheme="minorHAnsi" w:eastAsiaTheme="minorEastAsia" w:hAnsiTheme="minorHAnsi" w:cstheme="minorBidi"/>
          <w:noProof/>
          <w:kern w:val="2"/>
          <w:sz w:val="22"/>
          <w:lang w:eastAsia="cs-CZ"/>
          <w14:ligatures w14:val="standardContextual"/>
        </w:rPr>
      </w:pPr>
      <w:r w:rsidRPr="00087486">
        <w:rPr>
          <w:rFonts w:cs="Arial"/>
          <w:bCs/>
          <w:noProof/>
          <w:snapToGrid w:val="0"/>
        </w:rPr>
        <w:t>Obr. 41</w:t>
      </w:r>
      <w:r>
        <w:rPr>
          <w:rFonts w:asciiTheme="minorHAnsi" w:eastAsiaTheme="minorEastAsia" w:hAnsiTheme="minorHAnsi" w:cstheme="minorBidi"/>
          <w:noProof/>
          <w:kern w:val="2"/>
          <w:sz w:val="22"/>
          <w:lang w:eastAsia="cs-CZ"/>
          <w14:ligatures w14:val="standardContextual"/>
        </w:rPr>
        <w:tab/>
      </w:r>
      <w:r>
        <w:rPr>
          <w:noProof/>
        </w:rPr>
        <w:t>Informační systém o archeologických datech, zdroj: Geoportál NPÚ, cit. 11.4.2023</w:t>
      </w:r>
      <w:r>
        <w:rPr>
          <w:noProof/>
        </w:rPr>
        <w:tab/>
      </w:r>
      <w:r>
        <w:rPr>
          <w:noProof/>
        </w:rPr>
        <w:fldChar w:fldCharType="begin"/>
      </w:r>
      <w:r>
        <w:rPr>
          <w:noProof/>
        </w:rPr>
        <w:instrText xml:space="preserve"> PAGEREF _Toc138848227 \h </w:instrText>
      </w:r>
      <w:r>
        <w:rPr>
          <w:noProof/>
        </w:rPr>
      </w:r>
      <w:r>
        <w:rPr>
          <w:noProof/>
        </w:rPr>
        <w:fldChar w:fldCharType="separate"/>
      </w:r>
      <w:r w:rsidR="00F45A70">
        <w:rPr>
          <w:noProof/>
        </w:rPr>
        <w:t>99</w:t>
      </w:r>
      <w:r>
        <w:rPr>
          <w:noProof/>
        </w:rPr>
        <w:fldChar w:fldCharType="end"/>
      </w:r>
    </w:p>
    <w:p w14:paraId="53BD8988" w14:textId="43EACEDE" w:rsidR="00FC24B6" w:rsidRDefault="00FC24B6">
      <w:pPr>
        <w:pStyle w:val="Obsah5"/>
        <w:rPr>
          <w:rFonts w:asciiTheme="minorHAnsi" w:eastAsiaTheme="minorEastAsia" w:hAnsiTheme="minorHAnsi" w:cstheme="minorBidi"/>
          <w:noProof/>
          <w:kern w:val="2"/>
          <w:sz w:val="22"/>
          <w:lang w:eastAsia="cs-CZ"/>
          <w14:ligatures w14:val="standardContextual"/>
        </w:rPr>
      </w:pPr>
      <w:r w:rsidRPr="00087486">
        <w:rPr>
          <w:rFonts w:cs="Arial"/>
          <w:bCs/>
          <w:noProof/>
          <w:snapToGrid w:val="0"/>
        </w:rPr>
        <w:t>Obr. 42</w:t>
      </w:r>
      <w:r>
        <w:rPr>
          <w:rFonts w:asciiTheme="minorHAnsi" w:eastAsiaTheme="minorEastAsia" w:hAnsiTheme="minorHAnsi" w:cstheme="minorBidi"/>
          <w:noProof/>
          <w:kern w:val="2"/>
          <w:sz w:val="22"/>
          <w:lang w:eastAsia="cs-CZ"/>
          <w14:ligatures w14:val="standardContextual"/>
        </w:rPr>
        <w:tab/>
      </w:r>
      <w:r>
        <w:rPr>
          <w:noProof/>
        </w:rPr>
        <w:t>Limity přítomné v řešeném území dle ÚAP Praha, (zdroj: ÚAP, Geoportál hl.m. Prahy), cit. 30.5.2023</w:t>
      </w:r>
      <w:r>
        <w:rPr>
          <w:noProof/>
        </w:rPr>
        <w:tab/>
      </w:r>
      <w:r>
        <w:rPr>
          <w:noProof/>
        </w:rPr>
        <w:fldChar w:fldCharType="begin"/>
      </w:r>
      <w:r>
        <w:rPr>
          <w:noProof/>
        </w:rPr>
        <w:instrText xml:space="preserve"> PAGEREF _Toc138848228 \h </w:instrText>
      </w:r>
      <w:r>
        <w:rPr>
          <w:noProof/>
        </w:rPr>
      </w:r>
      <w:r>
        <w:rPr>
          <w:noProof/>
        </w:rPr>
        <w:fldChar w:fldCharType="separate"/>
      </w:r>
      <w:r w:rsidR="00F45A70">
        <w:rPr>
          <w:noProof/>
        </w:rPr>
        <w:t>107</w:t>
      </w:r>
      <w:r>
        <w:rPr>
          <w:noProof/>
        </w:rPr>
        <w:fldChar w:fldCharType="end"/>
      </w:r>
    </w:p>
    <w:p w14:paraId="2951F8C1" w14:textId="33DD048A" w:rsidR="00FC24B6" w:rsidRDefault="00FC24B6">
      <w:pPr>
        <w:pStyle w:val="Obsah5"/>
        <w:rPr>
          <w:rFonts w:asciiTheme="minorHAnsi" w:eastAsiaTheme="minorEastAsia" w:hAnsiTheme="minorHAnsi" w:cstheme="minorBidi"/>
          <w:noProof/>
          <w:kern w:val="2"/>
          <w:sz w:val="22"/>
          <w:lang w:eastAsia="cs-CZ"/>
          <w14:ligatures w14:val="standardContextual"/>
        </w:rPr>
      </w:pPr>
      <w:r w:rsidRPr="00087486">
        <w:rPr>
          <w:rFonts w:cs="Arial"/>
          <w:bCs/>
          <w:noProof/>
          <w:snapToGrid w:val="0"/>
        </w:rPr>
        <w:t>Obr. 43</w:t>
      </w:r>
      <w:r>
        <w:rPr>
          <w:rFonts w:asciiTheme="minorHAnsi" w:eastAsiaTheme="minorEastAsia" w:hAnsiTheme="minorHAnsi" w:cstheme="minorBidi"/>
          <w:noProof/>
          <w:kern w:val="2"/>
          <w:sz w:val="22"/>
          <w:lang w:eastAsia="cs-CZ"/>
          <w14:ligatures w14:val="standardContextual"/>
        </w:rPr>
        <w:tab/>
      </w:r>
      <w:r>
        <w:rPr>
          <w:noProof/>
        </w:rPr>
        <w:t>Potenciální  spolupůsobení vlivů na podkladě Základní mapy ČR</w:t>
      </w:r>
      <w:r>
        <w:rPr>
          <w:noProof/>
        </w:rPr>
        <w:tab/>
      </w:r>
      <w:r>
        <w:rPr>
          <w:noProof/>
        </w:rPr>
        <w:fldChar w:fldCharType="begin"/>
      </w:r>
      <w:r>
        <w:rPr>
          <w:noProof/>
        </w:rPr>
        <w:instrText xml:space="preserve"> PAGEREF _Toc138848229 \h </w:instrText>
      </w:r>
      <w:r>
        <w:rPr>
          <w:noProof/>
        </w:rPr>
      </w:r>
      <w:r>
        <w:rPr>
          <w:noProof/>
        </w:rPr>
        <w:fldChar w:fldCharType="separate"/>
      </w:r>
      <w:r w:rsidR="00F45A70">
        <w:rPr>
          <w:noProof/>
        </w:rPr>
        <w:t>108</w:t>
      </w:r>
      <w:r>
        <w:rPr>
          <w:noProof/>
        </w:rPr>
        <w:fldChar w:fldCharType="end"/>
      </w:r>
    </w:p>
    <w:p w14:paraId="48C0CF7E" w14:textId="4E6B0DB6" w:rsidR="00FC24B6" w:rsidRDefault="00FC24B6">
      <w:pPr>
        <w:pStyle w:val="Obsah5"/>
        <w:rPr>
          <w:rFonts w:asciiTheme="minorHAnsi" w:eastAsiaTheme="minorEastAsia" w:hAnsiTheme="minorHAnsi" w:cstheme="minorBidi"/>
          <w:noProof/>
          <w:kern w:val="2"/>
          <w:sz w:val="22"/>
          <w:lang w:eastAsia="cs-CZ"/>
          <w14:ligatures w14:val="standardContextual"/>
        </w:rPr>
      </w:pPr>
      <w:r w:rsidRPr="00087486">
        <w:rPr>
          <w:rFonts w:cs="Arial"/>
          <w:bCs/>
          <w:noProof/>
          <w:snapToGrid w:val="0"/>
        </w:rPr>
        <w:t>Obr. 44</w:t>
      </w:r>
      <w:r>
        <w:rPr>
          <w:rFonts w:asciiTheme="minorHAnsi" w:eastAsiaTheme="minorEastAsia" w:hAnsiTheme="minorHAnsi" w:cstheme="minorBidi"/>
          <w:noProof/>
          <w:kern w:val="2"/>
          <w:sz w:val="22"/>
          <w:lang w:eastAsia="cs-CZ"/>
          <w14:ligatures w14:val="standardContextual"/>
        </w:rPr>
        <w:tab/>
      </w:r>
      <w:r>
        <w:rPr>
          <w:noProof/>
        </w:rPr>
        <w:t>Terminál Výhledy možné hmotové řešení – studie proveditelnosti, CEDOP, 2020</w:t>
      </w:r>
      <w:r>
        <w:rPr>
          <w:noProof/>
        </w:rPr>
        <w:tab/>
      </w:r>
      <w:r>
        <w:rPr>
          <w:noProof/>
        </w:rPr>
        <w:fldChar w:fldCharType="begin"/>
      </w:r>
      <w:r>
        <w:rPr>
          <w:noProof/>
        </w:rPr>
        <w:instrText xml:space="preserve"> PAGEREF _Toc138848230 \h </w:instrText>
      </w:r>
      <w:r>
        <w:rPr>
          <w:noProof/>
        </w:rPr>
      </w:r>
      <w:r>
        <w:rPr>
          <w:noProof/>
        </w:rPr>
        <w:fldChar w:fldCharType="separate"/>
      </w:r>
      <w:r w:rsidR="00F45A70">
        <w:rPr>
          <w:noProof/>
        </w:rPr>
        <w:t>136</w:t>
      </w:r>
      <w:r>
        <w:rPr>
          <w:noProof/>
        </w:rPr>
        <w:fldChar w:fldCharType="end"/>
      </w:r>
    </w:p>
    <w:p w14:paraId="27E4E446" w14:textId="397572A7" w:rsidR="00FC24B6" w:rsidRDefault="00FC24B6">
      <w:pPr>
        <w:pStyle w:val="Obsah5"/>
        <w:tabs>
          <w:tab w:val="left" w:pos="1418"/>
        </w:tabs>
        <w:rPr>
          <w:rFonts w:asciiTheme="minorHAnsi" w:eastAsiaTheme="minorEastAsia" w:hAnsiTheme="minorHAnsi" w:cstheme="minorBidi"/>
          <w:noProof/>
          <w:kern w:val="2"/>
          <w:sz w:val="22"/>
          <w:lang w:eastAsia="cs-CZ"/>
          <w14:ligatures w14:val="standardContextual"/>
        </w:rPr>
      </w:pPr>
      <w:r w:rsidRPr="00087486">
        <w:rPr>
          <w:rFonts w:cs="Arial"/>
          <w:bCs/>
          <w:noProof/>
          <w:snapToGrid w:val="0"/>
        </w:rPr>
        <w:t>Obr. 45</w:t>
      </w:r>
      <w:r>
        <w:rPr>
          <w:rFonts w:asciiTheme="minorHAnsi" w:eastAsiaTheme="minorEastAsia" w:hAnsiTheme="minorHAnsi" w:cstheme="minorBidi"/>
          <w:noProof/>
          <w:kern w:val="2"/>
          <w:sz w:val="22"/>
          <w:lang w:eastAsia="cs-CZ"/>
          <w14:ligatures w14:val="standardContextual"/>
        </w:rPr>
        <w:tab/>
      </w:r>
      <w:r>
        <w:rPr>
          <w:noProof/>
        </w:rPr>
        <w:t>Schéma vedení SOKP, stavba 518 v souvisejícím území – výřez, zdroj: ŘSD, cit. 14.4.2023</w:t>
      </w:r>
      <w:r>
        <w:rPr>
          <w:noProof/>
        </w:rPr>
        <w:tab/>
      </w:r>
      <w:r>
        <w:rPr>
          <w:noProof/>
        </w:rPr>
        <w:fldChar w:fldCharType="begin"/>
      </w:r>
      <w:r>
        <w:rPr>
          <w:noProof/>
        </w:rPr>
        <w:instrText xml:space="preserve"> PAGEREF _Toc138848231 \h </w:instrText>
      </w:r>
      <w:r>
        <w:rPr>
          <w:noProof/>
        </w:rPr>
      </w:r>
      <w:r>
        <w:rPr>
          <w:noProof/>
        </w:rPr>
        <w:fldChar w:fldCharType="separate"/>
      </w:r>
      <w:r w:rsidR="00F45A70">
        <w:rPr>
          <w:noProof/>
        </w:rPr>
        <w:t>148</w:t>
      </w:r>
      <w:r>
        <w:rPr>
          <w:noProof/>
        </w:rPr>
        <w:fldChar w:fldCharType="end"/>
      </w:r>
    </w:p>
    <w:p w14:paraId="1316208F" w14:textId="77103412" w:rsidR="00FC24B6" w:rsidRDefault="00FC24B6">
      <w:pPr>
        <w:pStyle w:val="Obsah5"/>
        <w:rPr>
          <w:rFonts w:asciiTheme="minorHAnsi" w:eastAsiaTheme="minorEastAsia" w:hAnsiTheme="minorHAnsi" w:cstheme="minorBidi"/>
          <w:noProof/>
          <w:kern w:val="2"/>
          <w:sz w:val="22"/>
          <w:lang w:eastAsia="cs-CZ"/>
          <w14:ligatures w14:val="standardContextual"/>
        </w:rPr>
      </w:pPr>
      <w:r w:rsidRPr="00087486">
        <w:rPr>
          <w:rFonts w:cs="Arial"/>
          <w:bCs/>
          <w:noProof/>
          <w:snapToGrid w:val="0"/>
        </w:rPr>
        <w:t>Obr. 46</w:t>
      </w:r>
      <w:r>
        <w:rPr>
          <w:rFonts w:asciiTheme="minorHAnsi" w:eastAsiaTheme="minorEastAsia" w:hAnsiTheme="minorHAnsi" w:cstheme="minorBidi"/>
          <w:noProof/>
          <w:kern w:val="2"/>
          <w:sz w:val="22"/>
          <w:lang w:eastAsia="cs-CZ"/>
          <w14:ligatures w14:val="standardContextual"/>
        </w:rPr>
        <w:tab/>
      </w:r>
      <w:r>
        <w:rPr>
          <w:noProof/>
        </w:rPr>
        <w:t>Návrhové plochy funkčního využití v rámci změny ÚP Z 3827/00. Segmenty bez výplně pak představují území, kde ke změnám funkčního využití nedochází.</w:t>
      </w:r>
      <w:r>
        <w:rPr>
          <w:noProof/>
        </w:rPr>
        <w:tab/>
      </w:r>
      <w:r>
        <w:rPr>
          <w:noProof/>
        </w:rPr>
        <w:fldChar w:fldCharType="begin"/>
      </w:r>
      <w:r>
        <w:rPr>
          <w:noProof/>
        </w:rPr>
        <w:instrText xml:space="preserve"> PAGEREF _Toc138848232 \h </w:instrText>
      </w:r>
      <w:r>
        <w:rPr>
          <w:noProof/>
        </w:rPr>
      </w:r>
      <w:r>
        <w:rPr>
          <w:noProof/>
        </w:rPr>
        <w:fldChar w:fldCharType="separate"/>
      </w:r>
      <w:r w:rsidR="00F45A70">
        <w:rPr>
          <w:noProof/>
        </w:rPr>
        <w:t>175</w:t>
      </w:r>
      <w:r>
        <w:rPr>
          <w:noProof/>
        </w:rPr>
        <w:fldChar w:fldCharType="end"/>
      </w:r>
    </w:p>
    <w:p w14:paraId="52EBBA3B" w14:textId="7E49B81A" w:rsidR="00FC24B6" w:rsidRDefault="00FC24B6">
      <w:pPr>
        <w:pStyle w:val="Obsah5"/>
        <w:rPr>
          <w:rFonts w:asciiTheme="minorHAnsi" w:eastAsiaTheme="minorEastAsia" w:hAnsiTheme="minorHAnsi" w:cstheme="minorBidi"/>
          <w:noProof/>
          <w:kern w:val="2"/>
          <w:sz w:val="22"/>
          <w:lang w:eastAsia="cs-CZ"/>
          <w14:ligatures w14:val="standardContextual"/>
        </w:rPr>
      </w:pPr>
      <w:r w:rsidRPr="00087486">
        <w:rPr>
          <w:rFonts w:cs="Arial"/>
          <w:bCs/>
          <w:noProof/>
          <w:snapToGrid w:val="0"/>
        </w:rPr>
        <w:t>Obr. 47</w:t>
      </w:r>
      <w:r>
        <w:rPr>
          <w:rFonts w:asciiTheme="minorHAnsi" w:eastAsiaTheme="minorEastAsia" w:hAnsiTheme="minorHAnsi" w:cstheme="minorBidi"/>
          <w:noProof/>
          <w:kern w:val="2"/>
          <w:sz w:val="22"/>
          <w:lang w:eastAsia="cs-CZ"/>
          <w14:ligatures w14:val="standardContextual"/>
        </w:rPr>
        <w:tab/>
      </w:r>
      <w:r>
        <w:rPr>
          <w:noProof/>
        </w:rPr>
        <w:t>Průmět návrhových ploch funkčního využití změny ÚP Z 3827/00 s plochami funkčního využití v platném ÚP hl. m. Prahy (bílý podkres).</w:t>
      </w:r>
      <w:r>
        <w:rPr>
          <w:noProof/>
        </w:rPr>
        <w:tab/>
      </w:r>
      <w:r>
        <w:rPr>
          <w:noProof/>
        </w:rPr>
        <w:fldChar w:fldCharType="begin"/>
      </w:r>
      <w:r>
        <w:rPr>
          <w:noProof/>
        </w:rPr>
        <w:instrText xml:space="preserve"> PAGEREF _Toc138848233 \h </w:instrText>
      </w:r>
      <w:r>
        <w:rPr>
          <w:noProof/>
        </w:rPr>
      </w:r>
      <w:r>
        <w:rPr>
          <w:noProof/>
        </w:rPr>
        <w:fldChar w:fldCharType="separate"/>
      </w:r>
      <w:r w:rsidR="00F45A70">
        <w:rPr>
          <w:noProof/>
        </w:rPr>
        <w:t>175</w:t>
      </w:r>
      <w:r>
        <w:rPr>
          <w:noProof/>
        </w:rPr>
        <w:fldChar w:fldCharType="end"/>
      </w:r>
    </w:p>
    <w:p w14:paraId="385450B0" w14:textId="4C0C5CFD" w:rsidR="00FC24B6" w:rsidRDefault="00FC24B6">
      <w:pPr>
        <w:pStyle w:val="Obsah5"/>
        <w:rPr>
          <w:rFonts w:asciiTheme="minorHAnsi" w:eastAsiaTheme="minorEastAsia" w:hAnsiTheme="minorHAnsi" w:cstheme="minorBidi"/>
          <w:noProof/>
          <w:kern w:val="2"/>
          <w:sz w:val="22"/>
          <w:lang w:eastAsia="cs-CZ"/>
          <w14:ligatures w14:val="standardContextual"/>
        </w:rPr>
      </w:pPr>
      <w:r w:rsidRPr="00087486">
        <w:rPr>
          <w:rFonts w:cs="Arial"/>
          <w:bCs/>
          <w:noProof/>
          <w:snapToGrid w:val="0"/>
        </w:rPr>
        <w:t>Obr. 48</w:t>
      </w:r>
      <w:r>
        <w:rPr>
          <w:rFonts w:asciiTheme="minorHAnsi" w:eastAsiaTheme="minorEastAsia" w:hAnsiTheme="minorHAnsi" w:cstheme="minorBidi"/>
          <w:noProof/>
          <w:kern w:val="2"/>
          <w:sz w:val="22"/>
          <w:lang w:eastAsia="cs-CZ"/>
          <w14:ligatures w14:val="standardContextual"/>
        </w:rPr>
        <w:tab/>
      </w:r>
      <w:r>
        <w:rPr>
          <w:noProof/>
        </w:rPr>
        <w:t>Hodnoty území dle ÚAP Prahy 2020, cit. 30.5.2023</w:t>
      </w:r>
      <w:r>
        <w:rPr>
          <w:noProof/>
        </w:rPr>
        <w:tab/>
      </w:r>
      <w:r>
        <w:rPr>
          <w:noProof/>
        </w:rPr>
        <w:fldChar w:fldCharType="begin"/>
      </w:r>
      <w:r>
        <w:rPr>
          <w:noProof/>
        </w:rPr>
        <w:instrText xml:space="preserve"> PAGEREF _Toc138848234 \h </w:instrText>
      </w:r>
      <w:r>
        <w:rPr>
          <w:noProof/>
        </w:rPr>
      </w:r>
      <w:r>
        <w:rPr>
          <w:noProof/>
        </w:rPr>
        <w:fldChar w:fldCharType="separate"/>
      </w:r>
      <w:r w:rsidR="00F45A70">
        <w:rPr>
          <w:noProof/>
        </w:rPr>
        <w:t>186</w:t>
      </w:r>
      <w:r>
        <w:rPr>
          <w:noProof/>
        </w:rPr>
        <w:fldChar w:fldCharType="end"/>
      </w:r>
    </w:p>
    <w:p w14:paraId="429C9128" w14:textId="15A82EF5" w:rsidR="00CA4C88" w:rsidRPr="006B3F59" w:rsidRDefault="0018499E" w:rsidP="000B6260">
      <w:r w:rsidRPr="006B3F59">
        <w:rPr>
          <w:rFonts w:eastAsia="Times New Roman"/>
          <w:caps/>
          <w:noProof/>
          <w:szCs w:val="20"/>
          <w:lang w:eastAsia="cs-CZ"/>
        </w:rPr>
        <w:fldChar w:fldCharType="end"/>
      </w:r>
    </w:p>
    <w:p w14:paraId="0B798320" w14:textId="77777777" w:rsidR="000B6260" w:rsidRPr="006B3F59" w:rsidRDefault="000B6260" w:rsidP="0018499E">
      <w:pPr>
        <w:rPr>
          <w:lang w:eastAsia="cs-CZ"/>
        </w:rPr>
      </w:pPr>
    </w:p>
    <w:p w14:paraId="4FA82310" w14:textId="77777777" w:rsidR="008C5675" w:rsidRPr="006B3F59" w:rsidRDefault="008C5675" w:rsidP="00BA72D5">
      <w:pPr>
        <w:pStyle w:val="Nadpis1neslovan"/>
      </w:pPr>
      <w:bookmarkStart w:id="4" w:name="_Toc29298306"/>
      <w:bookmarkStart w:id="5" w:name="_Toc138848094"/>
      <w:r w:rsidRPr="006B3F59">
        <w:lastRenderedPageBreak/>
        <w:t>Použité zdroje informací</w:t>
      </w:r>
      <w:bookmarkEnd w:id="4"/>
      <w:bookmarkEnd w:id="5"/>
    </w:p>
    <w:p w14:paraId="0055FEBF" w14:textId="497B687C" w:rsidR="0008043D" w:rsidRPr="006B3F59" w:rsidRDefault="0008043D" w:rsidP="0008043D">
      <w:pPr>
        <w:ind w:left="284" w:hanging="284"/>
        <w:rPr>
          <w:rFonts w:eastAsia="Times New Roman"/>
          <w:szCs w:val="20"/>
          <w:lang w:eastAsia="cs-CZ"/>
        </w:rPr>
      </w:pPr>
      <w:r w:rsidRPr="006B3F59">
        <w:rPr>
          <w:rFonts w:eastAsia="Times New Roman"/>
          <w:szCs w:val="20"/>
          <w:lang w:eastAsia="cs-CZ"/>
        </w:rPr>
        <w:t xml:space="preserve">BALATKA, J. a </w:t>
      </w:r>
      <w:r w:rsidR="001D749A" w:rsidRPr="006B3F59">
        <w:rPr>
          <w:rFonts w:eastAsia="Times New Roman"/>
          <w:szCs w:val="20"/>
          <w:lang w:eastAsia="cs-CZ"/>
        </w:rPr>
        <w:t>kol. (</w:t>
      </w:r>
      <w:r w:rsidRPr="006B3F59">
        <w:rPr>
          <w:rFonts w:eastAsia="Times New Roman"/>
          <w:szCs w:val="20"/>
          <w:lang w:eastAsia="cs-CZ"/>
        </w:rPr>
        <w:t>1971): „Regionální členění reliéfu ČSSR. 1: 500 000“, Brno, GGÚ ČSAV</w:t>
      </w:r>
      <w:r w:rsidR="00BC5324" w:rsidRPr="006B3F59">
        <w:rPr>
          <w:rFonts w:eastAsia="Times New Roman"/>
          <w:szCs w:val="20"/>
          <w:lang w:eastAsia="cs-CZ"/>
        </w:rPr>
        <w:t>.</w:t>
      </w:r>
    </w:p>
    <w:p w14:paraId="7E1AA85F" w14:textId="77777777" w:rsidR="0008043D" w:rsidRPr="006B3F59" w:rsidRDefault="0008043D" w:rsidP="0008043D">
      <w:pPr>
        <w:ind w:left="284" w:hanging="284"/>
        <w:rPr>
          <w:rFonts w:eastAsia="Times New Roman"/>
          <w:szCs w:val="20"/>
          <w:lang w:eastAsia="cs-CZ"/>
        </w:rPr>
      </w:pPr>
      <w:r w:rsidRPr="006B3F59">
        <w:rPr>
          <w:rFonts w:eastAsia="Times New Roman"/>
          <w:szCs w:val="20"/>
          <w:lang w:eastAsia="cs-CZ"/>
        </w:rPr>
        <w:t>CULEK, M. a kol. (1996): „Biogeografické členění České republiky“, Enigma, Praha.</w:t>
      </w:r>
    </w:p>
    <w:p w14:paraId="5FBA2D30" w14:textId="04DCBCAD" w:rsidR="0008043D" w:rsidRPr="006B3F59" w:rsidRDefault="0008043D" w:rsidP="0008043D">
      <w:pPr>
        <w:ind w:left="284" w:hanging="284"/>
        <w:rPr>
          <w:rFonts w:eastAsia="Times New Roman"/>
          <w:szCs w:val="20"/>
          <w:lang w:eastAsia="cs-CZ"/>
        </w:rPr>
      </w:pPr>
      <w:r w:rsidRPr="006B3F59">
        <w:rPr>
          <w:rFonts w:eastAsia="Times New Roman"/>
          <w:szCs w:val="20"/>
          <w:lang w:eastAsia="cs-CZ"/>
        </w:rPr>
        <w:t>DEMEK, J. a kol. (1987</w:t>
      </w:r>
      <w:r w:rsidR="001D749A" w:rsidRPr="006B3F59">
        <w:rPr>
          <w:rFonts w:eastAsia="Times New Roman"/>
          <w:szCs w:val="20"/>
          <w:lang w:eastAsia="cs-CZ"/>
        </w:rPr>
        <w:t>):</w:t>
      </w:r>
      <w:r w:rsidRPr="006B3F59">
        <w:rPr>
          <w:rFonts w:eastAsia="Times New Roman"/>
          <w:szCs w:val="20"/>
          <w:lang w:eastAsia="cs-CZ"/>
        </w:rPr>
        <w:t xml:space="preserve"> „Zeměpisný lexikon ČSR – Hory a nížiny“, Academia Praha.</w:t>
      </w:r>
    </w:p>
    <w:p w14:paraId="0464693A" w14:textId="77777777" w:rsidR="0008043D" w:rsidRPr="006B3F59" w:rsidRDefault="0008043D" w:rsidP="0008043D">
      <w:pPr>
        <w:ind w:left="284" w:hanging="284"/>
        <w:rPr>
          <w:rFonts w:eastAsia="Times New Roman"/>
          <w:szCs w:val="20"/>
          <w:lang w:eastAsia="cs-CZ"/>
        </w:rPr>
      </w:pPr>
      <w:r w:rsidRPr="006B3F59">
        <w:rPr>
          <w:rFonts w:eastAsia="Times New Roman"/>
          <w:szCs w:val="20"/>
          <w:lang w:eastAsia="cs-CZ"/>
        </w:rPr>
        <w:t xml:space="preserve">CHLUPÁČ, I. a kol. (2002): Geologická minulost České republiky, Academia Praha. </w:t>
      </w:r>
    </w:p>
    <w:p w14:paraId="1B2580EF" w14:textId="77777777" w:rsidR="0008043D" w:rsidRPr="006B3F59" w:rsidRDefault="0008043D" w:rsidP="0008043D">
      <w:pPr>
        <w:ind w:left="284" w:hanging="284"/>
        <w:rPr>
          <w:rFonts w:eastAsia="Times New Roman"/>
          <w:szCs w:val="20"/>
          <w:lang w:eastAsia="cs-CZ"/>
        </w:rPr>
      </w:pPr>
      <w:r w:rsidRPr="006B3F59">
        <w:rPr>
          <w:rFonts w:eastAsia="Times New Roman"/>
          <w:szCs w:val="20"/>
          <w:lang w:eastAsia="cs-CZ"/>
        </w:rPr>
        <w:t>CHYTRÝ, M., KUČERA, T., KOČÍ, M. et al. 2001. Katalog biotopů České republiky – Interpretační příručka k evropským programům Natura 2000 a Smaragd. AOPK ČR. Praha. 307 stran.</w:t>
      </w:r>
    </w:p>
    <w:p w14:paraId="08D00068" w14:textId="22A2ECAC" w:rsidR="0008043D" w:rsidRPr="006B3F59" w:rsidRDefault="00AF6851" w:rsidP="0008043D">
      <w:pPr>
        <w:ind w:left="284" w:hanging="284"/>
        <w:rPr>
          <w:rFonts w:eastAsia="Times New Roman"/>
          <w:szCs w:val="20"/>
          <w:lang w:eastAsia="cs-CZ"/>
        </w:rPr>
      </w:pPr>
      <w:r w:rsidRPr="006B3F59">
        <w:rPr>
          <w:rFonts w:eastAsia="Times New Roman"/>
          <w:szCs w:val="20"/>
          <w:lang w:eastAsia="cs-CZ"/>
        </w:rPr>
        <w:t xml:space="preserve">QUITT a </w:t>
      </w:r>
      <w:r w:rsidR="0008043D" w:rsidRPr="006B3F59">
        <w:rPr>
          <w:rFonts w:eastAsia="Times New Roman"/>
          <w:szCs w:val="20"/>
          <w:lang w:eastAsia="cs-CZ"/>
        </w:rPr>
        <w:t xml:space="preserve">kol. (1961): Podnebí </w:t>
      </w:r>
      <w:r w:rsidR="001D749A" w:rsidRPr="006B3F59">
        <w:rPr>
          <w:rFonts w:eastAsia="Times New Roman"/>
          <w:szCs w:val="20"/>
          <w:lang w:eastAsia="cs-CZ"/>
        </w:rPr>
        <w:t>ČSSR – Tabulky</w:t>
      </w:r>
      <w:r w:rsidR="0008043D" w:rsidRPr="006B3F59">
        <w:rPr>
          <w:rFonts w:eastAsia="Times New Roman"/>
          <w:szCs w:val="20"/>
          <w:lang w:eastAsia="cs-CZ"/>
        </w:rPr>
        <w:t>. Praha, HMÚ, 379 str.+ 6 map.</w:t>
      </w:r>
    </w:p>
    <w:p w14:paraId="193901A8" w14:textId="1F561B54" w:rsidR="00EB6007" w:rsidRPr="006B3F59" w:rsidRDefault="00EB6007" w:rsidP="0008043D">
      <w:pPr>
        <w:ind w:left="284" w:hanging="284"/>
        <w:rPr>
          <w:rFonts w:eastAsia="Times New Roman"/>
          <w:szCs w:val="20"/>
          <w:lang w:eastAsia="cs-CZ"/>
        </w:rPr>
      </w:pPr>
      <w:r w:rsidRPr="006B3F59">
        <w:rPr>
          <w:rFonts w:eastAsia="Times New Roman"/>
          <w:szCs w:val="20"/>
          <w:lang w:eastAsia="cs-CZ"/>
        </w:rPr>
        <w:t>TOLASZ, R. et al. (2007): Atlas podnebí Česka. ČHMÚ, Praha, Univerzita Palackého.</w:t>
      </w:r>
    </w:p>
    <w:p w14:paraId="2EAC565F" w14:textId="77777777" w:rsidR="0008043D" w:rsidRPr="006B3F59" w:rsidRDefault="0008043D" w:rsidP="0008043D">
      <w:pPr>
        <w:ind w:left="284" w:hanging="284"/>
        <w:rPr>
          <w:rFonts w:eastAsia="Times New Roman"/>
          <w:szCs w:val="20"/>
          <w:lang w:eastAsia="cs-CZ"/>
        </w:rPr>
      </w:pPr>
      <w:r w:rsidRPr="006B3F59">
        <w:rPr>
          <w:rFonts w:eastAsia="Times New Roman"/>
          <w:szCs w:val="20"/>
          <w:lang w:eastAsia="cs-CZ"/>
        </w:rPr>
        <w:t>MORAVEC, J. (1994): „Fytocenologie“, Academia, Praha.</w:t>
      </w:r>
    </w:p>
    <w:p w14:paraId="247A4405" w14:textId="77777777" w:rsidR="0008043D" w:rsidRPr="006B3F59" w:rsidRDefault="0008043D" w:rsidP="0008043D">
      <w:pPr>
        <w:ind w:left="284" w:hanging="284"/>
        <w:rPr>
          <w:rFonts w:eastAsia="Times New Roman"/>
          <w:szCs w:val="20"/>
          <w:lang w:eastAsia="cs-CZ"/>
        </w:rPr>
      </w:pPr>
      <w:r w:rsidRPr="006B3F59">
        <w:rPr>
          <w:rFonts w:eastAsia="Times New Roman"/>
          <w:szCs w:val="20"/>
          <w:lang w:eastAsia="cs-CZ"/>
        </w:rPr>
        <w:t>NEUHÄUSLOVÁ, Z. (1998): „Mapa potenciální přirozené vegetace České republiky“, Academia, Praha.</w:t>
      </w:r>
    </w:p>
    <w:p w14:paraId="01902E90" w14:textId="378E261A" w:rsidR="0008043D" w:rsidRPr="006B3F59" w:rsidRDefault="0008043D" w:rsidP="0008043D">
      <w:pPr>
        <w:ind w:left="284" w:hanging="284"/>
        <w:rPr>
          <w:rFonts w:eastAsia="Times New Roman"/>
          <w:szCs w:val="20"/>
          <w:lang w:eastAsia="cs-CZ"/>
        </w:rPr>
      </w:pPr>
      <w:r w:rsidRPr="006B3F59">
        <w:rPr>
          <w:rFonts w:eastAsia="Times New Roman"/>
          <w:szCs w:val="20"/>
          <w:lang w:eastAsia="cs-CZ"/>
        </w:rPr>
        <w:t>OLMER M. a kol. (2005</w:t>
      </w:r>
      <w:r w:rsidR="001D749A" w:rsidRPr="006B3F59">
        <w:rPr>
          <w:rFonts w:eastAsia="Times New Roman"/>
          <w:szCs w:val="20"/>
          <w:lang w:eastAsia="cs-CZ"/>
        </w:rPr>
        <w:t>): Hydrogeologická</w:t>
      </w:r>
      <w:r w:rsidRPr="006B3F59">
        <w:rPr>
          <w:rFonts w:eastAsia="Times New Roman"/>
          <w:szCs w:val="20"/>
          <w:lang w:eastAsia="cs-CZ"/>
        </w:rPr>
        <w:t xml:space="preserve"> rajonizace 2005 v České republice, VUV TGM Praha.</w:t>
      </w:r>
    </w:p>
    <w:p w14:paraId="13570D60" w14:textId="3462548A" w:rsidR="0008043D" w:rsidRPr="006B3F59" w:rsidRDefault="001D749A" w:rsidP="0008043D">
      <w:pPr>
        <w:ind w:left="284" w:hanging="284"/>
        <w:rPr>
          <w:rFonts w:eastAsia="Times New Roman"/>
          <w:szCs w:val="20"/>
          <w:lang w:eastAsia="cs-CZ"/>
        </w:rPr>
      </w:pPr>
      <w:r w:rsidRPr="006B3F59">
        <w:rPr>
          <w:rFonts w:eastAsia="Times New Roman"/>
          <w:szCs w:val="20"/>
          <w:lang w:eastAsia="cs-CZ"/>
        </w:rPr>
        <w:t>QUITT, E.</w:t>
      </w:r>
      <w:r w:rsidR="0008043D" w:rsidRPr="006B3F59">
        <w:rPr>
          <w:rFonts w:eastAsia="Times New Roman"/>
          <w:szCs w:val="20"/>
          <w:lang w:eastAsia="cs-CZ"/>
        </w:rPr>
        <w:t xml:space="preserve"> (1979): „Mezoklimatické regiony ČSR. 1:500 000“, Brno, GGÚ ČSAV.</w:t>
      </w:r>
    </w:p>
    <w:p w14:paraId="0DA8E529" w14:textId="3AACA90A" w:rsidR="0008043D" w:rsidRPr="006B3F59" w:rsidRDefault="0008043D" w:rsidP="0008043D">
      <w:pPr>
        <w:ind w:left="284" w:hanging="284"/>
        <w:rPr>
          <w:rFonts w:eastAsia="Times New Roman"/>
          <w:szCs w:val="20"/>
          <w:lang w:eastAsia="cs-CZ"/>
        </w:rPr>
      </w:pPr>
      <w:r w:rsidRPr="006B3F59">
        <w:rPr>
          <w:rFonts w:eastAsia="Times New Roman"/>
          <w:szCs w:val="20"/>
          <w:lang w:eastAsia="cs-CZ"/>
        </w:rPr>
        <w:t xml:space="preserve">SKALICKÝ V. (1988): Regionálně fytogeografické </w:t>
      </w:r>
      <w:r w:rsidR="001D749A" w:rsidRPr="006B3F59">
        <w:rPr>
          <w:rFonts w:eastAsia="Times New Roman"/>
          <w:szCs w:val="20"/>
          <w:lang w:eastAsia="cs-CZ"/>
        </w:rPr>
        <w:t>členění. –</w:t>
      </w:r>
      <w:r w:rsidRPr="006B3F59">
        <w:rPr>
          <w:rFonts w:eastAsia="Times New Roman"/>
          <w:szCs w:val="20"/>
          <w:lang w:eastAsia="cs-CZ"/>
        </w:rPr>
        <w:t xml:space="preserve"> In: Hejný S. &amp; Slavík B. [eds.], Květena České socialistické republiky 1: 103–121, Academia, Praha.</w:t>
      </w:r>
    </w:p>
    <w:p w14:paraId="2BAA3CEA" w14:textId="3CEF9834" w:rsidR="00661FCC" w:rsidRPr="006B3F59" w:rsidRDefault="0008043D" w:rsidP="00661FCC">
      <w:pPr>
        <w:ind w:left="284" w:hanging="284"/>
        <w:rPr>
          <w:rFonts w:eastAsia="Times New Roman"/>
          <w:szCs w:val="20"/>
          <w:lang w:eastAsia="cs-CZ"/>
        </w:rPr>
      </w:pPr>
      <w:r w:rsidRPr="006B3F59">
        <w:rPr>
          <w:rFonts w:eastAsia="Times New Roman"/>
          <w:szCs w:val="20"/>
          <w:lang w:eastAsia="cs-CZ"/>
        </w:rPr>
        <w:t>VLČEK a kol. (1984): „Zeměpisný lexikon ČSR – Vodní toky a nádrže“, Academia Praha.</w:t>
      </w:r>
    </w:p>
    <w:p w14:paraId="5D092311" w14:textId="77777777" w:rsidR="00AA1D13" w:rsidRPr="006B3F59" w:rsidRDefault="00AA1D13" w:rsidP="00566095">
      <w:pPr>
        <w:pStyle w:val="Podnadpis1"/>
        <w:spacing w:after="120"/>
      </w:pPr>
      <w:r w:rsidRPr="006B3F59">
        <w:t>Internetové zdroje</w:t>
      </w:r>
    </w:p>
    <w:p w14:paraId="42931B12" w14:textId="4E717547" w:rsidR="00AA1D13" w:rsidRPr="006B3F59" w:rsidRDefault="00AA1D13" w:rsidP="00341BA2">
      <w:pPr>
        <w:pStyle w:val="Odrky1"/>
        <w:spacing w:before="0" w:after="80"/>
      </w:pPr>
      <w:r w:rsidRPr="006B3F59">
        <w:t xml:space="preserve">Národní GEOportál Inspire. Dostupný z: </w:t>
      </w:r>
      <w:hyperlink r:id="rId11" w:history="1">
        <w:r w:rsidRPr="006B3F59">
          <w:rPr>
            <w:rStyle w:val="Hypertextovodkaz"/>
            <w:iCs/>
          </w:rPr>
          <w:t>http://geoportal.gov.cz</w:t>
        </w:r>
      </w:hyperlink>
      <w:r w:rsidR="00BC5324" w:rsidRPr="006B3F59">
        <w:rPr>
          <w:rStyle w:val="Hypertextovodkaz"/>
          <w:iCs/>
        </w:rPr>
        <w:t>.</w:t>
      </w:r>
    </w:p>
    <w:p w14:paraId="20824E7E" w14:textId="71AD15A2" w:rsidR="00AA1D13" w:rsidRPr="006B3F59" w:rsidRDefault="00AA1D13" w:rsidP="00341BA2">
      <w:pPr>
        <w:pStyle w:val="Odrky1"/>
        <w:spacing w:before="0" w:after="80"/>
        <w:jc w:val="left"/>
        <w:rPr>
          <w:lang w:eastAsia="cs-CZ"/>
        </w:rPr>
      </w:pPr>
      <w:r w:rsidRPr="006B3F59">
        <w:rPr>
          <w:lang w:eastAsia="cs-CZ"/>
        </w:rPr>
        <w:t xml:space="preserve">Celostátní sčítání dopravy 2016, ŘSD ČR. Dostupný z: </w:t>
      </w:r>
      <w:hyperlink r:id="rId12" w:history="1">
        <w:r w:rsidRPr="006B3F59">
          <w:rPr>
            <w:rStyle w:val="Hypertextovodkaz"/>
            <w:lang w:eastAsia="cs-CZ"/>
          </w:rPr>
          <w:t>http://scitani2016.rsd.cz/pages/map/default.aspx</w:t>
        </w:r>
      </w:hyperlink>
      <w:r w:rsidR="00BC5324" w:rsidRPr="006B3F59">
        <w:rPr>
          <w:rStyle w:val="Hypertextovodkaz"/>
          <w:lang w:eastAsia="cs-CZ"/>
        </w:rPr>
        <w:t>.</w:t>
      </w:r>
    </w:p>
    <w:p w14:paraId="420A0028" w14:textId="1823D6D3" w:rsidR="00AA1D13" w:rsidRPr="006B3F59" w:rsidRDefault="00AA1D13" w:rsidP="00341BA2">
      <w:pPr>
        <w:pStyle w:val="Odrky1"/>
        <w:spacing w:before="0" w:after="80"/>
        <w:rPr>
          <w:lang w:eastAsia="cs-CZ"/>
        </w:rPr>
      </w:pPr>
      <w:r w:rsidRPr="006B3F59">
        <w:rPr>
          <w:lang w:eastAsia="cs-CZ"/>
        </w:rPr>
        <w:t xml:space="preserve">Česká geologická služba, mapový portál. Dostupný z: </w:t>
      </w:r>
      <w:hyperlink r:id="rId13" w:history="1">
        <w:r w:rsidRPr="006B3F59">
          <w:rPr>
            <w:rStyle w:val="Hypertextovodkaz"/>
            <w:lang w:eastAsia="cs-CZ"/>
          </w:rPr>
          <w:t>http://www.geology.cz/extranet/mapy/mapy-online</w:t>
        </w:r>
      </w:hyperlink>
      <w:r w:rsidR="00BC5324" w:rsidRPr="006B3F59">
        <w:rPr>
          <w:rStyle w:val="Hypertextovodkaz"/>
          <w:lang w:eastAsia="cs-CZ"/>
        </w:rPr>
        <w:t>.</w:t>
      </w:r>
    </w:p>
    <w:p w14:paraId="14B4C3D8" w14:textId="31F51094" w:rsidR="00AA1D13" w:rsidRPr="006B3F59" w:rsidRDefault="00AA1D13" w:rsidP="00341BA2">
      <w:pPr>
        <w:pStyle w:val="Odrky1"/>
        <w:spacing w:before="0" w:after="80"/>
        <w:jc w:val="left"/>
        <w:rPr>
          <w:lang w:eastAsia="cs-CZ"/>
        </w:rPr>
      </w:pPr>
      <w:r w:rsidRPr="006B3F59">
        <w:rPr>
          <w:lang w:eastAsia="cs-CZ"/>
        </w:rPr>
        <w:t xml:space="preserve">Český LPIS Sitewell, veřejný portál půdy. Dostupný z: </w:t>
      </w:r>
      <w:hyperlink r:id="rId14" w:history="1">
        <w:r w:rsidRPr="006B3F59">
          <w:rPr>
            <w:rStyle w:val="Hypertextovodkaz"/>
            <w:lang w:eastAsia="cs-CZ"/>
          </w:rPr>
          <w:t>http://eagri.cz/public/app/lpisext/lpis/verejny2/plpis/</w:t>
        </w:r>
      </w:hyperlink>
      <w:r w:rsidR="00BC5324" w:rsidRPr="006B3F59">
        <w:rPr>
          <w:rStyle w:val="Hypertextovodkaz"/>
          <w:lang w:eastAsia="cs-CZ"/>
        </w:rPr>
        <w:t>.</w:t>
      </w:r>
    </w:p>
    <w:p w14:paraId="75C9E99E" w14:textId="2189D2E3" w:rsidR="00AA1D13" w:rsidRPr="006B3F59" w:rsidRDefault="00AA1D13" w:rsidP="00341BA2">
      <w:pPr>
        <w:pStyle w:val="Odrky1"/>
        <w:spacing w:before="0" w:after="80"/>
        <w:rPr>
          <w:lang w:eastAsia="cs-CZ"/>
        </w:rPr>
      </w:pPr>
      <w:r w:rsidRPr="006B3F59">
        <w:rPr>
          <w:lang w:eastAsia="cs-CZ"/>
        </w:rPr>
        <w:t xml:space="preserve">Český úřad zeměměřický a katastrální. Dostupný z: </w:t>
      </w:r>
      <w:hyperlink r:id="rId15" w:history="1">
        <w:r w:rsidRPr="006B3F59">
          <w:rPr>
            <w:rStyle w:val="Hypertextovodkaz"/>
            <w:lang w:eastAsia="cs-CZ"/>
          </w:rPr>
          <w:t>http://www.cuzk.cz/</w:t>
        </w:r>
      </w:hyperlink>
      <w:r w:rsidR="00BC5324" w:rsidRPr="006B3F59">
        <w:rPr>
          <w:rStyle w:val="Hypertextovodkaz"/>
          <w:lang w:eastAsia="cs-CZ"/>
        </w:rPr>
        <w:t>.</w:t>
      </w:r>
    </w:p>
    <w:p w14:paraId="5E143C6C" w14:textId="3F6C0F21" w:rsidR="00AA1D13" w:rsidRPr="006B3F59" w:rsidRDefault="00AA1D13" w:rsidP="00341BA2">
      <w:pPr>
        <w:pStyle w:val="Odrky1"/>
        <w:spacing w:before="0" w:after="80"/>
        <w:rPr>
          <w:lang w:eastAsia="cs-CZ"/>
        </w:rPr>
      </w:pPr>
      <w:r w:rsidRPr="006B3F59">
        <w:rPr>
          <w:lang w:eastAsia="cs-CZ"/>
        </w:rPr>
        <w:t xml:space="preserve">Geoportál SowacGIS, eKatalog BPEJ. Dostupný z: </w:t>
      </w:r>
      <w:hyperlink r:id="rId16" w:history="1">
        <w:r w:rsidRPr="006B3F59">
          <w:rPr>
            <w:rStyle w:val="Hypertextovodkaz"/>
            <w:lang w:eastAsia="cs-CZ"/>
          </w:rPr>
          <w:t>http://bpej.vumop.cz/index.php</w:t>
        </w:r>
      </w:hyperlink>
      <w:r w:rsidR="00BC5324" w:rsidRPr="006B3F59">
        <w:rPr>
          <w:rStyle w:val="Hypertextovodkaz"/>
          <w:lang w:eastAsia="cs-CZ"/>
        </w:rPr>
        <w:t>.</w:t>
      </w:r>
    </w:p>
    <w:p w14:paraId="495ED5F9" w14:textId="2F8D3576" w:rsidR="00AA1D13" w:rsidRPr="006B3F59" w:rsidRDefault="00AA1D13" w:rsidP="00341BA2">
      <w:pPr>
        <w:pStyle w:val="Odrky1"/>
        <w:spacing w:before="0" w:after="80"/>
        <w:rPr>
          <w:lang w:eastAsia="cs-CZ"/>
        </w:rPr>
      </w:pPr>
      <w:r w:rsidRPr="006B3F59">
        <w:rPr>
          <w:lang w:eastAsia="cs-CZ"/>
        </w:rPr>
        <w:t xml:space="preserve">Mapy Seznam.cz. Dostupný z: </w:t>
      </w:r>
      <w:hyperlink r:id="rId17" w:history="1">
        <w:r w:rsidRPr="006B3F59">
          <w:rPr>
            <w:rStyle w:val="Hypertextovodkaz"/>
            <w:lang w:eastAsia="cs-CZ"/>
          </w:rPr>
          <w:t>http://www.mapy.cz</w:t>
        </w:r>
      </w:hyperlink>
      <w:r w:rsidR="00BC5324" w:rsidRPr="006B3F59">
        <w:rPr>
          <w:rStyle w:val="Hypertextovodkaz"/>
          <w:lang w:eastAsia="cs-CZ"/>
        </w:rPr>
        <w:t>.</w:t>
      </w:r>
    </w:p>
    <w:p w14:paraId="56438A05" w14:textId="5748CCDA" w:rsidR="00AA1D13" w:rsidRPr="006B3F59" w:rsidRDefault="00AA1D13" w:rsidP="00341BA2">
      <w:pPr>
        <w:pStyle w:val="Odrky1"/>
        <w:spacing w:before="0" w:after="80"/>
        <w:rPr>
          <w:lang w:eastAsia="cs-CZ"/>
        </w:rPr>
      </w:pPr>
      <w:r w:rsidRPr="006B3F59">
        <w:rPr>
          <w:lang w:eastAsia="cs-CZ"/>
        </w:rPr>
        <w:t xml:space="preserve">Mapy Google. Dostupný z: </w:t>
      </w:r>
      <w:hyperlink r:id="rId18" w:history="1">
        <w:r w:rsidRPr="006B3F59">
          <w:rPr>
            <w:rStyle w:val="Hypertextovodkaz"/>
            <w:lang w:eastAsia="cs-CZ"/>
          </w:rPr>
          <w:t>https://www.google.cz/maps</w:t>
        </w:r>
      </w:hyperlink>
      <w:r w:rsidR="00BC5324" w:rsidRPr="006B3F59">
        <w:rPr>
          <w:rStyle w:val="Hypertextovodkaz"/>
          <w:lang w:eastAsia="cs-CZ"/>
        </w:rPr>
        <w:t>.</w:t>
      </w:r>
    </w:p>
    <w:p w14:paraId="7812D67A" w14:textId="1EE7B0FF" w:rsidR="00AA1D13" w:rsidRPr="006B3F59" w:rsidRDefault="00AA1D13" w:rsidP="00341BA2">
      <w:pPr>
        <w:pStyle w:val="Odrky1"/>
        <w:spacing w:before="0" w:after="80"/>
        <w:rPr>
          <w:lang w:eastAsia="cs-CZ"/>
        </w:rPr>
      </w:pPr>
      <w:r w:rsidRPr="006B3F59">
        <w:rPr>
          <w:lang w:eastAsia="cs-CZ"/>
        </w:rPr>
        <w:t xml:space="preserve">MapoMat (mapový portál AOPK). Dostupný z: </w:t>
      </w:r>
      <w:hyperlink r:id="rId19" w:history="1">
        <w:r w:rsidRPr="006B3F59">
          <w:rPr>
            <w:rStyle w:val="Hypertextovodkaz"/>
            <w:lang w:eastAsia="cs-CZ"/>
          </w:rPr>
          <w:t>http://mapy.nature.cz/</w:t>
        </w:r>
      </w:hyperlink>
      <w:r w:rsidR="00BC5324" w:rsidRPr="006B3F59">
        <w:rPr>
          <w:rStyle w:val="Hypertextovodkaz"/>
          <w:lang w:eastAsia="cs-CZ"/>
        </w:rPr>
        <w:t>.</w:t>
      </w:r>
    </w:p>
    <w:p w14:paraId="05BAFF69" w14:textId="397DEC65" w:rsidR="00AA1D13" w:rsidRPr="006B3F59" w:rsidRDefault="00AA1D13" w:rsidP="00341BA2">
      <w:pPr>
        <w:pStyle w:val="Odrky1"/>
        <w:spacing w:before="0" w:after="80"/>
        <w:rPr>
          <w:lang w:eastAsia="cs-CZ"/>
        </w:rPr>
      </w:pPr>
      <w:r w:rsidRPr="006B3F59">
        <w:rPr>
          <w:lang w:eastAsia="cs-CZ"/>
        </w:rPr>
        <w:t xml:space="preserve">Výzkumný ústav vodohospodářský T. G. Masaryka. Dostupný z: </w:t>
      </w:r>
      <w:hyperlink r:id="rId20" w:history="1">
        <w:r w:rsidRPr="006B3F59">
          <w:rPr>
            <w:rStyle w:val="Hypertextovodkaz"/>
            <w:lang w:eastAsia="cs-CZ"/>
          </w:rPr>
          <w:t>http://heis.vuv.cz/</w:t>
        </w:r>
      </w:hyperlink>
      <w:r w:rsidR="00BC5324" w:rsidRPr="006B3F59">
        <w:rPr>
          <w:rStyle w:val="Hypertextovodkaz"/>
          <w:lang w:eastAsia="cs-CZ"/>
        </w:rPr>
        <w:t>.</w:t>
      </w:r>
    </w:p>
    <w:p w14:paraId="71E500A2" w14:textId="2EE2BCA7" w:rsidR="00AA1D13" w:rsidRPr="006B3F59" w:rsidRDefault="00AA1D13" w:rsidP="00341BA2">
      <w:pPr>
        <w:pStyle w:val="Odrky1"/>
        <w:spacing w:before="0" w:after="80"/>
        <w:rPr>
          <w:lang w:eastAsia="cs-CZ"/>
        </w:rPr>
      </w:pPr>
      <w:r w:rsidRPr="006B3F59">
        <w:rPr>
          <w:lang w:eastAsia="cs-CZ"/>
        </w:rPr>
        <w:t xml:space="preserve">Český statistický úřad (ČSÚ). Dostupný z: </w:t>
      </w:r>
      <w:hyperlink r:id="rId21" w:history="1">
        <w:r w:rsidRPr="006B3F59">
          <w:rPr>
            <w:rStyle w:val="Hypertextovodkaz"/>
            <w:lang w:eastAsia="cs-CZ"/>
          </w:rPr>
          <w:t>http://www.czso.cz/</w:t>
        </w:r>
      </w:hyperlink>
      <w:r w:rsidR="00BC5324" w:rsidRPr="006B3F59">
        <w:rPr>
          <w:rStyle w:val="Hypertextovodkaz"/>
          <w:lang w:eastAsia="cs-CZ"/>
        </w:rPr>
        <w:t>.</w:t>
      </w:r>
    </w:p>
    <w:p w14:paraId="79564E78" w14:textId="4B6C23F7" w:rsidR="00AA1D13" w:rsidRPr="006B3F59" w:rsidRDefault="00AA1D13" w:rsidP="00341BA2">
      <w:pPr>
        <w:pStyle w:val="Odrky1"/>
        <w:spacing w:before="0" w:after="80"/>
        <w:rPr>
          <w:lang w:eastAsia="cs-CZ"/>
        </w:rPr>
      </w:pPr>
      <w:r w:rsidRPr="006B3F59">
        <w:rPr>
          <w:lang w:eastAsia="cs-CZ"/>
        </w:rPr>
        <w:t xml:space="preserve">Regionální informační server. Dostupný z: </w:t>
      </w:r>
      <w:hyperlink r:id="rId22" w:history="1">
        <w:r w:rsidRPr="006B3F59">
          <w:rPr>
            <w:rStyle w:val="Hypertextovodkaz"/>
            <w:lang w:eastAsia="cs-CZ"/>
          </w:rPr>
          <w:t>http://www.risy.cz/</w:t>
        </w:r>
      </w:hyperlink>
      <w:r w:rsidR="00BC5324" w:rsidRPr="006B3F59">
        <w:rPr>
          <w:rStyle w:val="Hypertextovodkaz"/>
          <w:lang w:eastAsia="cs-CZ"/>
        </w:rPr>
        <w:t>.</w:t>
      </w:r>
    </w:p>
    <w:p w14:paraId="7F0D48F3" w14:textId="0EAC97A5" w:rsidR="00AA1D13" w:rsidRPr="006B3F59" w:rsidRDefault="00AA1D13" w:rsidP="00341BA2">
      <w:pPr>
        <w:pStyle w:val="Odrky1"/>
        <w:spacing w:before="0" w:after="80"/>
        <w:rPr>
          <w:lang w:eastAsia="cs-CZ"/>
        </w:rPr>
      </w:pPr>
      <w:r w:rsidRPr="006B3F59">
        <w:rPr>
          <w:lang w:eastAsia="cs-CZ"/>
        </w:rPr>
        <w:t xml:space="preserve">Český hydrometeorologický ústav. Dostupný z: </w:t>
      </w:r>
      <w:hyperlink r:id="rId23" w:history="1">
        <w:r w:rsidRPr="006B3F59">
          <w:rPr>
            <w:rStyle w:val="Hypertextovodkaz"/>
            <w:lang w:eastAsia="cs-CZ"/>
          </w:rPr>
          <w:t>http://portal.chmi.cz/</w:t>
        </w:r>
      </w:hyperlink>
      <w:r w:rsidR="00BC5324" w:rsidRPr="006B3F59">
        <w:rPr>
          <w:rStyle w:val="Hypertextovodkaz"/>
          <w:lang w:eastAsia="cs-CZ"/>
        </w:rPr>
        <w:t>.</w:t>
      </w:r>
    </w:p>
    <w:p w14:paraId="3BB4A01E" w14:textId="0E425169" w:rsidR="00AA1D13" w:rsidRPr="006B3F59" w:rsidRDefault="00AA1D13" w:rsidP="00341BA2">
      <w:pPr>
        <w:pStyle w:val="Odrky1"/>
        <w:spacing w:before="0" w:after="80"/>
        <w:rPr>
          <w:lang w:eastAsia="cs-CZ"/>
        </w:rPr>
      </w:pPr>
      <w:r w:rsidRPr="006B3F59">
        <w:rPr>
          <w:lang w:eastAsia="cs-CZ"/>
        </w:rPr>
        <w:t xml:space="preserve">Portál Cenia, envihelp. Dostupný z: </w:t>
      </w:r>
      <w:hyperlink r:id="rId24" w:history="1">
        <w:r w:rsidRPr="006B3F59">
          <w:rPr>
            <w:rStyle w:val="Hypertextovodkaz"/>
            <w:lang w:eastAsia="cs-CZ"/>
          </w:rPr>
          <w:t>https://helpdesk.cenia.cz/hdPublic/helpdesk/</w:t>
        </w:r>
      </w:hyperlink>
      <w:r w:rsidR="00BC5324" w:rsidRPr="006B3F59">
        <w:rPr>
          <w:rStyle w:val="Hypertextovodkaz"/>
          <w:lang w:eastAsia="cs-CZ"/>
        </w:rPr>
        <w:t>.</w:t>
      </w:r>
    </w:p>
    <w:p w14:paraId="1B6F72E5" w14:textId="2139F307" w:rsidR="00AA1D13" w:rsidRPr="006B3F59" w:rsidRDefault="00AA1D13" w:rsidP="00341BA2">
      <w:pPr>
        <w:pStyle w:val="Odrky1"/>
        <w:spacing w:before="0" w:after="80"/>
        <w:rPr>
          <w:lang w:eastAsia="cs-CZ"/>
        </w:rPr>
      </w:pPr>
      <w:r w:rsidRPr="006B3F59">
        <w:rPr>
          <w:lang w:eastAsia="cs-CZ"/>
        </w:rPr>
        <w:t xml:space="preserve">NIKM – národní inventarizace kontaminovaných míst. Dostupné z: </w:t>
      </w:r>
      <w:hyperlink r:id="rId25" w:history="1">
        <w:r w:rsidRPr="006B3F59">
          <w:rPr>
            <w:rStyle w:val="Hypertextovodkaz"/>
            <w:lang w:eastAsia="cs-CZ"/>
          </w:rPr>
          <w:t>kontaminace.cenia.cz</w:t>
        </w:r>
      </w:hyperlink>
      <w:r w:rsidR="00BC5324" w:rsidRPr="006B3F59">
        <w:rPr>
          <w:rStyle w:val="Hypertextovodkaz"/>
          <w:lang w:eastAsia="cs-CZ"/>
        </w:rPr>
        <w:t>.</w:t>
      </w:r>
    </w:p>
    <w:p w14:paraId="1927A558" w14:textId="77777777" w:rsidR="00AF6067" w:rsidRPr="006B3F59" w:rsidRDefault="00AF6067" w:rsidP="00AF6067">
      <w:pPr>
        <w:pStyle w:val="Odrky1"/>
        <w:rPr>
          <w:lang w:eastAsia="cs-CZ"/>
        </w:rPr>
      </w:pPr>
      <w:r w:rsidRPr="006B3F59">
        <w:rPr>
          <w:lang w:eastAsia="cs-CZ"/>
        </w:rPr>
        <w:t>Územně analytické podklady hl m. Prahy, Dostupný z: http://www.iprpraha.cz/uap</w:t>
      </w:r>
    </w:p>
    <w:p w14:paraId="5146D2C0" w14:textId="2F969403" w:rsidR="00AF6067" w:rsidRPr="006B3F59" w:rsidRDefault="001D749A" w:rsidP="00AF6067">
      <w:pPr>
        <w:pStyle w:val="Odrky1"/>
        <w:rPr>
          <w:lang w:eastAsia="cs-CZ"/>
        </w:rPr>
      </w:pPr>
      <w:r w:rsidRPr="006B3F59">
        <w:rPr>
          <w:lang w:eastAsia="cs-CZ"/>
        </w:rPr>
        <w:t>Geoportál</w:t>
      </w:r>
      <w:r w:rsidR="00AF6067" w:rsidRPr="006B3F59">
        <w:rPr>
          <w:lang w:eastAsia="cs-CZ"/>
        </w:rPr>
        <w:t xml:space="preserve"> Praha – Atlas životního prostředí. Dostupný z: </w:t>
      </w:r>
      <w:hyperlink r:id="rId26" w:history="1">
        <w:r w:rsidR="00AF6067" w:rsidRPr="006B3F59">
          <w:rPr>
            <w:rStyle w:val="Hypertextovodkaz"/>
            <w:lang w:eastAsia="cs-CZ"/>
          </w:rPr>
          <w:t>http://www.geoportalpraha.cz/</w:t>
        </w:r>
      </w:hyperlink>
    </w:p>
    <w:p w14:paraId="6B094C82" w14:textId="7F8792F0" w:rsidR="00AF6067" w:rsidRPr="006B3F59" w:rsidRDefault="00AF6067" w:rsidP="00AF6067">
      <w:pPr>
        <w:pStyle w:val="Odrky1"/>
        <w:rPr>
          <w:lang w:eastAsia="cs-CZ"/>
        </w:rPr>
      </w:pPr>
      <w:r w:rsidRPr="006B3F59">
        <w:rPr>
          <w:lang w:eastAsia="cs-CZ"/>
        </w:rPr>
        <w:t xml:space="preserve">Institut plánování a rozvoje hlavního města Prahy. Dostupný z: </w:t>
      </w:r>
      <w:hyperlink r:id="rId27" w:history="1">
        <w:r w:rsidRPr="006B3F59">
          <w:rPr>
            <w:rStyle w:val="Hypertextovodkaz"/>
            <w:lang w:eastAsia="cs-CZ"/>
          </w:rPr>
          <w:t>http://www.iprpraha.cz/</w:t>
        </w:r>
      </w:hyperlink>
    </w:p>
    <w:p w14:paraId="5EC8F795" w14:textId="22BFB49C" w:rsidR="00AF6067" w:rsidRPr="006B3F59" w:rsidRDefault="00AF6067" w:rsidP="00AF6067">
      <w:pPr>
        <w:pStyle w:val="Odrky1"/>
        <w:rPr>
          <w:lang w:eastAsia="cs-CZ"/>
        </w:rPr>
      </w:pPr>
      <w:r w:rsidRPr="006B3F59">
        <w:rPr>
          <w:lang w:eastAsia="cs-CZ"/>
        </w:rPr>
        <w:t xml:space="preserve">Webový portál hlavního města Prahy. Dostupný z: </w:t>
      </w:r>
      <w:hyperlink r:id="rId28" w:history="1">
        <w:r w:rsidRPr="006B3F59">
          <w:rPr>
            <w:rStyle w:val="Hypertextovodkaz"/>
            <w:lang w:eastAsia="cs-CZ"/>
          </w:rPr>
          <w:t>http://www.Praha.eu/</w:t>
        </w:r>
      </w:hyperlink>
    </w:p>
    <w:p w14:paraId="234029E8" w14:textId="2CD9EC2F" w:rsidR="00AF6067" w:rsidRPr="006B3F59" w:rsidRDefault="00AF6067" w:rsidP="00AF6067">
      <w:pPr>
        <w:pStyle w:val="Odrky1"/>
        <w:rPr>
          <w:lang w:eastAsia="cs-CZ"/>
        </w:rPr>
      </w:pPr>
      <w:r w:rsidRPr="006B3F59">
        <w:rPr>
          <w:lang w:eastAsia="cs-CZ"/>
        </w:rPr>
        <w:t xml:space="preserve">Informační web o síti hlavních komunikací v Praze. Dostupný z: </w:t>
      </w:r>
      <w:hyperlink r:id="rId29" w:history="1">
        <w:r w:rsidRPr="006B3F59">
          <w:rPr>
            <w:rStyle w:val="Hypertextovodkaz"/>
            <w:lang w:eastAsia="cs-CZ"/>
          </w:rPr>
          <w:t>http://mestskyokruh.info/</w:t>
        </w:r>
      </w:hyperlink>
    </w:p>
    <w:p w14:paraId="123D8D9F" w14:textId="11BD46CF" w:rsidR="00AF6067" w:rsidRPr="006B3F59" w:rsidRDefault="00AF6067" w:rsidP="00AF6067">
      <w:pPr>
        <w:pStyle w:val="Odrky1"/>
        <w:rPr>
          <w:lang w:eastAsia="cs-CZ"/>
        </w:rPr>
      </w:pPr>
      <w:r w:rsidRPr="006B3F59">
        <w:rPr>
          <w:lang w:eastAsia="cs-CZ"/>
        </w:rPr>
        <w:t xml:space="preserve">Pražská příroda. Dostupné z: </w:t>
      </w:r>
      <w:hyperlink r:id="rId30" w:history="1">
        <w:r w:rsidRPr="006B3F59">
          <w:rPr>
            <w:rStyle w:val="Hypertextovodkaz"/>
            <w:lang w:eastAsia="cs-CZ"/>
          </w:rPr>
          <w:t>http://www.Praha-priroda.cz/</w:t>
        </w:r>
      </w:hyperlink>
      <w:r w:rsidR="00403943" w:rsidRPr="006B3F59">
        <w:rPr>
          <w:rStyle w:val="Hypertextovodkaz"/>
          <w:lang w:eastAsia="cs-CZ"/>
        </w:rPr>
        <w:t xml:space="preserve">, </w:t>
      </w:r>
    </w:p>
    <w:p w14:paraId="74B9BB87" w14:textId="6186C5C4" w:rsidR="00AF6067" w:rsidRPr="006B3F59" w:rsidRDefault="00D01AEC" w:rsidP="00341BA2">
      <w:pPr>
        <w:pStyle w:val="Odrky1"/>
        <w:spacing w:before="0" w:after="80"/>
      </w:pPr>
      <w:r w:rsidRPr="006B3F59">
        <w:t xml:space="preserve">Geoportál ministerstva zdravotnictví, Dostupné z: </w:t>
      </w:r>
      <w:hyperlink r:id="rId31" w:history="1">
        <w:r w:rsidR="00AF6067" w:rsidRPr="006B3F59">
          <w:rPr>
            <w:rStyle w:val="Hypertextovodkaz"/>
          </w:rPr>
          <w:t>http://</w:t>
        </w:r>
        <w:r w:rsidR="00AF6067" w:rsidRPr="006B3F59">
          <w:rPr>
            <w:rStyle w:val="Hypertextovodkaz"/>
            <w:noProof/>
          </w:rPr>
          <w:t>geoportal.mzcr.cz</w:t>
        </w:r>
      </w:hyperlink>
    </w:p>
    <w:p w14:paraId="73765D23" w14:textId="145C121F" w:rsidR="002A6226" w:rsidRPr="006B3F59" w:rsidRDefault="00D01AEC" w:rsidP="00341BA2">
      <w:pPr>
        <w:pStyle w:val="Odrky1"/>
        <w:spacing w:before="0" w:after="80"/>
        <w:rPr>
          <w:rStyle w:val="Hypertextovodkaz"/>
          <w:color w:val="auto"/>
          <w:u w:val="none"/>
        </w:rPr>
      </w:pPr>
      <w:r w:rsidRPr="006B3F59">
        <w:t xml:space="preserve">Informační systém o archeologických datech národního památkového ústavu, Dostupné z: </w:t>
      </w:r>
      <w:hyperlink r:id="rId32" w:history="1">
        <w:r w:rsidRPr="006B3F59">
          <w:rPr>
            <w:rStyle w:val="Hypertextovodkaz"/>
          </w:rPr>
          <w:t>http://isad.npu.cz/</w:t>
        </w:r>
      </w:hyperlink>
    </w:p>
    <w:p w14:paraId="2CEAE96F" w14:textId="77777777" w:rsidR="004B4B93" w:rsidRPr="006B3F59" w:rsidRDefault="004B4B93" w:rsidP="004B4B93">
      <w:pPr>
        <w:pStyle w:val="Odrky1"/>
        <w:numPr>
          <w:ilvl w:val="0"/>
          <w:numId w:val="0"/>
        </w:numPr>
        <w:spacing w:before="0" w:after="80"/>
        <w:ind w:left="360" w:hanging="360"/>
        <w:rPr>
          <w:rStyle w:val="Hypertextovodkaz"/>
          <w:color w:val="auto"/>
          <w:u w:val="none"/>
        </w:rPr>
      </w:pPr>
    </w:p>
    <w:p w14:paraId="5434CF7A" w14:textId="77777777" w:rsidR="00AA1D13" w:rsidRPr="006B3F59" w:rsidRDefault="00AA1D13" w:rsidP="00AA1D13">
      <w:pPr>
        <w:pStyle w:val="Podnadpis1"/>
      </w:pPr>
      <w:r w:rsidRPr="006B3F59">
        <w:lastRenderedPageBreak/>
        <w:t>Ostatní zdroje</w:t>
      </w:r>
    </w:p>
    <w:p w14:paraId="09084D38" w14:textId="1734C0D5" w:rsidR="00AA1D13" w:rsidRPr="006B3F59" w:rsidRDefault="00AA1D13" w:rsidP="00AA1D13">
      <w:pPr>
        <w:pStyle w:val="Odrky1"/>
        <w:spacing w:before="80" w:after="80"/>
      </w:pPr>
      <w:r w:rsidRPr="006B3F59">
        <w:t>Metodika vyhodnocení vlivů PÚR ČR a ÚPD na životní prostředí (T-plan, 2015)</w:t>
      </w:r>
      <w:r w:rsidR="00DF2A5A" w:rsidRPr="006B3F59">
        <w:t>.</w:t>
      </w:r>
    </w:p>
    <w:p w14:paraId="41ADD6A8" w14:textId="4C18D913" w:rsidR="00AA1D13" w:rsidRPr="006B3F59" w:rsidRDefault="00AA1D13" w:rsidP="00AA1D13">
      <w:pPr>
        <w:pStyle w:val="Odrky1"/>
        <w:spacing w:before="80" w:after="80"/>
      </w:pPr>
      <w:r w:rsidRPr="006B3F59">
        <w:t xml:space="preserve">Archiv firmy </w:t>
      </w:r>
      <w:r w:rsidR="00512A5E" w:rsidRPr="006B3F59">
        <w:t xml:space="preserve">Jacobs Clen Energy s.r.o. </w:t>
      </w:r>
    </w:p>
    <w:p w14:paraId="6E7E25B9" w14:textId="02221EA1" w:rsidR="000F15BC" w:rsidRPr="006B3F59" w:rsidRDefault="00584F29" w:rsidP="000F15BC">
      <w:pPr>
        <w:pStyle w:val="Odrky1"/>
      </w:pPr>
      <w:r w:rsidRPr="006B3F59">
        <w:t>Analýza dopadů klimatické změny v Praze, Ústav výzkumu globální z</w:t>
      </w:r>
      <w:r w:rsidR="000F15BC" w:rsidRPr="006B3F59">
        <w:t xml:space="preserve">měny AV ČR, </w:t>
      </w:r>
      <w:proofErr w:type="spellStart"/>
      <w:r w:rsidR="000F15BC" w:rsidRPr="006B3F59">
        <w:t>v.v.i</w:t>
      </w:r>
      <w:proofErr w:type="spellEnd"/>
      <w:r w:rsidR="000F15BC" w:rsidRPr="006B3F59">
        <w:t>. (</w:t>
      </w:r>
      <w:proofErr w:type="spellStart"/>
      <w:r w:rsidR="000F15BC" w:rsidRPr="006B3F59">
        <w:t>CzechGlobe</w:t>
      </w:r>
      <w:proofErr w:type="spellEnd"/>
      <w:r w:rsidR="000F15BC" w:rsidRPr="006B3F59">
        <w:t xml:space="preserve">) </w:t>
      </w:r>
      <w:r w:rsidRPr="006B3F59">
        <w:t>ve spoluprá</w:t>
      </w:r>
      <w:r w:rsidR="000F15BC" w:rsidRPr="006B3F59">
        <w:t>ci s IPR Praha a OCP MHMP, 2016.</w:t>
      </w:r>
    </w:p>
    <w:p w14:paraId="4AC907D4" w14:textId="77777777" w:rsidR="00EB6007" w:rsidRPr="006B3F59" w:rsidRDefault="00EB6007" w:rsidP="00EB6007">
      <w:pPr>
        <w:pStyle w:val="Odrky1"/>
      </w:pPr>
      <w:r w:rsidRPr="006B3F59">
        <w:t>Územní plán sídelního útvaru hl. m. Prahy</w:t>
      </w:r>
    </w:p>
    <w:p w14:paraId="29FBBAD4" w14:textId="77777777" w:rsidR="003317EF" w:rsidRPr="006B3F59" w:rsidRDefault="003317EF" w:rsidP="003317EF">
      <w:pPr>
        <w:pStyle w:val="Odrky1"/>
      </w:pPr>
      <w:r w:rsidRPr="006B3F59">
        <w:t xml:space="preserve">Platné znění Zásad územního rozvoje hl. m. Prahy ve znění všech vydaných aktualizací </w:t>
      </w:r>
    </w:p>
    <w:p w14:paraId="049EAF6D" w14:textId="7DDE3918" w:rsidR="00760B94" w:rsidRPr="006B3F59" w:rsidRDefault="00760B94" w:rsidP="00DA7545">
      <w:pPr>
        <w:pStyle w:val="Odrky1"/>
      </w:pPr>
      <w:r w:rsidRPr="006B3F59">
        <w:t>ÚAP Prahy pro kraj a ÚAP Prahy pro obec, obě v současnosti ve znění 5. úplné aktualizace ÚAP ve znění ke dni 1. 7. 2021</w:t>
      </w:r>
    </w:p>
    <w:p w14:paraId="07396E04" w14:textId="77777777" w:rsidR="00FA551C" w:rsidRPr="006B3F59" w:rsidRDefault="00FF39F7" w:rsidP="00D51E9F">
      <w:pPr>
        <w:pStyle w:val="Odrky1"/>
      </w:pPr>
      <w:r w:rsidRPr="006B3F59">
        <w:t>Koncepce pražských břehů</w:t>
      </w:r>
      <w:r w:rsidR="00FA551C" w:rsidRPr="006B3F59">
        <w:t>, IPR 2014.</w:t>
      </w:r>
    </w:p>
    <w:p w14:paraId="4EEBF18B" w14:textId="77777777" w:rsidR="00907C42" w:rsidRPr="006B3F59" w:rsidRDefault="00907C42" w:rsidP="00907C42">
      <w:pPr>
        <w:pStyle w:val="Odrky1"/>
      </w:pPr>
      <w:r w:rsidRPr="006B3F59">
        <w:t xml:space="preserve">WHIASU: Health Impact Assessment, A </w:t>
      </w:r>
      <w:proofErr w:type="spellStart"/>
      <w:r w:rsidRPr="006B3F59">
        <w:t>practical</w:t>
      </w:r>
      <w:proofErr w:type="spellEnd"/>
      <w:r w:rsidRPr="006B3F59">
        <w:t xml:space="preserve"> </w:t>
      </w:r>
      <w:proofErr w:type="spellStart"/>
      <w:r w:rsidRPr="006B3F59">
        <w:t>guide</w:t>
      </w:r>
      <w:proofErr w:type="spellEnd"/>
      <w:r w:rsidRPr="006B3F59">
        <w:t>, 2012.</w:t>
      </w:r>
    </w:p>
    <w:p w14:paraId="4C9E3F88" w14:textId="5C3B9299" w:rsidR="00907C42" w:rsidRPr="006B3F59" w:rsidRDefault="00907C42" w:rsidP="00907C42">
      <w:pPr>
        <w:pStyle w:val="Odrky1"/>
      </w:pPr>
      <w:r w:rsidRPr="006B3F59">
        <w:t>Návod pro posuzování koncepcí z hlediska hodnocení vlivů na zdraví a v návaznosti na Zdraví 2020 (popřípadě regionální zdravotní politiku), Ing. Jana Kučerová, Ph.D., MUDr. Bohumil Havel, 20014.</w:t>
      </w:r>
    </w:p>
    <w:p w14:paraId="05E5E027" w14:textId="4EC90722" w:rsidR="004568C7" w:rsidRPr="006B3F59" w:rsidRDefault="00B228B5" w:rsidP="00B34C98">
      <w:pPr>
        <w:pStyle w:val="Odrky1"/>
      </w:pPr>
      <w:bookmarkStart w:id="6" w:name="_Hlk130900169"/>
      <w:r w:rsidRPr="006B3F59">
        <w:t xml:space="preserve">Studie proveditelnosti Terminál Výhledy, PRO CEDOP </w:t>
      </w:r>
      <w:proofErr w:type="spellStart"/>
      <w:r w:rsidRPr="006B3F59">
        <w:t>s.r.o</w:t>
      </w:r>
      <w:proofErr w:type="spellEnd"/>
      <w:r w:rsidRPr="006B3F59">
        <w:t>, Centrum pro efektivní dopravu, z. s., a-</w:t>
      </w:r>
      <w:proofErr w:type="spellStart"/>
      <w:r w:rsidRPr="006B3F59">
        <w:t>sense</w:t>
      </w:r>
      <w:proofErr w:type="spellEnd"/>
      <w:r w:rsidRPr="006B3F59">
        <w:t>, Praha, 07/2020.</w:t>
      </w:r>
    </w:p>
    <w:p w14:paraId="092C8DC7" w14:textId="79F377A2" w:rsidR="00907C42" w:rsidRPr="006B3F59" w:rsidRDefault="001663EA" w:rsidP="001663EA">
      <w:pPr>
        <w:pStyle w:val="Odrky1"/>
      </w:pPr>
      <w:r w:rsidRPr="006B3F59">
        <w:t>Urbanisticko-dopravní studie území Na Mírách, PROCEDOP s.r.o., Praha, 2021.</w:t>
      </w:r>
    </w:p>
    <w:p w14:paraId="0C41794A" w14:textId="151E3B62" w:rsidR="001663EA" w:rsidRPr="006B3F59" w:rsidRDefault="001663EA" w:rsidP="001663EA">
      <w:pPr>
        <w:pStyle w:val="Odrky1"/>
      </w:pPr>
      <w:r w:rsidRPr="006B3F59">
        <w:t xml:space="preserve">Krajinářská studie Kozí hřbety (aktuálně zpracovávaná) - koncept řešení 7/2020, dokument je dostupný na adrese: </w:t>
      </w:r>
      <w:hyperlink r:id="rId33" w:history="1">
        <w:r w:rsidRPr="006B3F59">
          <w:rPr>
            <w:rStyle w:val="Hypertextovodkaz"/>
          </w:rPr>
          <w:t>https://praha-suchdol.cz/mestska-cast-praha-suchdol/uzemni-plan/krajinarska-studie-kozi-hrbety</w:t>
        </w:r>
      </w:hyperlink>
      <w:r w:rsidRPr="006B3F59">
        <w:t>.</w:t>
      </w:r>
    </w:p>
    <w:p w14:paraId="11E678DD" w14:textId="0499239C" w:rsidR="001663EA" w:rsidRPr="006B3F59" w:rsidRDefault="001663EA" w:rsidP="001663EA">
      <w:pPr>
        <w:pStyle w:val="Odrky1"/>
      </w:pPr>
      <w:r w:rsidRPr="006B3F59">
        <w:t xml:space="preserve">Dokumentace pro zjišťovací EIA stavby SOKP 518 (2019), dokument je dostupný na adrese: </w:t>
      </w:r>
      <w:hyperlink r:id="rId34" w:history="1">
        <w:r w:rsidRPr="006B3F59">
          <w:rPr>
            <w:rStyle w:val="Hypertextovodkaz"/>
          </w:rPr>
          <w:t>https://portal.cenia.cz/eiasea/detail/EIA_MZP486</w:t>
        </w:r>
      </w:hyperlink>
      <w:r w:rsidRPr="006B3F59">
        <w:t>.</w:t>
      </w:r>
    </w:p>
    <w:p w14:paraId="0864EDB9" w14:textId="294AAF12" w:rsidR="001663EA" w:rsidRPr="006B3F59" w:rsidRDefault="001663EA" w:rsidP="001663EA">
      <w:pPr>
        <w:pStyle w:val="Odrky1"/>
      </w:pPr>
      <w:r w:rsidRPr="006B3F59">
        <w:t xml:space="preserve">Územní studie Starý Suchdol, dokument je dostupný na adrese: </w:t>
      </w:r>
      <w:hyperlink r:id="rId35" w:history="1">
        <w:r w:rsidRPr="006B3F59">
          <w:rPr>
            <w:rStyle w:val="Hypertextovodkaz"/>
          </w:rPr>
          <w:t>https://praha-suchdol.cz/mestska-cast-praha-suchdol/uzemni-plan/uzemni-studie-stary-suchdol/</w:t>
        </w:r>
      </w:hyperlink>
      <w:r w:rsidRPr="006B3F59">
        <w:t>.</w:t>
      </w:r>
    </w:p>
    <w:p w14:paraId="204ADE92" w14:textId="017DF1E3" w:rsidR="001663EA" w:rsidRPr="006B3F59" w:rsidRDefault="001663EA" w:rsidP="001663EA">
      <w:pPr>
        <w:pStyle w:val="Odrky1"/>
      </w:pPr>
      <w:r w:rsidRPr="006B3F59">
        <w:t>Ověřovací technická studie TT Podbaba – Výhledy (04/2017), dokument je dostupný na adrese: 13 | 39 https://praha-suchdol.cz/mestska-cast-praha-suchdol/projekty-a-uzemni-rozvoj/tramvajovatratpodbaba-suchd.</w:t>
      </w:r>
    </w:p>
    <w:p w14:paraId="57B53B0D" w14:textId="7B7AC37A" w:rsidR="001663EA" w:rsidRPr="006B3F59" w:rsidRDefault="00620F54" w:rsidP="001663EA">
      <w:pPr>
        <w:pStyle w:val="Odrky1"/>
      </w:pPr>
      <w:r w:rsidRPr="006B3F59">
        <w:t>Plán péče o přírodní památku Kaňon Vltavy u Sedlce na období 2015-2024, Daniel Hrčka, Krajský úřad Středočeského kraje, 2016</w:t>
      </w:r>
      <w:r w:rsidR="004C4308" w:rsidRPr="006B3F59">
        <w:t>.</w:t>
      </w:r>
    </w:p>
    <w:p w14:paraId="511AAA06" w14:textId="0FABC748" w:rsidR="004C4308" w:rsidRPr="006B3F59" w:rsidRDefault="004C4308" w:rsidP="001663EA">
      <w:pPr>
        <w:pStyle w:val="Odrky1"/>
      </w:pPr>
      <w:r w:rsidRPr="006B3F59">
        <w:t>Plán péče o PP Sedlecké skály 2010–2024, Ing. Jiří Dostálek, CSc. Dobřejovická 119 252 43 Průhonice, 2009.</w:t>
      </w:r>
    </w:p>
    <w:p w14:paraId="4C08BCDE" w14:textId="52782209" w:rsidR="00FB1599" w:rsidRPr="006B3F59" w:rsidRDefault="00FB1599" w:rsidP="001663EA">
      <w:pPr>
        <w:pStyle w:val="Odrky1"/>
      </w:pPr>
      <w:r w:rsidRPr="006B3F59">
        <w:t>Plán péče pro přírodní památku Podbabské skály na období 2010-2022, Mgr. Petr Karlík Mgr. Milan Řezáč, Ph.D. 2008.</w:t>
      </w:r>
    </w:p>
    <w:p w14:paraId="71211B9D" w14:textId="10928252" w:rsidR="00C9626C" w:rsidRDefault="00C9626C" w:rsidP="001663EA">
      <w:pPr>
        <w:pStyle w:val="Odrky1"/>
      </w:pPr>
      <w:r w:rsidRPr="006B3F59">
        <w:t xml:space="preserve">Urbanistická studie Nový Sedlec, IPR Praha, </w:t>
      </w:r>
      <w:r w:rsidR="00926A7B" w:rsidRPr="006B3F59">
        <w:t>12/2021.</w:t>
      </w:r>
    </w:p>
    <w:p w14:paraId="20B55E3F" w14:textId="35C2CB60" w:rsidR="002E1222" w:rsidRPr="006B3F59" w:rsidRDefault="002E1222" w:rsidP="001663EA">
      <w:pPr>
        <w:pStyle w:val="Odrky1"/>
      </w:pPr>
      <w:r w:rsidRPr="006B3F59">
        <w:rPr>
          <w:rFonts w:cs="Arial"/>
          <w:color w:val="000000"/>
          <w:szCs w:val="20"/>
          <w:lang w:eastAsia="cs-CZ"/>
        </w:rPr>
        <w:t>Dopravně inženýrsk</w:t>
      </w:r>
      <w:r>
        <w:rPr>
          <w:rFonts w:cs="Arial"/>
          <w:color w:val="000000"/>
          <w:szCs w:val="20"/>
          <w:lang w:eastAsia="cs-CZ"/>
        </w:rPr>
        <w:t>é podklady</w:t>
      </w:r>
      <w:r>
        <w:rPr>
          <w:rFonts w:cs="Arial"/>
          <w:color w:val="000000"/>
          <w:szCs w:val="20"/>
          <w:lang w:eastAsia="cs-CZ"/>
        </w:rPr>
        <w:t xml:space="preserve"> </w:t>
      </w:r>
      <w:r w:rsidRPr="006B3F59">
        <w:rPr>
          <w:rFonts w:cs="Arial"/>
          <w:color w:val="000000"/>
          <w:szCs w:val="20"/>
          <w:lang w:eastAsia="cs-CZ"/>
        </w:rPr>
        <w:t>pro změnu Z3827/00</w:t>
      </w:r>
      <w:r>
        <w:rPr>
          <w:rFonts w:cs="Arial"/>
          <w:color w:val="000000"/>
          <w:szCs w:val="20"/>
          <w:lang w:eastAsia="cs-CZ"/>
        </w:rPr>
        <w:t xml:space="preserve">, </w:t>
      </w:r>
      <w:r>
        <w:rPr>
          <w:rFonts w:cs="Arial"/>
          <w:color w:val="000000"/>
          <w:szCs w:val="20"/>
          <w:lang w:eastAsia="cs-CZ"/>
        </w:rPr>
        <w:t>IPR, duben 202</w:t>
      </w:r>
      <w:r>
        <w:rPr>
          <w:rFonts w:cs="Arial"/>
          <w:color w:val="000000"/>
          <w:szCs w:val="20"/>
          <w:lang w:eastAsia="cs-CZ"/>
        </w:rPr>
        <w:t>.</w:t>
      </w:r>
    </w:p>
    <w:bookmarkEnd w:id="6"/>
    <w:p w14:paraId="4CC9E31C" w14:textId="77777777" w:rsidR="002C7E62" w:rsidRPr="006B3F59" w:rsidRDefault="002C7E62" w:rsidP="0073449B">
      <w:pPr>
        <w:pStyle w:val="Odrky1"/>
        <w:numPr>
          <w:ilvl w:val="0"/>
          <w:numId w:val="0"/>
        </w:numPr>
        <w:ind w:left="360"/>
      </w:pPr>
    </w:p>
    <w:p w14:paraId="70E8CDBD" w14:textId="51343DCE" w:rsidR="00652118" w:rsidRPr="006B3F59" w:rsidRDefault="0008043D" w:rsidP="00BA72D5">
      <w:pPr>
        <w:pStyle w:val="Nadpis1neslovan"/>
      </w:pPr>
      <w:bookmarkStart w:id="7" w:name="_Toc29298307"/>
      <w:bookmarkStart w:id="8" w:name="_Toc138848095"/>
      <w:r w:rsidRPr="006B3F59">
        <w:lastRenderedPageBreak/>
        <w:t>Přehled zkratek</w:t>
      </w:r>
      <w:bookmarkEnd w:id="7"/>
      <w:bookmarkEnd w:id="8"/>
    </w:p>
    <w:tbl>
      <w:tblPr>
        <w:tblW w:w="10214" w:type="dxa"/>
        <w:tblInd w:w="55" w:type="dxa"/>
        <w:tblCellMar>
          <w:left w:w="70" w:type="dxa"/>
          <w:right w:w="70" w:type="dxa"/>
        </w:tblCellMar>
        <w:tblLook w:val="04A0" w:firstRow="1" w:lastRow="0" w:firstColumn="1" w:lastColumn="0" w:noHBand="0" w:noVBand="1"/>
      </w:tblPr>
      <w:tblGrid>
        <w:gridCol w:w="1021"/>
        <w:gridCol w:w="3520"/>
        <w:gridCol w:w="1385"/>
        <w:gridCol w:w="4084"/>
        <w:gridCol w:w="204"/>
      </w:tblGrid>
      <w:tr w:rsidR="00907C42" w:rsidRPr="006B3F59" w14:paraId="74085306" w14:textId="77777777" w:rsidTr="00BE4250">
        <w:trPr>
          <w:gridAfter w:val="1"/>
          <w:wAfter w:w="204" w:type="dxa"/>
          <w:trHeight w:val="225"/>
        </w:trPr>
        <w:tc>
          <w:tcPr>
            <w:tcW w:w="1021" w:type="dxa"/>
            <w:vAlign w:val="center"/>
          </w:tcPr>
          <w:p w14:paraId="6A0E35BD"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AZÚR HMP</w:t>
            </w:r>
          </w:p>
        </w:tc>
        <w:tc>
          <w:tcPr>
            <w:tcW w:w="3520" w:type="dxa"/>
            <w:vAlign w:val="center"/>
          </w:tcPr>
          <w:p w14:paraId="3E30869A"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Aktualizace Zásad územního rozvoje Hlavního města Prahy</w:t>
            </w:r>
          </w:p>
        </w:tc>
        <w:tc>
          <w:tcPr>
            <w:tcW w:w="1385" w:type="dxa"/>
            <w:vAlign w:val="center"/>
          </w:tcPr>
          <w:p w14:paraId="66A88DD8"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OŽP</w:t>
            </w:r>
          </w:p>
        </w:tc>
        <w:tc>
          <w:tcPr>
            <w:tcW w:w="4084" w:type="dxa"/>
            <w:noWrap/>
            <w:vAlign w:val="center"/>
          </w:tcPr>
          <w:p w14:paraId="6B5697BE"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Odbor životního prostředí</w:t>
            </w:r>
          </w:p>
        </w:tc>
      </w:tr>
      <w:tr w:rsidR="00907C42" w:rsidRPr="006B3F59" w14:paraId="5227E9CF" w14:textId="77777777" w:rsidTr="00BE4250">
        <w:trPr>
          <w:gridAfter w:val="1"/>
          <w:wAfter w:w="204" w:type="dxa"/>
          <w:trHeight w:val="225"/>
        </w:trPr>
        <w:tc>
          <w:tcPr>
            <w:tcW w:w="1021" w:type="dxa"/>
            <w:vAlign w:val="center"/>
            <w:hideMark/>
          </w:tcPr>
          <w:p w14:paraId="7E6608E2"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BC</w:t>
            </w:r>
          </w:p>
        </w:tc>
        <w:tc>
          <w:tcPr>
            <w:tcW w:w="3520" w:type="dxa"/>
            <w:vAlign w:val="center"/>
            <w:hideMark/>
          </w:tcPr>
          <w:p w14:paraId="2B6FC21C"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 xml:space="preserve">Biocentrum </w:t>
            </w:r>
          </w:p>
        </w:tc>
        <w:tc>
          <w:tcPr>
            <w:tcW w:w="1385" w:type="dxa"/>
            <w:vAlign w:val="center"/>
            <w:hideMark/>
          </w:tcPr>
          <w:p w14:paraId="79767752"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PHC</w:t>
            </w:r>
          </w:p>
        </w:tc>
        <w:tc>
          <w:tcPr>
            <w:tcW w:w="4084" w:type="dxa"/>
            <w:noWrap/>
            <w:vAlign w:val="center"/>
            <w:hideMark/>
          </w:tcPr>
          <w:p w14:paraId="50CC8C1C"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Protihluková clona</w:t>
            </w:r>
          </w:p>
        </w:tc>
      </w:tr>
      <w:tr w:rsidR="00907C42" w:rsidRPr="006B3F59" w14:paraId="79503989" w14:textId="77777777" w:rsidTr="00BE4250">
        <w:trPr>
          <w:gridAfter w:val="1"/>
          <w:wAfter w:w="204" w:type="dxa"/>
          <w:trHeight w:val="225"/>
        </w:trPr>
        <w:tc>
          <w:tcPr>
            <w:tcW w:w="1021" w:type="dxa"/>
            <w:vAlign w:val="center"/>
            <w:hideMark/>
          </w:tcPr>
          <w:p w14:paraId="604189A8"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BK</w:t>
            </w:r>
          </w:p>
        </w:tc>
        <w:tc>
          <w:tcPr>
            <w:tcW w:w="3520" w:type="dxa"/>
            <w:vAlign w:val="center"/>
            <w:hideMark/>
          </w:tcPr>
          <w:p w14:paraId="4D4ADB9B"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Biokoridor</w:t>
            </w:r>
          </w:p>
        </w:tc>
        <w:tc>
          <w:tcPr>
            <w:tcW w:w="1385" w:type="dxa"/>
            <w:vAlign w:val="center"/>
            <w:hideMark/>
          </w:tcPr>
          <w:p w14:paraId="4BD7A086"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PHO</w:t>
            </w:r>
          </w:p>
        </w:tc>
        <w:tc>
          <w:tcPr>
            <w:tcW w:w="4084" w:type="dxa"/>
            <w:vAlign w:val="center"/>
            <w:hideMark/>
          </w:tcPr>
          <w:p w14:paraId="2A361F01"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Protihluková opatření</w:t>
            </w:r>
          </w:p>
        </w:tc>
      </w:tr>
      <w:tr w:rsidR="00907C42" w:rsidRPr="006B3F59" w14:paraId="0720F56C" w14:textId="77777777" w:rsidTr="00BE4250">
        <w:trPr>
          <w:gridAfter w:val="1"/>
          <w:wAfter w:w="204" w:type="dxa"/>
          <w:trHeight w:val="225"/>
        </w:trPr>
        <w:tc>
          <w:tcPr>
            <w:tcW w:w="1021" w:type="dxa"/>
            <w:vAlign w:val="center"/>
            <w:hideMark/>
          </w:tcPr>
          <w:p w14:paraId="15BC2440"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BPEJ</w:t>
            </w:r>
          </w:p>
        </w:tc>
        <w:tc>
          <w:tcPr>
            <w:tcW w:w="3520" w:type="dxa"/>
            <w:vAlign w:val="center"/>
            <w:hideMark/>
          </w:tcPr>
          <w:p w14:paraId="6DC758E1"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Bonitně ekologická půdní jednotka</w:t>
            </w:r>
          </w:p>
        </w:tc>
        <w:tc>
          <w:tcPr>
            <w:tcW w:w="1385" w:type="dxa"/>
            <w:vAlign w:val="center"/>
            <w:hideMark/>
          </w:tcPr>
          <w:p w14:paraId="13A9A155"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PM</w:t>
            </w:r>
            <w:r w:rsidRPr="006B3F59">
              <w:rPr>
                <w:rFonts w:eastAsia="Times New Roman" w:cs="Arial"/>
                <w:color w:val="000000"/>
                <w:sz w:val="16"/>
                <w:szCs w:val="16"/>
                <w:vertAlign w:val="subscript"/>
                <w:lang w:eastAsia="cs-CZ"/>
              </w:rPr>
              <w:t>2,5</w:t>
            </w:r>
          </w:p>
        </w:tc>
        <w:tc>
          <w:tcPr>
            <w:tcW w:w="4084" w:type="dxa"/>
            <w:vAlign w:val="center"/>
            <w:hideMark/>
          </w:tcPr>
          <w:p w14:paraId="6D9EFB70" w14:textId="1C46D61D"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 xml:space="preserve">Tuhé znečišťující látky frakce </w:t>
            </w:r>
            <w:r w:rsidR="001D749A" w:rsidRPr="006B3F59">
              <w:rPr>
                <w:rFonts w:eastAsia="Times New Roman" w:cs="Arial"/>
                <w:color w:val="000000"/>
                <w:sz w:val="16"/>
                <w:szCs w:val="16"/>
                <w:lang w:eastAsia="cs-CZ"/>
              </w:rPr>
              <w:t>&lt;2</w:t>
            </w:r>
            <w:r w:rsidRPr="006B3F59">
              <w:rPr>
                <w:rFonts w:eastAsia="Times New Roman" w:cs="Arial"/>
                <w:color w:val="000000"/>
                <w:sz w:val="16"/>
                <w:szCs w:val="16"/>
                <w:lang w:eastAsia="cs-CZ"/>
              </w:rPr>
              <w:t>,5 um</w:t>
            </w:r>
          </w:p>
        </w:tc>
      </w:tr>
      <w:tr w:rsidR="00907C42" w:rsidRPr="006B3F59" w14:paraId="45FAD1C7" w14:textId="77777777" w:rsidTr="00BE4250">
        <w:trPr>
          <w:gridAfter w:val="1"/>
          <w:wAfter w:w="204" w:type="dxa"/>
          <w:trHeight w:val="225"/>
        </w:trPr>
        <w:tc>
          <w:tcPr>
            <w:tcW w:w="1021" w:type="dxa"/>
            <w:vAlign w:val="center"/>
            <w:hideMark/>
          </w:tcPr>
          <w:p w14:paraId="1673DBEC"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BSK5</w:t>
            </w:r>
          </w:p>
        </w:tc>
        <w:tc>
          <w:tcPr>
            <w:tcW w:w="3520" w:type="dxa"/>
            <w:vAlign w:val="center"/>
            <w:hideMark/>
          </w:tcPr>
          <w:p w14:paraId="75C89C3C"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 xml:space="preserve">Biochemická spotřeba kyslíku </w:t>
            </w:r>
          </w:p>
        </w:tc>
        <w:tc>
          <w:tcPr>
            <w:tcW w:w="1385" w:type="dxa"/>
            <w:vAlign w:val="center"/>
            <w:hideMark/>
          </w:tcPr>
          <w:p w14:paraId="2C1EB025"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PO</w:t>
            </w:r>
          </w:p>
        </w:tc>
        <w:tc>
          <w:tcPr>
            <w:tcW w:w="4084" w:type="dxa"/>
            <w:vAlign w:val="center"/>
            <w:hideMark/>
          </w:tcPr>
          <w:p w14:paraId="30584925"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Pražský okruh totožné s SOKP</w:t>
            </w:r>
          </w:p>
        </w:tc>
      </w:tr>
      <w:tr w:rsidR="00907C42" w:rsidRPr="006B3F59" w14:paraId="75044340" w14:textId="77777777" w:rsidTr="00BE4250">
        <w:trPr>
          <w:gridAfter w:val="1"/>
          <w:wAfter w:w="204" w:type="dxa"/>
          <w:trHeight w:val="225"/>
        </w:trPr>
        <w:tc>
          <w:tcPr>
            <w:tcW w:w="1021" w:type="dxa"/>
            <w:vAlign w:val="center"/>
            <w:hideMark/>
          </w:tcPr>
          <w:p w14:paraId="424EA81E"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CVZ</w:t>
            </w:r>
          </w:p>
        </w:tc>
        <w:tc>
          <w:tcPr>
            <w:tcW w:w="3520" w:type="dxa"/>
            <w:vAlign w:val="center"/>
            <w:hideMark/>
          </w:tcPr>
          <w:p w14:paraId="5E946528"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Celoměstsky významné změny</w:t>
            </w:r>
          </w:p>
        </w:tc>
        <w:tc>
          <w:tcPr>
            <w:tcW w:w="1385" w:type="dxa"/>
            <w:vAlign w:val="center"/>
            <w:hideMark/>
          </w:tcPr>
          <w:p w14:paraId="7DF99CB3"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 xml:space="preserve">PO </w:t>
            </w:r>
          </w:p>
        </w:tc>
        <w:tc>
          <w:tcPr>
            <w:tcW w:w="4084" w:type="dxa"/>
            <w:vAlign w:val="center"/>
            <w:hideMark/>
          </w:tcPr>
          <w:p w14:paraId="6BFD71D1"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Ptačí oblast</w:t>
            </w:r>
          </w:p>
        </w:tc>
      </w:tr>
      <w:tr w:rsidR="00907C42" w:rsidRPr="006B3F59" w14:paraId="470630EE" w14:textId="77777777" w:rsidTr="00BE4250">
        <w:trPr>
          <w:gridAfter w:val="1"/>
          <w:wAfter w:w="204" w:type="dxa"/>
          <w:trHeight w:val="225"/>
        </w:trPr>
        <w:tc>
          <w:tcPr>
            <w:tcW w:w="1021" w:type="dxa"/>
            <w:vAlign w:val="center"/>
            <w:hideMark/>
          </w:tcPr>
          <w:p w14:paraId="3F94F6D8"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CZT</w:t>
            </w:r>
          </w:p>
        </w:tc>
        <w:tc>
          <w:tcPr>
            <w:tcW w:w="3520" w:type="dxa"/>
            <w:vAlign w:val="center"/>
            <w:hideMark/>
          </w:tcPr>
          <w:p w14:paraId="50CE9B67"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Centrální zdroj tepla</w:t>
            </w:r>
          </w:p>
        </w:tc>
        <w:tc>
          <w:tcPr>
            <w:tcW w:w="1385" w:type="dxa"/>
            <w:vAlign w:val="center"/>
            <w:hideMark/>
          </w:tcPr>
          <w:p w14:paraId="212C9D94"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PP</w:t>
            </w:r>
          </w:p>
        </w:tc>
        <w:tc>
          <w:tcPr>
            <w:tcW w:w="4084" w:type="dxa"/>
            <w:vAlign w:val="center"/>
            <w:hideMark/>
          </w:tcPr>
          <w:p w14:paraId="47A60477"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Přírodní památka</w:t>
            </w:r>
          </w:p>
        </w:tc>
      </w:tr>
      <w:tr w:rsidR="00907C42" w:rsidRPr="006B3F59" w14:paraId="59EDFE5C" w14:textId="77777777" w:rsidTr="00BE4250">
        <w:trPr>
          <w:gridAfter w:val="1"/>
          <w:wAfter w:w="204" w:type="dxa"/>
          <w:trHeight w:val="225"/>
        </w:trPr>
        <w:tc>
          <w:tcPr>
            <w:tcW w:w="1021" w:type="dxa"/>
            <w:vAlign w:val="center"/>
            <w:hideMark/>
          </w:tcPr>
          <w:p w14:paraId="53900349"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ČIŽP</w:t>
            </w:r>
          </w:p>
        </w:tc>
        <w:tc>
          <w:tcPr>
            <w:tcW w:w="3520" w:type="dxa"/>
            <w:vAlign w:val="center"/>
            <w:hideMark/>
          </w:tcPr>
          <w:p w14:paraId="56DAE5C7"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Česká inspekce životního prostředí</w:t>
            </w:r>
          </w:p>
        </w:tc>
        <w:tc>
          <w:tcPr>
            <w:tcW w:w="1385" w:type="dxa"/>
            <w:vAlign w:val="center"/>
            <w:hideMark/>
          </w:tcPr>
          <w:p w14:paraId="26ADF077"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PřP</w:t>
            </w:r>
          </w:p>
        </w:tc>
        <w:tc>
          <w:tcPr>
            <w:tcW w:w="4084" w:type="dxa"/>
            <w:vAlign w:val="center"/>
            <w:hideMark/>
          </w:tcPr>
          <w:p w14:paraId="79EED1A7"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Přírodní park</w:t>
            </w:r>
          </w:p>
        </w:tc>
      </w:tr>
      <w:tr w:rsidR="00907C42" w:rsidRPr="006B3F59" w14:paraId="5CDDECB9" w14:textId="77777777" w:rsidTr="00BE4250">
        <w:trPr>
          <w:gridAfter w:val="1"/>
          <w:wAfter w:w="204" w:type="dxa"/>
          <w:trHeight w:val="225"/>
        </w:trPr>
        <w:tc>
          <w:tcPr>
            <w:tcW w:w="1021" w:type="dxa"/>
            <w:vAlign w:val="center"/>
            <w:hideMark/>
          </w:tcPr>
          <w:p w14:paraId="1A43F1A8"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ČOV</w:t>
            </w:r>
          </w:p>
        </w:tc>
        <w:tc>
          <w:tcPr>
            <w:tcW w:w="3520" w:type="dxa"/>
            <w:vAlign w:val="center"/>
            <w:hideMark/>
          </w:tcPr>
          <w:p w14:paraId="3B9A7287"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Čistírna odpadních vod</w:t>
            </w:r>
          </w:p>
        </w:tc>
        <w:tc>
          <w:tcPr>
            <w:tcW w:w="1385" w:type="dxa"/>
            <w:vAlign w:val="center"/>
            <w:hideMark/>
          </w:tcPr>
          <w:p w14:paraId="2F287D3C"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PR</w:t>
            </w:r>
          </w:p>
        </w:tc>
        <w:tc>
          <w:tcPr>
            <w:tcW w:w="4084" w:type="dxa"/>
            <w:vAlign w:val="center"/>
            <w:hideMark/>
          </w:tcPr>
          <w:p w14:paraId="3F59389E"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Přírodní rezervace</w:t>
            </w:r>
          </w:p>
        </w:tc>
      </w:tr>
      <w:tr w:rsidR="00907C42" w:rsidRPr="006B3F59" w14:paraId="671177A2" w14:textId="77777777" w:rsidTr="00BE4250">
        <w:trPr>
          <w:gridAfter w:val="1"/>
          <w:wAfter w:w="204" w:type="dxa"/>
          <w:trHeight w:val="225"/>
        </w:trPr>
        <w:tc>
          <w:tcPr>
            <w:tcW w:w="1021" w:type="dxa"/>
            <w:vAlign w:val="center"/>
            <w:hideMark/>
          </w:tcPr>
          <w:p w14:paraId="48CF618E"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ČR</w:t>
            </w:r>
          </w:p>
        </w:tc>
        <w:tc>
          <w:tcPr>
            <w:tcW w:w="3520" w:type="dxa"/>
            <w:vAlign w:val="center"/>
            <w:hideMark/>
          </w:tcPr>
          <w:p w14:paraId="56DE5116"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Česká republika</w:t>
            </w:r>
          </w:p>
        </w:tc>
        <w:tc>
          <w:tcPr>
            <w:tcW w:w="1385" w:type="dxa"/>
            <w:vAlign w:val="center"/>
            <w:hideMark/>
          </w:tcPr>
          <w:p w14:paraId="29D9A44B"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PRE</w:t>
            </w:r>
          </w:p>
        </w:tc>
        <w:tc>
          <w:tcPr>
            <w:tcW w:w="4084" w:type="dxa"/>
            <w:vAlign w:val="center"/>
            <w:hideMark/>
          </w:tcPr>
          <w:p w14:paraId="1D8088EC"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Pražská energetika</w:t>
            </w:r>
          </w:p>
        </w:tc>
      </w:tr>
      <w:tr w:rsidR="00907C42" w:rsidRPr="006B3F59" w14:paraId="45DD56F6" w14:textId="77777777" w:rsidTr="00BE4250">
        <w:trPr>
          <w:gridAfter w:val="1"/>
          <w:wAfter w:w="204" w:type="dxa"/>
          <w:trHeight w:val="225"/>
        </w:trPr>
        <w:tc>
          <w:tcPr>
            <w:tcW w:w="1021" w:type="dxa"/>
            <w:vAlign w:val="center"/>
          </w:tcPr>
          <w:p w14:paraId="24278102"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ČR 2030</w:t>
            </w:r>
          </w:p>
        </w:tc>
        <w:tc>
          <w:tcPr>
            <w:tcW w:w="3520" w:type="dxa"/>
            <w:vAlign w:val="center"/>
          </w:tcPr>
          <w:p w14:paraId="1A8CE692"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sz w:val="16"/>
                <w:szCs w:val="16"/>
              </w:rPr>
              <w:t>Strategický rámec – Česká republika 2030</w:t>
            </w:r>
          </w:p>
        </w:tc>
        <w:tc>
          <w:tcPr>
            <w:tcW w:w="1385" w:type="dxa"/>
            <w:vAlign w:val="center"/>
            <w:hideMark/>
          </w:tcPr>
          <w:p w14:paraId="2A763566"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PTS</w:t>
            </w:r>
          </w:p>
        </w:tc>
        <w:tc>
          <w:tcPr>
            <w:tcW w:w="4084" w:type="dxa"/>
            <w:vAlign w:val="center"/>
            <w:hideMark/>
          </w:tcPr>
          <w:p w14:paraId="13EB530A"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Pražská teplárenská soustava</w:t>
            </w:r>
          </w:p>
        </w:tc>
      </w:tr>
      <w:tr w:rsidR="00907C42" w:rsidRPr="006B3F59" w14:paraId="13B5F6DC" w14:textId="77777777" w:rsidTr="00BE4250">
        <w:trPr>
          <w:gridAfter w:val="1"/>
          <w:wAfter w:w="204" w:type="dxa"/>
          <w:trHeight w:val="225"/>
        </w:trPr>
        <w:tc>
          <w:tcPr>
            <w:tcW w:w="1021" w:type="dxa"/>
            <w:vAlign w:val="center"/>
            <w:hideMark/>
          </w:tcPr>
          <w:p w14:paraId="575DFB46"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ČSN</w:t>
            </w:r>
          </w:p>
        </w:tc>
        <w:tc>
          <w:tcPr>
            <w:tcW w:w="3520" w:type="dxa"/>
            <w:vAlign w:val="center"/>
            <w:hideMark/>
          </w:tcPr>
          <w:p w14:paraId="4B7D9973"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Česká technická norma</w:t>
            </w:r>
          </w:p>
        </w:tc>
        <w:tc>
          <w:tcPr>
            <w:tcW w:w="1385" w:type="dxa"/>
            <w:vAlign w:val="center"/>
            <w:hideMark/>
          </w:tcPr>
          <w:p w14:paraId="2C74B5A2"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PUPFL</w:t>
            </w:r>
          </w:p>
        </w:tc>
        <w:tc>
          <w:tcPr>
            <w:tcW w:w="4084" w:type="dxa"/>
            <w:vAlign w:val="center"/>
            <w:hideMark/>
          </w:tcPr>
          <w:p w14:paraId="1468CE10"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Pozemky určené k plnění funkce lesa</w:t>
            </w:r>
          </w:p>
        </w:tc>
      </w:tr>
      <w:tr w:rsidR="00907C42" w:rsidRPr="006B3F59" w14:paraId="37293A10" w14:textId="77777777" w:rsidTr="00BE4250">
        <w:trPr>
          <w:trHeight w:val="225"/>
        </w:trPr>
        <w:tc>
          <w:tcPr>
            <w:tcW w:w="1021" w:type="dxa"/>
            <w:vAlign w:val="center"/>
          </w:tcPr>
          <w:p w14:paraId="46CC0E7E"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ČSÚ</w:t>
            </w:r>
          </w:p>
        </w:tc>
        <w:tc>
          <w:tcPr>
            <w:tcW w:w="3520" w:type="dxa"/>
            <w:vAlign w:val="center"/>
          </w:tcPr>
          <w:p w14:paraId="1D54D6EF"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Český statistický úřad</w:t>
            </w:r>
          </w:p>
        </w:tc>
        <w:tc>
          <w:tcPr>
            <w:tcW w:w="1385" w:type="dxa"/>
            <w:vAlign w:val="center"/>
          </w:tcPr>
          <w:p w14:paraId="5AC65C86"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PÚR</w:t>
            </w:r>
          </w:p>
        </w:tc>
        <w:tc>
          <w:tcPr>
            <w:tcW w:w="4288" w:type="dxa"/>
            <w:gridSpan w:val="2"/>
            <w:vAlign w:val="center"/>
          </w:tcPr>
          <w:p w14:paraId="06D86862"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Politika územního rozvoje ČR</w:t>
            </w:r>
          </w:p>
        </w:tc>
      </w:tr>
      <w:tr w:rsidR="00907C42" w:rsidRPr="006B3F59" w14:paraId="1597CBD0" w14:textId="77777777" w:rsidTr="00BE4250">
        <w:trPr>
          <w:gridAfter w:val="1"/>
          <w:wAfter w:w="204" w:type="dxa"/>
          <w:trHeight w:val="225"/>
        </w:trPr>
        <w:tc>
          <w:tcPr>
            <w:tcW w:w="1021" w:type="dxa"/>
            <w:vAlign w:val="center"/>
            <w:hideMark/>
          </w:tcPr>
          <w:p w14:paraId="43A55613"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CSZ</w:t>
            </w:r>
          </w:p>
        </w:tc>
        <w:tc>
          <w:tcPr>
            <w:tcW w:w="3520" w:type="dxa"/>
            <w:vAlign w:val="center"/>
            <w:hideMark/>
          </w:tcPr>
          <w:p w14:paraId="38E3DDB6"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Celoměstský systém zeleně</w:t>
            </w:r>
          </w:p>
        </w:tc>
        <w:tc>
          <w:tcPr>
            <w:tcW w:w="1385" w:type="dxa"/>
            <w:vAlign w:val="center"/>
            <w:hideMark/>
          </w:tcPr>
          <w:p w14:paraId="18BD5B8C"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REZZO</w:t>
            </w:r>
          </w:p>
        </w:tc>
        <w:tc>
          <w:tcPr>
            <w:tcW w:w="4084" w:type="dxa"/>
            <w:vAlign w:val="center"/>
            <w:hideMark/>
          </w:tcPr>
          <w:p w14:paraId="336DC7D3"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Registr emisí a zdrojů znečištění ovzduší</w:t>
            </w:r>
          </w:p>
        </w:tc>
      </w:tr>
      <w:tr w:rsidR="00907C42" w:rsidRPr="006B3F59" w14:paraId="106A5B24" w14:textId="77777777" w:rsidTr="00BE4250">
        <w:trPr>
          <w:gridAfter w:val="1"/>
          <w:wAfter w:w="204" w:type="dxa"/>
          <w:trHeight w:val="225"/>
        </w:trPr>
        <w:tc>
          <w:tcPr>
            <w:tcW w:w="1021" w:type="dxa"/>
            <w:vAlign w:val="center"/>
            <w:hideMark/>
          </w:tcPr>
          <w:p w14:paraId="7B729C16"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DOSS</w:t>
            </w:r>
          </w:p>
        </w:tc>
        <w:tc>
          <w:tcPr>
            <w:tcW w:w="3520" w:type="dxa"/>
            <w:vAlign w:val="center"/>
            <w:hideMark/>
          </w:tcPr>
          <w:p w14:paraId="76DAFAAA"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Dotčené orgány státní správy</w:t>
            </w:r>
          </w:p>
        </w:tc>
        <w:tc>
          <w:tcPr>
            <w:tcW w:w="1385" w:type="dxa"/>
            <w:vAlign w:val="center"/>
            <w:hideMark/>
          </w:tcPr>
          <w:p w14:paraId="49CF4391"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RS</w:t>
            </w:r>
          </w:p>
        </w:tc>
        <w:tc>
          <w:tcPr>
            <w:tcW w:w="4084" w:type="dxa"/>
            <w:vAlign w:val="center"/>
            <w:hideMark/>
          </w:tcPr>
          <w:p w14:paraId="2F5FFC9A"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Rychlá spojení</w:t>
            </w:r>
          </w:p>
        </w:tc>
      </w:tr>
      <w:tr w:rsidR="00907C42" w:rsidRPr="006B3F59" w14:paraId="659E4B39" w14:textId="77777777" w:rsidTr="00BE4250">
        <w:trPr>
          <w:gridAfter w:val="1"/>
          <w:wAfter w:w="204" w:type="dxa"/>
          <w:trHeight w:val="225"/>
        </w:trPr>
        <w:tc>
          <w:tcPr>
            <w:tcW w:w="1021" w:type="dxa"/>
            <w:vAlign w:val="center"/>
            <w:hideMark/>
          </w:tcPr>
          <w:p w14:paraId="5B373A96"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DÚR</w:t>
            </w:r>
          </w:p>
        </w:tc>
        <w:tc>
          <w:tcPr>
            <w:tcW w:w="3520" w:type="dxa"/>
            <w:vAlign w:val="center"/>
            <w:hideMark/>
          </w:tcPr>
          <w:p w14:paraId="70CF6368"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Dokumentace pro územní řízení</w:t>
            </w:r>
          </w:p>
        </w:tc>
        <w:tc>
          <w:tcPr>
            <w:tcW w:w="1385" w:type="dxa"/>
            <w:vAlign w:val="center"/>
          </w:tcPr>
          <w:p w14:paraId="5F258198"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RURÚ</w:t>
            </w:r>
          </w:p>
        </w:tc>
        <w:tc>
          <w:tcPr>
            <w:tcW w:w="4084" w:type="dxa"/>
            <w:vAlign w:val="center"/>
          </w:tcPr>
          <w:p w14:paraId="3CE984F4"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Rozbor udržitelného rozvoje území</w:t>
            </w:r>
          </w:p>
        </w:tc>
      </w:tr>
      <w:tr w:rsidR="00907C42" w:rsidRPr="006B3F59" w14:paraId="024C95ED" w14:textId="77777777" w:rsidTr="00BE4250">
        <w:trPr>
          <w:gridAfter w:val="1"/>
          <w:wAfter w:w="204" w:type="dxa"/>
          <w:trHeight w:val="450"/>
        </w:trPr>
        <w:tc>
          <w:tcPr>
            <w:tcW w:w="1021" w:type="dxa"/>
            <w:vAlign w:val="center"/>
            <w:hideMark/>
          </w:tcPr>
          <w:p w14:paraId="04B8A799"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EIA</w:t>
            </w:r>
          </w:p>
        </w:tc>
        <w:tc>
          <w:tcPr>
            <w:tcW w:w="3520" w:type="dxa"/>
            <w:vAlign w:val="center"/>
            <w:hideMark/>
          </w:tcPr>
          <w:p w14:paraId="3B023C8C"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Posuzování vlivů na životní prostředí na úrovni záměru</w:t>
            </w:r>
          </w:p>
        </w:tc>
        <w:tc>
          <w:tcPr>
            <w:tcW w:w="1385" w:type="dxa"/>
            <w:vAlign w:val="center"/>
          </w:tcPr>
          <w:p w14:paraId="5FD9A7E4"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SEA</w:t>
            </w:r>
          </w:p>
        </w:tc>
        <w:tc>
          <w:tcPr>
            <w:tcW w:w="4084" w:type="dxa"/>
            <w:vAlign w:val="center"/>
          </w:tcPr>
          <w:p w14:paraId="3C0AB849"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Strategické posuzování vlivů na životní prostředí na úrovni plánů a programů</w:t>
            </w:r>
          </w:p>
        </w:tc>
      </w:tr>
      <w:tr w:rsidR="00907C42" w:rsidRPr="006B3F59" w14:paraId="48336E24" w14:textId="77777777" w:rsidTr="00BE4250">
        <w:trPr>
          <w:gridAfter w:val="1"/>
          <w:wAfter w:w="204" w:type="dxa"/>
          <w:trHeight w:val="450"/>
        </w:trPr>
        <w:tc>
          <w:tcPr>
            <w:tcW w:w="1021" w:type="dxa"/>
            <w:vAlign w:val="center"/>
            <w:hideMark/>
          </w:tcPr>
          <w:p w14:paraId="4F204A90"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EVL</w:t>
            </w:r>
          </w:p>
        </w:tc>
        <w:tc>
          <w:tcPr>
            <w:tcW w:w="3520" w:type="dxa"/>
            <w:vAlign w:val="center"/>
            <w:hideMark/>
          </w:tcPr>
          <w:p w14:paraId="24D94943"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Evropsky významná lokalita</w:t>
            </w:r>
          </w:p>
        </w:tc>
        <w:tc>
          <w:tcPr>
            <w:tcW w:w="1385" w:type="dxa"/>
            <w:vAlign w:val="center"/>
          </w:tcPr>
          <w:p w14:paraId="3EDC5CBE"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SOKP</w:t>
            </w:r>
          </w:p>
        </w:tc>
        <w:tc>
          <w:tcPr>
            <w:tcW w:w="4084" w:type="dxa"/>
            <w:noWrap/>
            <w:vAlign w:val="center"/>
          </w:tcPr>
          <w:p w14:paraId="26DEB0DA"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Silniční okruh kolem Prahy (totožné s PO)</w:t>
            </w:r>
          </w:p>
        </w:tc>
      </w:tr>
      <w:tr w:rsidR="00907C42" w:rsidRPr="006B3F59" w14:paraId="3D9648D6" w14:textId="77777777" w:rsidTr="00BE4250">
        <w:trPr>
          <w:gridAfter w:val="1"/>
          <w:wAfter w:w="204" w:type="dxa"/>
          <w:trHeight w:val="225"/>
        </w:trPr>
        <w:tc>
          <w:tcPr>
            <w:tcW w:w="1021" w:type="dxa"/>
            <w:vAlign w:val="center"/>
            <w:hideMark/>
          </w:tcPr>
          <w:p w14:paraId="781537D6"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FN</w:t>
            </w:r>
          </w:p>
        </w:tc>
        <w:tc>
          <w:tcPr>
            <w:tcW w:w="3520" w:type="dxa"/>
            <w:vAlign w:val="center"/>
            <w:hideMark/>
          </w:tcPr>
          <w:p w14:paraId="610C07FF"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Fakultní nemocnice</w:t>
            </w:r>
          </w:p>
        </w:tc>
        <w:tc>
          <w:tcPr>
            <w:tcW w:w="1385" w:type="dxa"/>
            <w:vAlign w:val="center"/>
          </w:tcPr>
          <w:p w14:paraId="259BBA33"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SPŽP</w:t>
            </w:r>
          </w:p>
        </w:tc>
        <w:tc>
          <w:tcPr>
            <w:tcW w:w="4084" w:type="dxa"/>
            <w:vAlign w:val="center"/>
          </w:tcPr>
          <w:p w14:paraId="6242F3F7"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Státní politika životního prostředí</w:t>
            </w:r>
          </w:p>
        </w:tc>
      </w:tr>
      <w:tr w:rsidR="00907C42" w:rsidRPr="006B3F59" w14:paraId="72C986E2" w14:textId="77777777" w:rsidTr="00BE4250">
        <w:trPr>
          <w:gridAfter w:val="1"/>
          <w:wAfter w:w="204" w:type="dxa"/>
          <w:trHeight w:val="225"/>
        </w:trPr>
        <w:tc>
          <w:tcPr>
            <w:tcW w:w="1021" w:type="dxa"/>
            <w:vAlign w:val="center"/>
            <w:hideMark/>
          </w:tcPr>
          <w:p w14:paraId="4975081E"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GIS</w:t>
            </w:r>
          </w:p>
        </w:tc>
        <w:tc>
          <w:tcPr>
            <w:tcW w:w="3520" w:type="dxa"/>
            <w:vAlign w:val="center"/>
            <w:hideMark/>
          </w:tcPr>
          <w:p w14:paraId="29C54097"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Geografický informační systém</w:t>
            </w:r>
          </w:p>
        </w:tc>
        <w:tc>
          <w:tcPr>
            <w:tcW w:w="1385" w:type="dxa"/>
            <w:vAlign w:val="center"/>
          </w:tcPr>
          <w:p w14:paraId="0F4BA498"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STL</w:t>
            </w:r>
          </w:p>
        </w:tc>
        <w:tc>
          <w:tcPr>
            <w:tcW w:w="4084" w:type="dxa"/>
            <w:vAlign w:val="center"/>
          </w:tcPr>
          <w:p w14:paraId="63F6167C"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Střednětlaké zařízení</w:t>
            </w:r>
          </w:p>
        </w:tc>
      </w:tr>
      <w:tr w:rsidR="00907C42" w:rsidRPr="006B3F59" w14:paraId="58FF77E5" w14:textId="77777777" w:rsidTr="00BE4250">
        <w:trPr>
          <w:gridAfter w:val="1"/>
          <w:wAfter w:w="204" w:type="dxa"/>
          <w:trHeight w:val="225"/>
        </w:trPr>
        <w:tc>
          <w:tcPr>
            <w:tcW w:w="1021" w:type="dxa"/>
            <w:vAlign w:val="center"/>
            <w:hideMark/>
          </w:tcPr>
          <w:p w14:paraId="38488543"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HDP</w:t>
            </w:r>
          </w:p>
        </w:tc>
        <w:tc>
          <w:tcPr>
            <w:tcW w:w="3520" w:type="dxa"/>
            <w:vAlign w:val="center"/>
            <w:hideMark/>
          </w:tcPr>
          <w:p w14:paraId="512D2A3D"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Hrubý domácí produkt</w:t>
            </w:r>
          </w:p>
        </w:tc>
        <w:tc>
          <w:tcPr>
            <w:tcW w:w="1385" w:type="dxa"/>
            <w:vAlign w:val="center"/>
          </w:tcPr>
          <w:p w14:paraId="4CBA4A44"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SÚ</w:t>
            </w:r>
          </w:p>
        </w:tc>
        <w:tc>
          <w:tcPr>
            <w:tcW w:w="4084" w:type="dxa"/>
            <w:vAlign w:val="center"/>
          </w:tcPr>
          <w:p w14:paraId="21BFDFF5"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Sídelní útvar</w:t>
            </w:r>
          </w:p>
        </w:tc>
      </w:tr>
      <w:tr w:rsidR="00907C42" w:rsidRPr="006B3F59" w14:paraId="4A5AF805" w14:textId="77777777" w:rsidTr="00BE4250">
        <w:trPr>
          <w:gridAfter w:val="1"/>
          <w:wAfter w:w="204" w:type="dxa"/>
          <w:trHeight w:val="225"/>
        </w:trPr>
        <w:tc>
          <w:tcPr>
            <w:tcW w:w="1021" w:type="dxa"/>
            <w:vAlign w:val="center"/>
            <w:hideMark/>
          </w:tcPr>
          <w:p w14:paraId="5BA76761"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HEIS</w:t>
            </w:r>
          </w:p>
        </w:tc>
        <w:tc>
          <w:tcPr>
            <w:tcW w:w="3520" w:type="dxa"/>
            <w:vAlign w:val="center"/>
            <w:hideMark/>
          </w:tcPr>
          <w:p w14:paraId="4035D040"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Hydroekologický informační systém</w:t>
            </w:r>
          </w:p>
        </w:tc>
        <w:tc>
          <w:tcPr>
            <w:tcW w:w="1385" w:type="dxa"/>
            <w:vAlign w:val="center"/>
          </w:tcPr>
          <w:p w14:paraId="6B83032F"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SZ</w:t>
            </w:r>
          </w:p>
        </w:tc>
        <w:tc>
          <w:tcPr>
            <w:tcW w:w="4084" w:type="dxa"/>
            <w:vAlign w:val="center"/>
          </w:tcPr>
          <w:p w14:paraId="1C1E1D69"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Stavební zákon</w:t>
            </w:r>
          </w:p>
        </w:tc>
      </w:tr>
      <w:tr w:rsidR="00907C42" w:rsidRPr="006B3F59" w14:paraId="1A08CCF4" w14:textId="77777777" w:rsidTr="00BE4250">
        <w:trPr>
          <w:gridAfter w:val="1"/>
          <w:wAfter w:w="204" w:type="dxa"/>
          <w:trHeight w:val="225"/>
        </w:trPr>
        <w:tc>
          <w:tcPr>
            <w:tcW w:w="1021" w:type="dxa"/>
            <w:vAlign w:val="center"/>
            <w:hideMark/>
          </w:tcPr>
          <w:p w14:paraId="1EE9BE78"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HLMP/HlmP</w:t>
            </w:r>
          </w:p>
        </w:tc>
        <w:tc>
          <w:tcPr>
            <w:tcW w:w="3520" w:type="dxa"/>
            <w:vAlign w:val="center"/>
            <w:hideMark/>
          </w:tcPr>
          <w:p w14:paraId="083CD598"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Hlavní město Praha</w:t>
            </w:r>
          </w:p>
        </w:tc>
        <w:tc>
          <w:tcPr>
            <w:tcW w:w="1385" w:type="dxa"/>
            <w:vAlign w:val="center"/>
          </w:tcPr>
          <w:p w14:paraId="20DACD16"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SZÚ</w:t>
            </w:r>
          </w:p>
        </w:tc>
        <w:tc>
          <w:tcPr>
            <w:tcW w:w="4084" w:type="dxa"/>
            <w:vAlign w:val="center"/>
          </w:tcPr>
          <w:p w14:paraId="04FA868F"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Státní zdravotní ústav</w:t>
            </w:r>
          </w:p>
        </w:tc>
      </w:tr>
      <w:tr w:rsidR="00907C42" w:rsidRPr="006B3F59" w14:paraId="43C248DF" w14:textId="77777777" w:rsidTr="00BE4250">
        <w:trPr>
          <w:gridAfter w:val="1"/>
          <w:wAfter w:w="204" w:type="dxa"/>
          <w:trHeight w:val="225"/>
        </w:trPr>
        <w:tc>
          <w:tcPr>
            <w:tcW w:w="1021" w:type="dxa"/>
            <w:vAlign w:val="center"/>
            <w:hideMark/>
          </w:tcPr>
          <w:p w14:paraId="5EAB7E89"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HMP</w:t>
            </w:r>
          </w:p>
        </w:tc>
        <w:tc>
          <w:tcPr>
            <w:tcW w:w="3520" w:type="dxa"/>
            <w:vAlign w:val="center"/>
            <w:hideMark/>
          </w:tcPr>
          <w:p w14:paraId="74223C10"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Hlavní město Praha</w:t>
            </w:r>
          </w:p>
        </w:tc>
        <w:tc>
          <w:tcPr>
            <w:tcW w:w="1385" w:type="dxa"/>
            <w:vAlign w:val="center"/>
          </w:tcPr>
          <w:p w14:paraId="60671A09"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SŽDC</w:t>
            </w:r>
          </w:p>
        </w:tc>
        <w:tc>
          <w:tcPr>
            <w:tcW w:w="4084" w:type="dxa"/>
            <w:vAlign w:val="center"/>
          </w:tcPr>
          <w:p w14:paraId="6E5EBE95"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Správa železničních dopravních cest</w:t>
            </w:r>
          </w:p>
        </w:tc>
      </w:tr>
      <w:tr w:rsidR="00907C42" w:rsidRPr="006B3F59" w14:paraId="7594CB3B" w14:textId="77777777" w:rsidTr="00BE4250">
        <w:trPr>
          <w:gridAfter w:val="1"/>
          <w:wAfter w:w="204" w:type="dxa"/>
          <w:trHeight w:val="225"/>
        </w:trPr>
        <w:tc>
          <w:tcPr>
            <w:tcW w:w="1021" w:type="dxa"/>
            <w:vAlign w:val="center"/>
            <w:hideMark/>
          </w:tcPr>
          <w:p w14:paraId="0F727ED6"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HPJ</w:t>
            </w:r>
          </w:p>
        </w:tc>
        <w:tc>
          <w:tcPr>
            <w:tcW w:w="3520" w:type="dxa"/>
            <w:noWrap/>
            <w:vAlign w:val="center"/>
            <w:hideMark/>
          </w:tcPr>
          <w:p w14:paraId="367899D4"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Hlavní půdní jednotka</w:t>
            </w:r>
          </w:p>
        </w:tc>
        <w:tc>
          <w:tcPr>
            <w:tcW w:w="1385" w:type="dxa"/>
            <w:vAlign w:val="center"/>
          </w:tcPr>
          <w:p w14:paraId="4BB23BCC"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TT</w:t>
            </w:r>
          </w:p>
        </w:tc>
        <w:tc>
          <w:tcPr>
            <w:tcW w:w="4084" w:type="dxa"/>
            <w:vAlign w:val="center"/>
          </w:tcPr>
          <w:p w14:paraId="0FACDC86"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Tramvajová trať</w:t>
            </w:r>
          </w:p>
        </w:tc>
      </w:tr>
      <w:tr w:rsidR="00907C42" w:rsidRPr="006B3F59" w14:paraId="29253DA0" w14:textId="77777777" w:rsidTr="00BE4250">
        <w:trPr>
          <w:gridAfter w:val="1"/>
          <w:wAfter w:w="204" w:type="dxa"/>
          <w:trHeight w:val="225"/>
        </w:trPr>
        <w:tc>
          <w:tcPr>
            <w:tcW w:w="1021" w:type="dxa"/>
            <w:vAlign w:val="center"/>
            <w:hideMark/>
          </w:tcPr>
          <w:p w14:paraId="68458C5E"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CHKO</w:t>
            </w:r>
          </w:p>
        </w:tc>
        <w:tc>
          <w:tcPr>
            <w:tcW w:w="3520" w:type="dxa"/>
            <w:vAlign w:val="center"/>
            <w:hideMark/>
          </w:tcPr>
          <w:p w14:paraId="4F26EEC1"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Chráněná krajinná oblast</w:t>
            </w:r>
          </w:p>
        </w:tc>
        <w:tc>
          <w:tcPr>
            <w:tcW w:w="1385" w:type="dxa"/>
            <w:vAlign w:val="center"/>
          </w:tcPr>
          <w:p w14:paraId="23A23E94"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TZL</w:t>
            </w:r>
          </w:p>
        </w:tc>
        <w:tc>
          <w:tcPr>
            <w:tcW w:w="4084" w:type="dxa"/>
            <w:vAlign w:val="center"/>
          </w:tcPr>
          <w:p w14:paraId="22476CCA"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Tuhé znečišťující látky</w:t>
            </w:r>
          </w:p>
        </w:tc>
      </w:tr>
      <w:tr w:rsidR="00907C42" w:rsidRPr="006B3F59" w14:paraId="27E408BB" w14:textId="77777777" w:rsidTr="00BE4250">
        <w:trPr>
          <w:gridAfter w:val="1"/>
          <w:wAfter w:w="204" w:type="dxa"/>
          <w:trHeight w:val="225"/>
        </w:trPr>
        <w:tc>
          <w:tcPr>
            <w:tcW w:w="1021" w:type="dxa"/>
            <w:vAlign w:val="center"/>
            <w:hideMark/>
          </w:tcPr>
          <w:p w14:paraId="14B9FE77"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CHMÚ</w:t>
            </w:r>
          </w:p>
        </w:tc>
        <w:tc>
          <w:tcPr>
            <w:tcW w:w="3520" w:type="dxa"/>
            <w:vAlign w:val="center"/>
            <w:hideMark/>
          </w:tcPr>
          <w:p w14:paraId="3E63DED1"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Český hydrometeorologický ústav</w:t>
            </w:r>
          </w:p>
        </w:tc>
        <w:tc>
          <w:tcPr>
            <w:tcW w:w="1385" w:type="dxa"/>
            <w:vAlign w:val="center"/>
          </w:tcPr>
          <w:p w14:paraId="1867CBA0"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ÚAP</w:t>
            </w:r>
          </w:p>
        </w:tc>
        <w:tc>
          <w:tcPr>
            <w:tcW w:w="4084" w:type="dxa"/>
            <w:vAlign w:val="center"/>
          </w:tcPr>
          <w:p w14:paraId="60FB687A"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Územně analytické podklady</w:t>
            </w:r>
          </w:p>
        </w:tc>
      </w:tr>
      <w:tr w:rsidR="00907C42" w:rsidRPr="006B3F59" w14:paraId="0D70E4AF" w14:textId="77777777" w:rsidTr="00BE4250">
        <w:trPr>
          <w:gridAfter w:val="1"/>
          <w:wAfter w:w="204" w:type="dxa"/>
          <w:trHeight w:val="225"/>
        </w:trPr>
        <w:tc>
          <w:tcPr>
            <w:tcW w:w="1021" w:type="dxa"/>
            <w:vAlign w:val="center"/>
            <w:hideMark/>
          </w:tcPr>
          <w:p w14:paraId="722FC3CC"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CHOPAV</w:t>
            </w:r>
          </w:p>
        </w:tc>
        <w:tc>
          <w:tcPr>
            <w:tcW w:w="3520" w:type="dxa"/>
            <w:vAlign w:val="center"/>
            <w:hideMark/>
          </w:tcPr>
          <w:p w14:paraId="2D776F75"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Chráněné oblast přirozené akumulace vod</w:t>
            </w:r>
          </w:p>
        </w:tc>
        <w:tc>
          <w:tcPr>
            <w:tcW w:w="1385" w:type="dxa"/>
            <w:vAlign w:val="center"/>
          </w:tcPr>
          <w:p w14:paraId="59FBA934"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UNESCO</w:t>
            </w:r>
          </w:p>
        </w:tc>
        <w:tc>
          <w:tcPr>
            <w:tcW w:w="4084" w:type="dxa"/>
            <w:vAlign w:val="center"/>
          </w:tcPr>
          <w:p w14:paraId="26971798"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Organizace OSN pro výchovu, vědu a kulturu</w:t>
            </w:r>
          </w:p>
        </w:tc>
      </w:tr>
      <w:tr w:rsidR="00907C42" w:rsidRPr="006B3F59" w14:paraId="2CA0C815" w14:textId="77777777" w:rsidTr="00BE4250">
        <w:trPr>
          <w:gridAfter w:val="1"/>
          <w:wAfter w:w="204" w:type="dxa"/>
          <w:trHeight w:val="225"/>
        </w:trPr>
        <w:tc>
          <w:tcPr>
            <w:tcW w:w="1021" w:type="dxa"/>
            <w:vAlign w:val="center"/>
            <w:hideMark/>
          </w:tcPr>
          <w:p w14:paraId="3F01C579"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CHSK</w:t>
            </w:r>
          </w:p>
        </w:tc>
        <w:tc>
          <w:tcPr>
            <w:tcW w:w="3520" w:type="dxa"/>
            <w:vAlign w:val="center"/>
            <w:hideMark/>
          </w:tcPr>
          <w:p w14:paraId="420179C4"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Chemická spotřeba kyslíku</w:t>
            </w:r>
          </w:p>
        </w:tc>
        <w:tc>
          <w:tcPr>
            <w:tcW w:w="1385" w:type="dxa"/>
            <w:vAlign w:val="center"/>
          </w:tcPr>
          <w:p w14:paraId="4DA920A1"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ÚP</w:t>
            </w:r>
          </w:p>
        </w:tc>
        <w:tc>
          <w:tcPr>
            <w:tcW w:w="4084" w:type="dxa"/>
            <w:vAlign w:val="center"/>
          </w:tcPr>
          <w:p w14:paraId="6C55A4D1"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Územní plán</w:t>
            </w:r>
          </w:p>
        </w:tc>
      </w:tr>
      <w:tr w:rsidR="00907C42" w:rsidRPr="006B3F59" w14:paraId="47D21ECF" w14:textId="77777777" w:rsidTr="00BE4250">
        <w:trPr>
          <w:gridAfter w:val="1"/>
          <w:wAfter w:w="204" w:type="dxa"/>
          <w:trHeight w:val="225"/>
        </w:trPr>
        <w:tc>
          <w:tcPr>
            <w:tcW w:w="1021" w:type="dxa"/>
            <w:vAlign w:val="center"/>
            <w:hideMark/>
          </w:tcPr>
          <w:p w14:paraId="2F28A5AC"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IAD</w:t>
            </w:r>
          </w:p>
        </w:tc>
        <w:tc>
          <w:tcPr>
            <w:tcW w:w="3520" w:type="dxa"/>
            <w:vAlign w:val="center"/>
            <w:hideMark/>
          </w:tcPr>
          <w:p w14:paraId="45687B5F"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Individuální automobilová doprava</w:t>
            </w:r>
          </w:p>
        </w:tc>
        <w:tc>
          <w:tcPr>
            <w:tcW w:w="1385" w:type="dxa"/>
            <w:vAlign w:val="center"/>
          </w:tcPr>
          <w:p w14:paraId="5451B4B7"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ÚP SÚ</w:t>
            </w:r>
          </w:p>
        </w:tc>
        <w:tc>
          <w:tcPr>
            <w:tcW w:w="4084" w:type="dxa"/>
            <w:vAlign w:val="center"/>
          </w:tcPr>
          <w:p w14:paraId="5D8EBC13"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Územní plán sídelního útvaru</w:t>
            </w:r>
          </w:p>
        </w:tc>
      </w:tr>
      <w:tr w:rsidR="00907C42" w:rsidRPr="006B3F59" w14:paraId="7FF42EDB" w14:textId="77777777" w:rsidTr="00BE4250">
        <w:trPr>
          <w:gridAfter w:val="1"/>
          <w:wAfter w:w="204" w:type="dxa"/>
          <w:trHeight w:val="225"/>
        </w:trPr>
        <w:tc>
          <w:tcPr>
            <w:tcW w:w="1021" w:type="dxa"/>
            <w:vAlign w:val="center"/>
          </w:tcPr>
          <w:p w14:paraId="62F4D958"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IS</w:t>
            </w:r>
          </w:p>
        </w:tc>
        <w:tc>
          <w:tcPr>
            <w:tcW w:w="3520" w:type="dxa"/>
            <w:noWrap/>
            <w:vAlign w:val="center"/>
          </w:tcPr>
          <w:p w14:paraId="6642DF41"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Informační systém</w:t>
            </w:r>
          </w:p>
        </w:tc>
        <w:tc>
          <w:tcPr>
            <w:tcW w:w="1385" w:type="dxa"/>
            <w:vAlign w:val="center"/>
          </w:tcPr>
          <w:p w14:paraId="2E7BBC19"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ÚPD</w:t>
            </w:r>
          </w:p>
        </w:tc>
        <w:tc>
          <w:tcPr>
            <w:tcW w:w="4084" w:type="dxa"/>
            <w:vAlign w:val="center"/>
          </w:tcPr>
          <w:p w14:paraId="5BEBCBBE"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Územně plánovací dokumentace</w:t>
            </w:r>
          </w:p>
        </w:tc>
      </w:tr>
      <w:tr w:rsidR="00907C42" w:rsidRPr="006B3F59" w14:paraId="46883F99" w14:textId="77777777" w:rsidTr="00BE4250">
        <w:trPr>
          <w:gridAfter w:val="1"/>
          <w:wAfter w:w="204" w:type="dxa"/>
          <w:trHeight w:val="225"/>
        </w:trPr>
        <w:tc>
          <w:tcPr>
            <w:tcW w:w="1021" w:type="dxa"/>
            <w:vAlign w:val="center"/>
            <w:hideMark/>
          </w:tcPr>
          <w:p w14:paraId="55B68AE8"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KHS</w:t>
            </w:r>
          </w:p>
        </w:tc>
        <w:tc>
          <w:tcPr>
            <w:tcW w:w="3520" w:type="dxa"/>
            <w:noWrap/>
            <w:vAlign w:val="center"/>
            <w:hideMark/>
          </w:tcPr>
          <w:p w14:paraId="56FBD027"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Krajská hygienická stanice</w:t>
            </w:r>
          </w:p>
        </w:tc>
        <w:tc>
          <w:tcPr>
            <w:tcW w:w="1385" w:type="dxa"/>
            <w:vAlign w:val="center"/>
          </w:tcPr>
          <w:p w14:paraId="156D5B43"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ÚSES</w:t>
            </w:r>
          </w:p>
        </w:tc>
        <w:tc>
          <w:tcPr>
            <w:tcW w:w="4084" w:type="dxa"/>
            <w:vAlign w:val="center"/>
          </w:tcPr>
          <w:p w14:paraId="1F52CCD1"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Územní systém ekologické stability</w:t>
            </w:r>
          </w:p>
        </w:tc>
      </w:tr>
      <w:tr w:rsidR="00907C42" w:rsidRPr="006B3F59" w14:paraId="75E7D8A7" w14:textId="77777777" w:rsidTr="00BE4250">
        <w:trPr>
          <w:gridAfter w:val="1"/>
          <w:wAfter w:w="204" w:type="dxa"/>
          <w:trHeight w:val="225"/>
        </w:trPr>
        <w:tc>
          <w:tcPr>
            <w:tcW w:w="1021" w:type="dxa"/>
            <w:vAlign w:val="center"/>
            <w:hideMark/>
          </w:tcPr>
          <w:p w14:paraId="73FCA9F8"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KN</w:t>
            </w:r>
          </w:p>
        </w:tc>
        <w:tc>
          <w:tcPr>
            <w:tcW w:w="3520" w:type="dxa"/>
            <w:vAlign w:val="center"/>
            <w:hideMark/>
          </w:tcPr>
          <w:p w14:paraId="3F1183AF"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Katastr nemovitostí</w:t>
            </w:r>
          </w:p>
        </w:tc>
        <w:tc>
          <w:tcPr>
            <w:tcW w:w="1385" w:type="dxa"/>
            <w:vAlign w:val="center"/>
          </w:tcPr>
          <w:p w14:paraId="1DF59C54"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ÚTP</w:t>
            </w:r>
          </w:p>
        </w:tc>
        <w:tc>
          <w:tcPr>
            <w:tcW w:w="4084" w:type="dxa"/>
            <w:vAlign w:val="center"/>
          </w:tcPr>
          <w:p w14:paraId="727B0E7D"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Územně technický podklad</w:t>
            </w:r>
          </w:p>
        </w:tc>
      </w:tr>
      <w:tr w:rsidR="00907C42" w:rsidRPr="006B3F59" w14:paraId="381813A1" w14:textId="77777777" w:rsidTr="00BE4250">
        <w:trPr>
          <w:gridAfter w:val="1"/>
          <w:wAfter w:w="204" w:type="dxa"/>
          <w:trHeight w:val="225"/>
        </w:trPr>
        <w:tc>
          <w:tcPr>
            <w:tcW w:w="1021" w:type="dxa"/>
            <w:vAlign w:val="center"/>
            <w:hideMark/>
          </w:tcPr>
          <w:p w14:paraId="5A6F79A0"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LBC</w:t>
            </w:r>
          </w:p>
        </w:tc>
        <w:tc>
          <w:tcPr>
            <w:tcW w:w="3520" w:type="dxa"/>
            <w:vAlign w:val="center"/>
            <w:hideMark/>
          </w:tcPr>
          <w:p w14:paraId="0199CBD1"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Lokální biocentrum</w:t>
            </w:r>
          </w:p>
        </w:tc>
        <w:tc>
          <w:tcPr>
            <w:tcW w:w="1385" w:type="dxa"/>
            <w:vAlign w:val="center"/>
          </w:tcPr>
          <w:p w14:paraId="042CB87E"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VHD</w:t>
            </w:r>
          </w:p>
        </w:tc>
        <w:tc>
          <w:tcPr>
            <w:tcW w:w="4084" w:type="dxa"/>
            <w:vAlign w:val="center"/>
          </w:tcPr>
          <w:p w14:paraId="42AE69A7"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 xml:space="preserve"> Veřejná hromadná doprava</w:t>
            </w:r>
          </w:p>
        </w:tc>
      </w:tr>
      <w:tr w:rsidR="00907C42" w:rsidRPr="006B3F59" w14:paraId="1CDB8937" w14:textId="77777777" w:rsidTr="00BE4250">
        <w:trPr>
          <w:gridAfter w:val="1"/>
          <w:wAfter w:w="204" w:type="dxa"/>
          <w:trHeight w:val="225"/>
        </w:trPr>
        <w:tc>
          <w:tcPr>
            <w:tcW w:w="1021" w:type="dxa"/>
            <w:vAlign w:val="center"/>
            <w:hideMark/>
          </w:tcPr>
          <w:p w14:paraId="0EB5C78E"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LBK</w:t>
            </w:r>
          </w:p>
        </w:tc>
        <w:tc>
          <w:tcPr>
            <w:tcW w:w="3520" w:type="dxa"/>
            <w:noWrap/>
            <w:vAlign w:val="center"/>
            <w:hideMark/>
          </w:tcPr>
          <w:p w14:paraId="6EB551AC"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Lokální biokoridor</w:t>
            </w:r>
          </w:p>
        </w:tc>
        <w:tc>
          <w:tcPr>
            <w:tcW w:w="1385" w:type="dxa"/>
            <w:vAlign w:val="center"/>
          </w:tcPr>
          <w:p w14:paraId="3D0B3170"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VKP</w:t>
            </w:r>
          </w:p>
        </w:tc>
        <w:tc>
          <w:tcPr>
            <w:tcW w:w="4084" w:type="dxa"/>
            <w:vAlign w:val="center"/>
          </w:tcPr>
          <w:p w14:paraId="71747C90"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Významný krajinný prvek</w:t>
            </w:r>
          </w:p>
        </w:tc>
      </w:tr>
      <w:tr w:rsidR="00907C42" w:rsidRPr="006B3F59" w14:paraId="080D4E63" w14:textId="77777777" w:rsidTr="00BE4250">
        <w:trPr>
          <w:gridAfter w:val="1"/>
          <w:wAfter w:w="204" w:type="dxa"/>
          <w:trHeight w:val="225"/>
        </w:trPr>
        <w:tc>
          <w:tcPr>
            <w:tcW w:w="1021" w:type="dxa"/>
            <w:vAlign w:val="center"/>
          </w:tcPr>
          <w:p w14:paraId="2D2BC1D9"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LVH</w:t>
            </w:r>
          </w:p>
        </w:tc>
        <w:tc>
          <w:tcPr>
            <w:tcW w:w="3520" w:type="dxa"/>
            <w:vAlign w:val="center"/>
          </w:tcPr>
          <w:p w14:paraId="02B86486"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Letiště Václava Havla Praha</w:t>
            </w:r>
          </w:p>
        </w:tc>
        <w:tc>
          <w:tcPr>
            <w:tcW w:w="1385" w:type="dxa"/>
            <w:vAlign w:val="center"/>
          </w:tcPr>
          <w:p w14:paraId="76F50F1D"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VPS</w:t>
            </w:r>
          </w:p>
        </w:tc>
        <w:tc>
          <w:tcPr>
            <w:tcW w:w="4084" w:type="dxa"/>
            <w:vAlign w:val="center"/>
          </w:tcPr>
          <w:p w14:paraId="3251D2B6"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Veřejně prospěšná stavba</w:t>
            </w:r>
          </w:p>
        </w:tc>
      </w:tr>
      <w:tr w:rsidR="00907C42" w:rsidRPr="006B3F59" w14:paraId="53D49777" w14:textId="77777777" w:rsidTr="00BE4250">
        <w:trPr>
          <w:gridAfter w:val="1"/>
          <w:wAfter w:w="204" w:type="dxa"/>
          <w:trHeight w:val="225"/>
        </w:trPr>
        <w:tc>
          <w:tcPr>
            <w:tcW w:w="1021" w:type="dxa"/>
            <w:vAlign w:val="center"/>
          </w:tcPr>
          <w:p w14:paraId="0184DD46"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LR</w:t>
            </w:r>
          </w:p>
        </w:tc>
        <w:tc>
          <w:tcPr>
            <w:tcW w:w="3520" w:type="dxa"/>
            <w:vAlign w:val="center"/>
          </w:tcPr>
          <w:p w14:paraId="61296779"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Plocha lesa</w:t>
            </w:r>
          </w:p>
        </w:tc>
        <w:tc>
          <w:tcPr>
            <w:tcW w:w="1385" w:type="dxa"/>
            <w:vAlign w:val="center"/>
          </w:tcPr>
          <w:p w14:paraId="0C736AC6"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VRÚ</w:t>
            </w:r>
          </w:p>
        </w:tc>
        <w:tc>
          <w:tcPr>
            <w:tcW w:w="4084" w:type="dxa"/>
            <w:vAlign w:val="center"/>
          </w:tcPr>
          <w:p w14:paraId="42D3D664"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Velké rozvojové území</w:t>
            </w:r>
          </w:p>
        </w:tc>
      </w:tr>
      <w:tr w:rsidR="00907C42" w:rsidRPr="006B3F59" w14:paraId="27C634B3" w14:textId="77777777" w:rsidTr="00BE4250">
        <w:trPr>
          <w:gridAfter w:val="1"/>
          <w:wAfter w:w="204" w:type="dxa"/>
          <w:trHeight w:val="225"/>
        </w:trPr>
        <w:tc>
          <w:tcPr>
            <w:tcW w:w="1021" w:type="dxa"/>
            <w:vAlign w:val="center"/>
          </w:tcPr>
          <w:p w14:paraId="1DC3819B"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MČ</w:t>
            </w:r>
          </w:p>
        </w:tc>
        <w:tc>
          <w:tcPr>
            <w:tcW w:w="3520" w:type="dxa"/>
            <w:vAlign w:val="center"/>
          </w:tcPr>
          <w:p w14:paraId="704FD4D2"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Městská část</w:t>
            </w:r>
          </w:p>
        </w:tc>
        <w:tc>
          <w:tcPr>
            <w:tcW w:w="1385" w:type="dxa"/>
            <w:vAlign w:val="center"/>
          </w:tcPr>
          <w:p w14:paraId="41A4815D"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VTL</w:t>
            </w:r>
          </w:p>
        </w:tc>
        <w:tc>
          <w:tcPr>
            <w:tcW w:w="4084" w:type="dxa"/>
            <w:vAlign w:val="center"/>
          </w:tcPr>
          <w:p w14:paraId="5F03970A"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Vysokotlaké zařízení</w:t>
            </w:r>
          </w:p>
        </w:tc>
      </w:tr>
      <w:tr w:rsidR="00907C42" w:rsidRPr="006B3F59" w14:paraId="7AD42DE4" w14:textId="77777777" w:rsidTr="00BE4250">
        <w:trPr>
          <w:gridAfter w:val="1"/>
          <w:wAfter w:w="204" w:type="dxa"/>
          <w:trHeight w:val="225"/>
        </w:trPr>
        <w:tc>
          <w:tcPr>
            <w:tcW w:w="1021" w:type="dxa"/>
            <w:vAlign w:val="center"/>
          </w:tcPr>
          <w:p w14:paraId="79E0773D"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MHD</w:t>
            </w:r>
          </w:p>
        </w:tc>
        <w:tc>
          <w:tcPr>
            <w:tcW w:w="3520" w:type="dxa"/>
            <w:noWrap/>
            <w:vAlign w:val="center"/>
          </w:tcPr>
          <w:p w14:paraId="334B528D"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Městská hromadná doprava</w:t>
            </w:r>
          </w:p>
        </w:tc>
        <w:tc>
          <w:tcPr>
            <w:tcW w:w="1385" w:type="dxa"/>
            <w:vAlign w:val="center"/>
          </w:tcPr>
          <w:p w14:paraId="6BAABA92"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VÚ</w:t>
            </w:r>
          </w:p>
        </w:tc>
        <w:tc>
          <w:tcPr>
            <w:tcW w:w="4084" w:type="dxa"/>
            <w:vAlign w:val="center"/>
          </w:tcPr>
          <w:p w14:paraId="0FC45A98"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Vodní útvar</w:t>
            </w:r>
          </w:p>
        </w:tc>
      </w:tr>
      <w:tr w:rsidR="00907C42" w:rsidRPr="006B3F59" w14:paraId="0494DCB5" w14:textId="77777777" w:rsidTr="00BE4250">
        <w:trPr>
          <w:gridAfter w:val="1"/>
          <w:wAfter w:w="204" w:type="dxa"/>
          <w:trHeight w:val="225"/>
        </w:trPr>
        <w:tc>
          <w:tcPr>
            <w:tcW w:w="1021" w:type="dxa"/>
            <w:vAlign w:val="center"/>
          </w:tcPr>
          <w:p w14:paraId="38F17844"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MMR</w:t>
            </w:r>
          </w:p>
        </w:tc>
        <w:tc>
          <w:tcPr>
            <w:tcW w:w="3520" w:type="dxa"/>
            <w:noWrap/>
            <w:vAlign w:val="center"/>
          </w:tcPr>
          <w:p w14:paraId="229FAD09" w14:textId="77777777" w:rsidR="00907C42" w:rsidRPr="006B3F59" w:rsidRDefault="00907C42" w:rsidP="00B34C98">
            <w:pPr>
              <w:spacing w:before="0" w:line="256" w:lineRule="auto"/>
              <w:jc w:val="left"/>
              <w:rPr>
                <w:rFonts w:eastAsia="Times New Roman" w:cs="Arial"/>
                <w:sz w:val="16"/>
                <w:szCs w:val="16"/>
                <w:lang w:eastAsia="cs-CZ"/>
              </w:rPr>
            </w:pPr>
            <w:r w:rsidRPr="006B3F59">
              <w:rPr>
                <w:rFonts w:eastAsia="Times New Roman" w:cs="Arial"/>
                <w:color w:val="000000"/>
                <w:sz w:val="16"/>
                <w:szCs w:val="16"/>
                <w:lang w:eastAsia="cs-CZ"/>
              </w:rPr>
              <w:t>Ministerstvo pro místní rozvoj</w:t>
            </w:r>
          </w:p>
        </w:tc>
        <w:tc>
          <w:tcPr>
            <w:tcW w:w="1385" w:type="dxa"/>
            <w:vAlign w:val="center"/>
          </w:tcPr>
          <w:p w14:paraId="62BDEE0F"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VVN</w:t>
            </w:r>
          </w:p>
        </w:tc>
        <w:tc>
          <w:tcPr>
            <w:tcW w:w="4084" w:type="dxa"/>
            <w:vAlign w:val="center"/>
          </w:tcPr>
          <w:p w14:paraId="2B62B3B4"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Velmi vysoké napětí</w:t>
            </w:r>
          </w:p>
        </w:tc>
      </w:tr>
      <w:tr w:rsidR="00907C42" w:rsidRPr="006B3F59" w14:paraId="0FB5F18B" w14:textId="77777777" w:rsidTr="00BE4250">
        <w:trPr>
          <w:gridAfter w:val="1"/>
          <w:wAfter w:w="204" w:type="dxa"/>
          <w:trHeight w:val="225"/>
        </w:trPr>
        <w:tc>
          <w:tcPr>
            <w:tcW w:w="1021" w:type="dxa"/>
            <w:vAlign w:val="center"/>
          </w:tcPr>
          <w:p w14:paraId="5DE3B6D6"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 xml:space="preserve">MŽP </w:t>
            </w:r>
          </w:p>
        </w:tc>
        <w:tc>
          <w:tcPr>
            <w:tcW w:w="3520" w:type="dxa"/>
            <w:vAlign w:val="center"/>
          </w:tcPr>
          <w:p w14:paraId="03EA1A98"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Ministerstvo životního prostředí</w:t>
            </w:r>
          </w:p>
        </w:tc>
        <w:tc>
          <w:tcPr>
            <w:tcW w:w="1385" w:type="dxa"/>
            <w:vAlign w:val="center"/>
          </w:tcPr>
          <w:p w14:paraId="470AED72"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VVTL</w:t>
            </w:r>
          </w:p>
        </w:tc>
        <w:tc>
          <w:tcPr>
            <w:tcW w:w="4084" w:type="dxa"/>
            <w:vAlign w:val="center"/>
          </w:tcPr>
          <w:p w14:paraId="0943F90C"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Velmi vysokotlaké zařízení</w:t>
            </w:r>
          </w:p>
        </w:tc>
      </w:tr>
      <w:tr w:rsidR="00907C42" w:rsidRPr="006B3F59" w14:paraId="567D473D" w14:textId="77777777" w:rsidTr="00BE4250">
        <w:trPr>
          <w:gridAfter w:val="1"/>
          <w:wAfter w:w="204" w:type="dxa"/>
          <w:trHeight w:val="225"/>
        </w:trPr>
        <w:tc>
          <w:tcPr>
            <w:tcW w:w="1021" w:type="dxa"/>
            <w:vAlign w:val="center"/>
          </w:tcPr>
          <w:p w14:paraId="52000D1B"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NBK</w:t>
            </w:r>
          </w:p>
        </w:tc>
        <w:tc>
          <w:tcPr>
            <w:tcW w:w="3520" w:type="dxa"/>
            <w:noWrap/>
            <w:vAlign w:val="center"/>
          </w:tcPr>
          <w:p w14:paraId="670393B5"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Nadregionální biokoridor</w:t>
            </w:r>
          </w:p>
        </w:tc>
        <w:tc>
          <w:tcPr>
            <w:tcW w:w="1385" w:type="dxa"/>
            <w:vAlign w:val="center"/>
          </w:tcPr>
          <w:p w14:paraId="0F466ADD"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VVURÚ</w:t>
            </w:r>
          </w:p>
        </w:tc>
        <w:tc>
          <w:tcPr>
            <w:tcW w:w="4084" w:type="dxa"/>
            <w:vAlign w:val="center"/>
          </w:tcPr>
          <w:p w14:paraId="1B7E472D"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Vyhodnocení vlivu na udržitelný rozvoj území</w:t>
            </w:r>
          </w:p>
        </w:tc>
      </w:tr>
      <w:tr w:rsidR="00907C42" w:rsidRPr="006B3F59" w14:paraId="21E88C58" w14:textId="77777777" w:rsidTr="00BE4250">
        <w:trPr>
          <w:gridAfter w:val="1"/>
          <w:wAfter w:w="204" w:type="dxa"/>
          <w:trHeight w:val="225"/>
        </w:trPr>
        <w:tc>
          <w:tcPr>
            <w:tcW w:w="1021" w:type="dxa"/>
            <w:vAlign w:val="center"/>
          </w:tcPr>
          <w:p w14:paraId="1F22CA5A"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NO</w:t>
            </w:r>
            <w:r w:rsidRPr="006B3F59">
              <w:rPr>
                <w:rFonts w:eastAsia="Times New Roman" w:cs="Arial"/>
                <w:color w:val="000000"/>
                <w:sz w:val="16"/>
                <w:szCs w:val="16"/>
                <w:vertAlign w:val="subscript"/>
                <w:lang w:eastAsia="cs-CZ"/>
              </w:rPr>
              <w:t>2</w:t>
            </w:r>
          </w:p>
        </w:tc>
        <w:tc>
          <w:tcPr>
            <w:tcW w:w="3520" w:type="dxa"/>
            <w:vAlign w:val="center"/>
          </w:tcPr>
          <w:p w14:paraId="14B99459"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Oxid dusičitý</w:t>
            </w:r>
          </w:p>
        </w:tc>
        <w:tc>
          <w:tcPr>
            <w:tcW w:w="1385" w:type="dxa"/>
            <w:vAlign w:val="center"/>
          </w:tcPr>
          <w:p w14:paraId="2E7CCFE8"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WHO</w:t>
            </w:r>
          </w:p>
        </w:tc>
        <w:tc>
          <w:tcPr>
            <w:tcW w:w="4084" w:type="dxa"/>
            <w:vAlign w:val="center"/>
          </w:tcPr>
          <w:p w14:paraId="0540CC41"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Světová zdravotnická organizace</w:t>
            </w:r>
          </w:p>
        </w:tc>
      </w:tr>
      <w:tr w:rsidR="00907C42" w:rsidRPr="006B3F59" w14:paraId="602D4446" w14:textId="77777777" w:rsidTr="00BE4250">
        <w:trPr>
          <w:gridAfter w:val="1"/>
          <w:wAfter w:w="204" w:type="dxa"/>
          <w:trHeight w:val="225"/>
        </w:trPr>
        <w:tc>
          <w:tcPr>
            <w:tcW w:w="1021" w:type="dxa"/>
            <w:vAlign w:val="center"/>
          </w:tcPr>
          <w:p w14:paraId="715CBE51"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NO</w:t>
            </w:r>
            <w:r w:rsidRPr="006B3F59">
              <w:rPr>
                <w:rFonts w:eastAsia="Times New Roman" w:cs="Arial"/>
                <w:color w:val="000000"/>
                <w:sz w:val="16"/>
                <w:szCs w:val="16"/>
                <w:vertAlign w:val="subscript"/>
                <w:lang w:eastAsia="cs-CZ"/>
              </w:rPr>
              <w:t>x</w:t>
            </w:r>
          </w:p>
        </w:tc>
        <w:tc>
          <w:tcPr>
            <w:tcW w:w="3520" w:type="dxa"/>
            <w:vAlign w:val="center"/>
          </w:tcPr>
          <w:p w14:paraId="0DFE2C07"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Oxidy dusíku</w:t>
            </w:r>
          </w:p>
        </w:tc>
        <w:tc>
          <w:tcPr>
            <w:tcW w:w="1385" w:type="dxa"/>
            <w:vAlign w:val="center"/>
          </w:tcPr>
          <w:p w14:paraId="6AEBD318"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sz w:val="16"/>
                <w:szCs w:val="18"/>
              </w:rPr>
              <w:t>WHIASU</w:t>
            </w:r>
          </w:p>
        </w:tc>
        <w:tc>
          <w:tcPr>
            <w:tcW w:w="4084" w:type="dxa"/>
            <w:vAlign w:val="center"/>
          </w:tcPr>
          <w:p w14:paraId="740E35A7"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Wales Health Impact Assessment Support Unit – Oddělení WHO pro hodnocení dopadů na zdraví</w:t>
            </w:r>
          </w:p>
        </w:tc>
      </w:tr>
      <w:tr w:rsidR="00907C42" w:rsidRPr="006B3F59" w14:paraId="14158E51" w14:textId="77777777" w:rsidTr="00BE4250">
        <w:trPr>
          <w:gridAfter w:val="1"/>
          <w:wAfter w:w="204" w:type="dxa"/>
          <w:trHeight w:val="225"/>
        </w:trPr>
        <w:tc>
          <w:tcPr>
            <w:tcW w:w="1021" w:type="dxa"/>
            <w:vAlign w:val="center"/>
          </w:tcPr>
          <w:p w14:paraId="43A10DF7"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NP</w:t>
            </w:r>
          </w:p>
        </w:tc>
        <w:tc>
          <w:tcPr>
            <w:tcW w:w="3520" w:type="dxa"/>
            <w:noWrap/>
            <w:vAlign w:val="center"/>
          </w:tcPr>
          <w:p w14:paraId="14A1A316"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Národní park</w:t>
            </w:r>
          </w:p>
        </w:tc>
        <w:tc>
          <w:tcPr>
            <w:tcW w:w="1385" w:type="dxa"/>
            <w:vAlign w:val="center"/>
          </w:tcPr>
          <w:p w14:paraId="17FA3B1E"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ZCHÚ</w:t>
            </w:r>
          </w:p>
        </w:tc>
        <w:tc>
          <w:tcPr>
            <w:tcW w:w="4084" w:type="dxa"/>
            <w:vAlign w:val="center"/>
          </w:tcPr>
          <w:p w14:paraId="75BAA33F"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Zvláště chráněná území</w:t>
            </w:r>
          </w:p>
        </w:tc>
      </w:tr>
      <w:tr w:rsidR="00907C42" w:rsidRPr="006B3F59" w14:paraId="30B265DA" w14:textId="77777777" w:rsidTr="00BE4250">
        <w:trPr>
          <w:gridAfter w:val="1"/>
          <w:wAfter w:w="204" w:type="dxa"/>
          <w:trHeight w:val="225"/>
        </w:trPr>
        <w:tc>
          <w:tcPr>
            <w:tcW w:w="1021" w:type="dxa"/>
            <w:vAlign w:val="center"/>
          </w:tcPr>
          <w:p w14:paraId="1A017898"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NPP</w:t>
            </w:r>
          </w:p>
        </w:tc>
        <w:tc>
          <w:tcPr>
            <w:tcW w:w="3520" w:type="dxa"/>
            <w:vAlign w:val="center"/>
          </w:tcPr>
          <w:p w14:paraId="457C176A"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Národní přírodní památka</w:t>
            </w:r>
          </w:p>
        </w:tc>
        <w:tc>
          <w:tcPr>
            <w:tcW w:w="1385" w:type="dxa"/>
            <w:vAlign w:val="center"/>
          </w:tcPr>
          <w:p w14:paraId="449B2030"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ZOPK</w:t>
            </w:r>
          </w:p>
        </w:tc>
        <w:tc>
          <w:tcPr>
            <w:tcW w:w="4084" w:type="dxa"/>
            <w:vAlign w:val="center"/>
          </w:tcPr>
          <w:p w14:paraId="0E2EB3BF"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Zákon o ochraně přírody a krajiny</w:t>
            </w:r>
          </w:p>
        </w:tc>
      </w:tr>
      <w:tr w:rsidR="00907C42" w:rsidRPr="006B3F59" w14:paraId="5D9743A2" w14:textId="77777777" w:rsidTr="00BE4250">
        <w:trPr>
          <w:gridAfter w:val="1"/>
          <w:wAfter w:w="204" w:type="dxa"/>
          <w:trHeight w:val="225"/>
        </w:trPr>
        <w:tc>
          <w:tcPr>
            <w:tcW w:w="1021" w:type="dxa"/>
            <w:vAlign w:val="center"/>
          </w:tcPr>
          <w:p w14:paraId="46FA3044"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NPR</w:t>
            </w:r>
          </w:p>
        </w:tc>
        <w:tc>
          <w:tcPr>
            <w:tcW w:w="3520" w:type="dxa"/>
            <w:vAlign w:val="center"/>
          </w:tcPr>
          <w:p w14:paraId="071A72E7"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Národní přírodní rezervace</w:t>
            </w:r>
          </w:p>
        </w:tc>
        <w:tc>
          <w:tcPr>
            <w:tcW w:w="1385" w:type="dxa"/>
            <w:vAlign w:val="center"/>
          </w:tcPr>
          <w:p w14:paraId="1CB6C55D"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ZOPV</w:t>
            </w:r>
          </w:p>
        </w:tc>
        <w:tc>
          <w:tcPr>
            <w:tcW w:w="4084" w:type="dxa"/>
            <w:vAlign w:val="center"/>
          </w:tcPr>
          <w:p w14:paraId="2ABE322A"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Zákon o posuzování vlivů na životní prostředí</w:t>
            </w:r>
          </w:p>
        </w:tc>
      </w:tr>
      <w:tr w:rsidR="00907C42" w:rsidRPr="006B3F59" w14:paraId="77668E76" w14:textId="77777777" w:rsidTr="00BE4250">
        <w:trPr>
          <w:gridAfter w:val="1"/>
          <w:wAfter w:w="204" w:type="dxa"/>
          <w:trHeight w:val="225"/>
        </w:trPr>
        <w:tc>
          <w:tcPr>
            <w:tcW w:w="1021" w:type="dxa"/>
            <w:vAlign w:val="center"/>
          </w:tcPr>
          <w:p w14:paraId="0F0A778B"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NRBC</w:t>
            </w:r>
          </w:p>
        </w:tc>
        <w:tc>
          <w:tcPr>
            <w:tcW w:w="3520" w:type="dxa"/>
            <w:vAlign w:val="center"/>
          </w:tcPr>
          <w:p w14:paraId="1F98D33C"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Nadregionální biocentrum</w:t>
            </w:r>
          </w:p>
        </w:tc>
        <w:tc>
          <w:tcPr>
            <w:tcW w:w="1385" w:type="dxa"/>
            <w:vAlign w:val="center"/>
          </w:tcPr>
          <w:p w14:paraId="44EC6011"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ZPF</w:t>
            </w:r>
          </w:p>
        </w:tc>
        <w:tc>
          <w:tcPr>
            <w:tcW w:w="4084" w:type="dxa"/>
            <w:vAlign w:val="center"/>
          </w:tcPr>
          <w:p w14:paraId="3B2E39A7"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 xml:space="preserve">Zemědělský půdní </w:t>
            </w:r>
          </w:p>
        </w:tc>
      </w:tr>
      <w:tr w:rsidR="00907C42" w:rsidRPr="006B3F59" w14:paraId="47EF453A" w14:textId="77777777" w:rsidTr="00BE4250">
        <w:trPr>
          <w:gridAfter w:val="1"/>
          <w:wAfter w:w="204" w:type="dxa"/>
          <w:trHeight w:val="225"/>
        </w:trPr>
        <w:tc>
          <w:tcPr>
            <w:tcW w:w="1021" w:type="dxa"/>
            <w:vAlign w:val="center"/>
          </w:tcPr>
          <w:p w14:paraId="34743A0E"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NRBK</w:t>
            </w:r>
          </w:p>
        </w:tc>
        <w:tc>
          <w:tcPr>
            <w:tcW w:w="3520" w:type="dxa"/>
            <w:vAlign w:val="center"/>
          </w:tcPr>
          <w:p w14:paraId="69E40838"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Nadregionální biokoridor</w:t>
            </w:r>
          </w:p>
        </w:tc>
        <w:tc>
          <w:tcPr>
            <w:tcW w:w="1385" w:type="dxa"/>
            <w:vAlign w:val="center"/>
          </w:tcPr>
          <w:p w14:paraId="6C1C4414"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ZVHS</w:t>
            </w:r>
          </w:p>
        </w:tc>
        <w:tc>
          <w:tcPr>
            <w:tcW w:w="4084" w:type="dxa"/>
            <w:vAlign w:val="center"/>
          </w:tcPr>
          <w:p w14:paraId="136C9726"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 xml:space="preserve">Zemědělská vodohospodářská </w:t>
            </w:r>
          </w:p>
        </w:tc>
      </w:tr>
      <w:tr w:rsidR="00907C42" w:rsidRPr="006B3F59" w14:paraId="4C5C977C" w14:textId="77777777" w:rsidTr="00BE4250">
        <w:trPr>
          <w:gridAfter w:val="1"/>
          <w:wAfter w:w="204" w:type="dxa"/>
          <w:trHeight w:val="225"/>
        </w:trPr>
        <w:tc>
          <w:tcPr>
            <w:tcW w:w="1021" w:type="dxa"/>
            <w:vAlign w:val="center"/>
          </w:tcPr>
          <w:p w14:paraId="413F934B"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NSS</w:t>
            </w:r>
          </w:p>
        </w:tc>
        <w:tc>
          <w:tcPr>
            <w:tcW w:w="3520" w:type="dxa"/>
            <w:vAlign w:val="center"/>
          </w:tcPr>
          <w:p w14:paraId="3F027A30"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Nejvyšší správní soud</w:t>
            </w:r>
          </w:p>
        </w:tc>
        <w:tc>
          <w:tcPr>
            <w:tcW w:w="1385" w:type="dxa"/>
            <w:vAlign w:val="center"/>
            <w:hideMark/>
          </w:tcPr>
          <w:p w14:paraId="5D166A63"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ZÚR</w:t>
            </w:r>
          </w:p>
        </w:tc>
        <w:tc>
          <w:tcPr>
            <w:tcW w:w="4084" w:type="dxa"/>
            <w:vAlign w:val="center"/>
            <w:hideMark/>
          </w:tcPr>
          <w:p w14:paraId="3FFC47D5"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Zásady územního rozvoje</w:t>
            </w:r>
          </w:p>
        </w:tc>
      </w:tr>
      <w:tr w:rsidR="00907C42" w:rsidRPr="006B3F59" w14:paraId="35C5F2C6" w14:textId="77777777" w:rsidTr="00BE4250">
        <w:trPr>
          <w:gridAfter w:val="1"/>
          <w:wAfter w:w="204" w:type="dxa"/>
          <w:trHeight w:val="225"/>
        </w:trPr>
        <w:tc>
          <w:tcPr>
            <w:tcW w:w="1021" w:type="dxa"/>
            <w:vAlign w:val="center"/>
          </w:tcPr>
          <w:p w14:paraId="172C5979"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ORL</w:t>
            </w:r>
          </w:p>
        </w:tc>
        <w:tc>
          <w:tcPr>
            <w:tcW w:w="3520" w:type="dxa"/>
            <w:vAlign w:val="center"/>
          </w:tcPr>
          <w:p w14:paraId="1B71403D"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Odlučovač ropných látek</w:t>
            </w:r>
          </w:p>
        </w:tc>
        <w:tc>
          <w:tcPr>
            <w:tcW w:w="1385" w:type="dxa"/>
            <w:vAlign w:val="center"/>
            <w:hideMark/>
          </w:tcPr>
          <w:p w14:paraId="62BA305C"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ŽP</w:t>
            </w:r>
          </w:p>
        </w:tc>
        <w:tc>
          <w:tcPr>
            <w:tcW w:w="4084" w:type="dxa"/>
            <w:vAlign w:val="center"/>
            <w:hideMark/>
          </w:tcPr>
          <w:p w14:paraId="1BDE2F36"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Životní prostředí</w:t>
            </w:r>
          </w:p>
        </w:tc>
      </w:tr>
      <w:tr w:rsidR="00907C42" w:rsidRPr="006B3F59" w14:paraId="0F345368" w14:textId="77777777" w:rsidTr="00BE4250">
        <w:trPr>
          <w:gridAfter w:val="1"/>
          <w:wAfter w:w="204" w:type="dxa"/>
          <w:trHeight w:val="225"/>
        </w:trPr>
        <w:tc>
          <w:tcPr>
            <w:tcW w:w="1021" w:type="dxa"/>
            <w:vAlign w:val="center"/>
          </w:tcPr>
          <w:p w14:paraId="05FF6CB3"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OZKO</w:t>
            </w:r>
          </w:p>
        </w:tc>
        <w:tc>
          <w:tcPr>
            <w:tcW w:w="3520" w:type="dxa"/>
            <w:vAlign w:val="center"/>
          </w:tcPr>
          <w:p w14:paraId="32F9CF8B" w14:textId="77777777" w:rsidR="00907C42" w:rsidRPr="006B3F59" w:rsidRDefault="00907C42" w:rsidP="00B34C98">
            <w:pPr>
              <w:spacing w:before="0" w:line="256" w:lineRule="auto"/>
              <w:jc w:val="left"/>
              <w:rPr>
                <w:rFonts w:eastAsia="Times New Roman" w:cs="Arial"/>
                <w:color w:val="000000"/>
                <w:sz w:val="16"/>
                <w:szCs w:val="16"/>
                <w:lang w:eastAsia="cs-CZ"/>
              </w:rPr>
            </w:pPr>
            <w:r w:rsidRPr="006B3F59">
              <w:rPr>
                <w:rFonts w:eastAsia="Times New Roman" w:cs="Arial"/>
                <w:color w:val="000000"/>
                <w:sz w:val="16"/>
                <w:szCs w:val="16"/>
                <w:lang w:eastAsia="cs-CZ"/>
              </w:rPr>
              <w:t>Oblast se zhoršenou kvalitou ovzduší</w:t>
            </w:r>
          </w:p>
        </w:tc>
        <w:tc>
          <w:tcPr>
            <w:tcW w:w="1385" w:type="dxa"/>
            <w:vAlign w:val="center"/>
          </w:tcPr>
          <w:p w14:paraId="349BCA09" w14:textId="77777777" w:rsidR="00907C42" w:rsidRPr="006B3F59" w:rsidRDefault="00907C42" w:rsidP="00B34C98">
            <w:pPr>
              <w:spacing w:before="0" w:line="256" w:lineRule="auto"/>
              <w:jc w:val="left"/>
              <w:rPr>
                <w:rFonts w:eastAsia="Times New Roman" w:cs="Arial"/>
                <w:color w:val="000000"/>
                <w:sz w:val="16"/>
                <w:szCs w:val="16"/>
                <w:lang w:eastAsia="cs-CZ"/>
              </w:rPr>
            </w:pPr>
          </w:p>
        </w:tc>
        <w:tc>
          <w:tcPr>
            <w:tcW w:w="4084" w:type="dxa"/>
            <w:vAlign w:val="center"/>
          </w:tcPr>
          <w:p w14:paraId="57A27A22" w14:textId="77777777" w:rsidR="00907C42" w:rsidRPr="006B3F59" w:rsidRDefault="00907C42" w:rsidP="00B34C98">
            <w:pPr>
              <w:spacing w:before="0" w:line="256" w:lineRule="auto"/>
              <w:jc w:val="left"/>
              <w:rPr>
                <w:rFonts w:eastAsia="Times New Roman" w:cs="Arial"/>
                <w:color w:val="000000"/>
                <w:sz w:val="16"/>
                <w:szCs w:val="16"/>
                <w:lang w:eastAsia="cs-CZ"/>
              </w:rPr>
            </w:pPr>
          </w:p>
        </w:tc>
      </w:tr>
    </w:tbl>
    <w:p w14:paraId="5C33F1A2" w14:textId="4FC9CB70" w:rsidR="00907C42" w:rsidRPr="006B3F59" w:rsidRDefault="00907C42" w:rsidP="00907C42">
      <w:pPr>
        <w:rPr>
          <w:lang w:eastAsia="cs-CZ"/>
        </w:rPr>
      </w:pPr>
    </w:p>
    <w:p w14:paraId="1C865F99" w14:textId="77777777" w:rsidR="00907C42" w:rsidRPr="006B3F59" w:rsidRDefault="00907C42" w:rsidP="00907C42">
      <w:pPr>
        <w:rPr>
          <w:lang w:eastAsia="cs-CZ"/>
        </w:rPr>
      </w:pPr>
    </w:p>
    <w:p w14:paraId="3E652BA8" w14:textId="2FE613B9" w:rsidR="00794578" w:rsidRPr="006B3F59" w:rsidRDefault="00794578" w:rsidP="00BA72D5">
      <w:pPr>
        <w:pStyle w:val="Nadpis1neslovan"/>
      </w:pPr>
      <w:bookmarkStart w:id="9" w:name="_Toc531606226"/>
      <w:bookmarkStart w:id="10" w:name="_Toc29298308"/>
      <w:bookmarkStart w:id="11" w:name="_Toc138848096"/>
      <w:r w:rsidRPr="006B3F59">
        <w:lastRenderedPageBreak/>
        <w:t>Úvod</w:t>
      </w:r>
      <w:bookmarkEnd w:id="9"/>
      <w:bookmarkEnd w:id="10"/>
      <w:bookmarkEnd w:id="11"/>
      <w:r w:rsidR="00B01F23" w:rsidRPr="006B3F59">
        <w:tab/>
      </w:r>
    </w:p>
    <w:p w14:paraId="5CD1730F" w14:textId="77777777" w:rsidR="00BE10B3" w:rsidRPr="006B3F59" w:rsidRDefault="00BE10B3" w:rsidP="00BA72D5">
      <w:pPr>
        <w:pStyle w:val="Normlnpsmo"/>
      </w:pPr>
      <w:bookmarkStart w:id="12" w:name="_Toc531606231"/>
      <w:r w:rsidRPr="006B3F59">
        <w:t>Předmětem vyhodnocení je</w:t>
      </w:r>
    </w:p>
    <w:p w14:paraId="6A37E18F" w14:textId="4201EC3B" w:rsidR="00BE10B3" w:rsidRPr="006B3F59" w:rsidRDefault="00BE10B3" w:rsidP="003317EF">
      <w:pPr>
        <w:spacing w:before="0"/>
        <w:jc w:val="center"/>
        <w:rPr>
          <w:rFonts w:ascii="RobotoSlab-Regular" w:hAnsi="RobotoSlab-Regular"/>
          <w:color w:val="7030A0"/>
          <w:sz w:val="24"/>
        </w:rPr>
      </w:pPr>
      <w:r w:rsidRPr="006B3F59">
        <w:rPr>
          <w:color w:val="7030A0"/>
          <w:sz w:val="24"/>
        </w:rPr>
        <w:t>„</w:t>
      </w:r>
      <w:r w:rsidR="00D16420" w:rsidRPr="006B3F59">
        <w:rPr>
          <w:rFonts w:ascii="RobotoSlab-Regular" w:hAnsi="RobotoSlab-Regular"/>
          <w:color w:val="7030A0"/>
          <w:sz w:val="24"/>
        </w:rPr>
        <w:t xml:space="preserve">Vyhodnocení vlivů na udržitelný rozvoj území pro </w:t>
      </w:r>
      <w:r w:rsidR="002C7E62" w:rsidRPr="006B3F59">
        <w:rPr>
          <w:rFonts w:ascii="RobotoSlab-Regular" w:hAnsi="RobotoSlab-Regular"/>
          <w:color w:val="7030A0"/>
          <w:sz w:val="24"/>
        </w:rPr>
        <w:t xml:space="preserve">Změnu </w:t>
      </w:r>
      <w:r w:rsidR="00F80CDD" w:rsidRPr="006B3F59">
        <w:rPr>
          <w:rFonts w:ascii="RobotoSlab-Regular" w:hAnsi="RobotoSlab-Regular"/>
          <w:color w:val="7030A0"/>
          <w:sz w:val="24"/>
        </w:rPr>
        <w:t>Z</w:t>
      </w:r>
      <w:r w:rsidR="001663EA" w:rsidRPr="006B3F59">
        <w:rPr>
          <w:rFonts w:ascii="RobotoSlab-Regular" w:hAnsi="RobotoSlab-Regular"/>
          <w:color w:val="7030A0"/>
          <w:sz w:val="24"/>
        </w:rPr>
        <w:t>3827</w:t>
      </w:r>
      <w:r w:rsidR="00F80CDD" w:rsidRPr="006B3F59">
        <w:rPr>
          <w:rFonts w:ascii="RobotoSlab-Regular" w:hAnsi="RobotoSlab-Regular"/>
          <w:color w:val="7030A0"/>
          <w:sz w:val="24"/>
        </w:rPr>
        <w:t>/00</w:t>
      </w:r>
      <w:r w:rsidR="00D16420" w:rsidRPr="006B3F59">
        <w:rPr>
          <w:rFonts w:ascii="RobotoSlab-Regular" w:hAnsi="RobotoSlab-Regular"/>
          <w:color w:val="7030A0"/>
          <w:sz w:val="24"/>
        </w:rPr>
        <w:t xml:space="preserve"> ÚP hl. m. Prahy</w:t>
      </w:r>
      <w:r w:rsidR="002C7E62" w:rsidRPr="006B3F59">
        <w:rPr>
          <w:rFonts w:ascii="RobotoSlab-Regular" w:hAnsi="RobotoSlab-Regular"/>
          <w:color w:val="7030A0"/>
          <w:sz w:val="24"/>
        </w:rPr>
        <w:t xml:space="preserve">, </w:t>
      </w:r>
      <w:r w:rsidR="003317EF" w:rsidRPr="006B3F59">
        <w:rPr>
          <w:rFonts w:ascii="RobotoSlab-Regular" w:hAnsi="RobotoSlab-Regular"/>
          <w:color w:val="7030A0"/>
          <w:sz w:val="24"/>
        </w:rPr>
        <w:t>zkráceně</w:t>
      </w:r>
      <w:r w:rsidR="00D16420" w:rsidRPr="006B3F59">
        <w:rPr>
          <w:rFonts w:ascii="RobotoSlab-Regular" w:hAnsi="RobotoSlab-Regular"/>
          <w:color w:val="7030A0"/>
          <w:sz w:val="24"/>
        </w:rPr>
        <w:t>“</w:t>
      </w:r>
      <w:r w:rsidR="00D16420" w:rsidRPr="006B3F59">
        <w:t>.</w:t>
      </w:r>
    </w:p>
    <w:p w14:paraId="4E85F344" w14:textId="59355519" w:rsidR="00D16420" w:rsidRPr="006B3F59" w:rsidRDefault="00D16420" w:rsidP="00D16420">
      <w:bookmarkStart w:id="13" w:name="_Toc420273572"/>
      <w:bookmarkStart w:id="14" w:name="_Toc431811210"/>
      <w:bookmarkStart w:id="15" w:name="_Toc463267641"/>
      <w:bookmarkStart w:id="16" w:name="_Toc531606228"/>
      <w:bookmarkStart w:id="17" w:name="_Toc29298310"/>
      <w:r w:rsidRPr="006B3F59">
        <w:t>Předkládané posouzení vlivů územně plánovací dokumentace na životní prostředí a na udržitelný rozvoj území je vypracováno ve smyslu zákona č. 100/2001 Sb., o posuzování vlivů na životní prostředí, v rozsahu dle přílohy zákona č. 183/2006 Sb., o územním plánování a stavebním řádu (stavební zákon), v účinném znění, a dle prováděcí vyhlášky ke stavebnímu zákonu č. 500/2006, v účinném znění</w:t>
      </w:r>
      <w:r w:rsidR="00FA551C" w:rsidRPr="006B3F59">
        <w:t xml:space="preserve">, </w:t>
      </w:r>
      <w:proofErr w:type="gramStart"/>
      <w:r w:rsidR="00FA551C" w:rsidRPr="006B3F59">
        <w:t>resp..</w:t>
      </w:r>
      <w:proofErr w:type="gramEnd"/>
      <w:r w:rsidR="00FA551C" w:rsidRPr="006B3F59">
        <w:t xml:space="preserve"> dle nového stavebního zákona č. 283/2021 Sb</w:t>
      </w:r>
      <w:r w:rsidR="003D0E0D" w:rsidRPr="006B3F59">
        <w:t>., který postupně nabyde účinnosti</w:t>
      </w:r>
      <w:r w:rsidRPr="006B3F59">
        <w:t xml:space="preserve">. </w:t>
      </w:r>
    </w:p>
    <w:p w14:paraId="03D2609B" w14:textId="2ACF8907" w:rsidR="00D16420" w:rsidRPr="006B3F59" w:rsidRDefault="00D16420" w:rsidP="00D16420">
      <w:pPr>
        <w:spacing w:line="240" w:lineRule="exact"/>
      </w:pPr>
      <w:r w:rsidRPr="006B3F59">
        <w:t xml:space="preserve">Objednatelem </w:t>
      </w:r>
      <w:r w:rsidR="004856A2">
        <w:t>Vyhodnocení vlivů na udržitelný rozvoj území</w:t>
      </w:r>
      <w:r w:rsidR="004856A2" w:rsidRPr="006B3F59">
        <w:t xml:space="preserve"> </w:t>
      </w:r>
      <w:r w:rsidRPr="006B3F59">
        <w:t xml:space="preserve">je Institut plánování a rozvoje hlavního města Prahy, příspěvková organizace. Zpracovatel zadal vypracování dokumentace vlivu územního plánu na životní prostředí firmě Jacobs Clean Energy s.r.o. </w:t>
      </w:r>
    </w:p>
    <w:p w14:paraId="38D0D92D" w14:textId="408FC592" w:rsidR="00D16420" w:rsidRPr="006B3F59" w:rsidRDefault="00D16420" w:rsidP="00D16420">
      <w:r w:rsidRPr="006B3F59">
        <w:t xml:space="preserve">Posouzení vlivů </w:t>
      </w:r>
      <w:r w:rsidR="008705CE" w:rsidRPr="006B3F59">
        <w:t>předkládané změny</w:t>
      </w:r>
      <w:r w:rsidRPr="006B3F59">
        <w:t xml:space="preserve"> územního plánu na udržitelný rozvoj území je zpracováno řešitelským týmem firmy Jacobs Clean Energy s.r.o. pod vedením autorizované osoby Mgr. Jany Švábové Nezvalové.</w:t>
      </w:r>
    </w:p>
    <w:bookmarkEnd w:id="13"/>
    <w:bookmarkEnd w:id="14"/>
    <w:bookmarkEnd w:id="15"/>
    <w:bookmarkEnd w:id="16"/>
    <w:bookmarkEnd w:id="17"/>
    <w:p w14:paraId="1960C235" w14:textId="7A5C465C" w:rsidR="00D16420" w:rsidRPr="006B3F59" w:rsidRDefault="00D16420" w:rsidP="00D16420">
      <w:r w:rsidRPr="006B3F59">
        <w:t xml:space="preserve">Předmětem této fáze zakázky je zpracování Vyhodnocení vlivu na udržitelný rozvoj území pro </w:t>
      </w:r>
      <w:r w:rsidR="002C7E62" w:rsidRPr="006B3F59">
        <w:t xml:space="preserve">samostatně projednávanou </w:t>
      </w:r>
      <w:r w:rsidR="00903B1D" w:rsidRPr="006B3F59">
        <w:t>změnu Územního</w:t>
      </w:r>
      <w:r w:rsidRPr="006B3F59">
        <w:t xml:space="preserve"> plánu hlavního města Prahy</w:t>
      </w:r>
      <w:r w:rsidR="00331476" w:rsidRPr="006B3F59">
        <w:t xml:space="preserve"> označenou </w:t>
      </w:r>
      <w:r w:rsidR="00F80CDD" w:rsidRPr="006B3F59">
        <w:t>Z</w:t>
      </w:r>
      <w:r w:rsidR="001663EA" w:rsidRPr="006B3F59">
        <w:t>3827</w:t>
      </w:r>
      <w:r w:rsidR="00F80CDD" w:rsidRPr="006B3F59">
        <w:t>/00</w:t>
      </w:r>
      <w:r w:rsidRPr="006B3F59">
        <w:t>,</w:t>
      </w:r>
      <w:r w:rsidRPr="006B3F59">
        <w:rPr>
          <w:rFonts w:cs="Arial"/>
        </w:rPr>
        <w:t xml:space="preserve"> a tím vytvoření odborného podkladu pro vydání stanoviska ze strany příslušného úřadu.</w:t>
      </w:r>
    </w:p>
    <w:p w14:paraId="3007391B" w14:textId="584A0286" w:rsidR="00D16420" w:rsidRPr="006B3F59" w:rsidRDefault="00D16420" w:rsidP="00D16420">
      <w:r w:rsidRPr="006B3F59">
        <w:t>Vyhodnocení je v dílčích částech zpracováno v souladu s § 45i zákona č. 114/1992 Sb., o ochraně přírody a krajiny,</w:t>
      </w:r>
      <w:r w:rsidR="00221BDC" w:rsidRPr="006B3F59">
        <w:t xml:space="preserve"> ve znění pozdějších předpisů,</w:t>
      </w:r>
      <w:r w:rsidRPr="006B3F59">
        <w:t xml:space="preserve"> § 10i zákona č. 100/2001 Sb., o posuzování vlivů na životní prostředí, v účinném znění, dle ustanovení § 19 a v rozsahu přílohy stavebního zákona č. 183/2006 Sb., o územním plánování a stavebním řádu, v účinném znění, a vyhlášky č. 500/2006 Sb., o požadavcích na územně plánovací dokumentaci, v účinném znění. Obsah a rozsah Vyh</w:t>
      </w:r>
      <w:r w:rsidR="000D0CE1" w:rsidRPr="006B3F59">
        <w:t>odnocení vychází z Koordinovan</w:t>
      </w:r>
      <w:r w:rsidR="00907C42" w:rsidRPr="006B3F59">
        <w:t>ého</w:t>
      </w:r>
      <w:r w:rsidR="000D0CE1" w:rsidRPr="006B3F59">
        <w:t xml:space="preserve"> stanovis</w:t>
      </w:r>
      <w:r w:rsidR="00907C42" w:rsidRPr="006B3F59">
        <w:t>ka</w:t>
      </w:r>
      <w:r w:rsidRPr="006B3F59">
        <w:t xml:space="preserve"> podle § 4 odst. 6 zákona č. 183/2006 Sb., o územním plánování a stavebním řádu (stavební z</w:t>
      </w:r>
      <w:r w:rsidR="000D0CE1" w:rsidRPr="006B3F59">
        <w:t>ákon), v účinném znění, vydan</w:t>
      </w:r>
      <w:r w:rsidR="00221BDC" w:rsidRPr="006B3F59">
        <w:t>ého</w:t>
      </w:r>
      <w:r w:rsidRPr="006B3F59">
        <w:t xml:space="preserve"> odborem životního prostředí Magistrátu hlavního města Prahy k </w:t>
      </w:r>
      <w:r w:rsidR="00907C42" w:rsidRPr="006B3F59">
        <w:t>obsahu</w:t>
      </w:r>
      <w:r w:rsidRPr="006B3F59">
        <w:t xml:space="preserve"> </w:t>
      </w:r>
      <w:r w:rsidR="002C7E62" w:rsidRPr="006B3F59">
        <w:t>posuzované změny</w:t>
      </w:r>
      <w:r w:rsidRPr="006B3F59">
        <w:t xml:space="preserve"> územního plánu</w:t>
      </w:r>
      <w:r w:rsidR="00787D80" w:rsidRPr="006B3F59">
        <w:t xml:space="preserve">, pod č.j. </w:t>
      </w:r>
      <w:r w:rsidR="00620F54" w:rsidRPr="006B3F59">
        <w:t xml:space="preserve">MHMP 456845/2020 </w:t>
      </w:r>
      <w:r w:rsidR="00787D80" w:rsidRPr="006B3F59">
        <w:t xml:space="preserve">dne </w:t>
      </w:r>
      <w:r w:rsidR="00894259" w:rsidRPr="006B3F59">
        <w:t>18</w:t>
      </w:r>
      <w:r w:rsidR="00787D80" w:rsidRPr="006B3F59">
        <w:t>.</w:t>
      </w:r>
      <w:r w:rsidR="00620F54" w:rsidRPr="006B3F59">
        <w:t>5</w:t>
      </w:r>
      <w:r w:rsidR="00787D80" w:rsidRPr="006B3F59">
        <w:t>.2020</w:t>
      </w:r>
      <w:r w:rsidRPr="006B3F59">
        <w:t>.</w:t>
      </w:r>
    </w:p>
    <w:p w14:paraId="20269016" w14:textId="77777777" w:rsidR="00D16420" w:rsidRPr="006B3F59" w:rsidRDefault="00D16420" w:rsidP="00D16420">
      <w:r w:rsidRPr="006B3F59">
        <w:t>Posouzení je zároveň provedeno se zohledněním existujících judikátů k vyhodnocením vlivů územně plánovacích dokumentací na udržitelný rozvoj území a v souladu s doporučenou Metodikou vyhodnocení vlivů na Politiku územního rozvoje ČR a územně plánovací dokumentace na životní prostředí (Atelier T – plan, s.r.o., 2015).</w:t>
      </w:r>
    </w:p>
    <w:p w14:paraId="02725637" w14:textId="77777777" w:rsidR="00D16420" w:rsidRPr="006B3F59" w:rsidRDefault="00D16420" w:rsidP="00D16420">
      <w:r w:rsidRPr="006B3F59">
        <w:t xml:space="preserve">Součástí vyhodnocení je i návrh případných opatření k eliminaci, minimalizaci a kompenzaci negativních vlivů na životní prostředí a veřejné zdraví včetně vyhodnocení synergických a kumulativních vlivů. </w:t>
      </w:r>
    </w:p>
    <w:p w14:paraId="42536D7A" w14:textId="0DE0DD2F" w:rsidR="00907C42" w:rsidRPr="006B3F59" w:rsidRDefault="00D16420" w:rsidP="00D16420">
      <w:r w:rsidRPr="006B3F59">
        <w:t xml:space="preserve">Vyhodnocení stávajících a předpokládaných vlivů </w:t>
      </w:r>
      <w:r w:rsidR="002C7E62" w:rsidRPr="006B3F59">
        <w:t>posuzované změny</w:t>
      </w:r>
      <w:r w:rsidRPr="006B3F59">
        <w:t xml:space="preserve"> územního plánu, </w:t>
      </w:r>
      <w:r w:rsidR="00907C42" w:rsidRPr="006B3F59">
        <w:t>včetně vlivů sekundárních, synergických, kumulativních, krátkodobých, střednědobých a dlouhodobých, trvalých a přechodných, kladných a záporných je provedeno v kap. A.VI předkládané dokumentace. Shrnutí těchto vlivů a porovnání variant řešení je pak uvedeno v kap. A.VII předkládané dokumentace. Návrh opatření pro předcházení, snížení nebo kompenzaci všech zjištěných nebo předpokládaných závažných záporných vlivů na životní prostředí je uveden v kap. A.VIII., a je zároveň součástí návrhu stanoviska viz</w:t>
      </w:r>
      <w:r w:rsidR="00221BDC" w:rsidRPr="006B3F59">
        <w:t xml:space="preserve"> kapitola </w:t>
      </w:r>
      <w:r w:rsidR="001D749A" w:rsidRPr="006B3F59">
        <w:t>A. XI.</w:t>
      </w:r>
    </w:p>
    <w:p w14:paraId="0D89C442" w14:textId="24AE006F" w:rsidR="00D16420" w:rsidRPr="006B3F59" w:rsidRDefault="00D16420" w:rsidP="00D16420">
      <w:r w:rsidRPr="006B3F59">
        <w:t xml:space="preserve">Vyhodnocení vlivů </w:t>
      </w:r>
      <w:r w:rsidR="002C7E62" w:rsidRPr="006B3F59">
        <w:t>posuzované změny</w:t>
      </w:r>
      <w:r w:rsidRPr="006B3F59">
        <w:t xml:space="preserve"> územního plánu na udržitelný rozvoj území bylo zpracováno metodou ex-post. </w:t>
      </w:r>
    </w:p>
    <w:p w14:paraId="13833387" w14:textId="77777777" w:rsidR="00BE10B3" w:rsidRPr="006B3F59" w:rsidRDefault="00BE10B3" w:rsidP="00AF6851">
      <w:pPr>
        <w:rPr>
          <w:rStyle w:val="ListLabel1"/>
        </w:rPr>
      </w:pPr>
      <w:bookmarkStart w:id="18" w:name="_Toc420273573"/>
      <w:bookmarkStart w:id="19" w:name="_Toc431811211"/>
      <w:bookmarkStart w:id="20" w:name="_Toc463267642"/>
      <w:bookmarkStart w:id="21" w:name="_Toc531606229"/>
      <w:bookmarkStart w:id="22" w:name="_Toc29298311"/>
      <w:r w:rsidRPr="006B3F59">
        <w:rPr>
          <w:rStyle w:val="ListLabel1"/>
        </w:rPr>
        <w:t>Východiska posouzení</w:t>
      </w:r>
      <w:bookmarkEnd w:id="18"/>
      <w:bookmarkEnd w:id="19"/>
      <w:bookmarkEnd w:id="20"/>
      <w:bookmarkEnd w:id="21"/>
      <w:bookmarkEnd w:id="22"/>
    </w:p>
    <w:p w14:paraId="5C0B1BB3" w14:textId="0F5DF904" w:rsidR="00652118" w:rsidRPr="006B3F59" w:rsidRDefault="00652118" w:rsidP="00652118">
      <w:r w:rsidRPr="006B3F59">
        <w:t xml:space="preserve">Základním podkladem pro zpracování posouzení byl návrh </w:t>
      </w:r>
      <w:r w:rsidR="00B9398C" w:rsidRPr="006B3F59">
        <w:t>předkládané změny</w:t>
      </w:r>
      <w:r w:rsidR="00654469" w:rsidRPr="006B3F59">
        <w:t xml:space="preserve"> územního plánu</w:t>
      </w:r>
      <w:r w:rsidRPr="006B3F59">
        <w:t xml:space="preserve"> a informace předané jeho zhotovitelem Institutem plánování a rozvoje hlavního rozvoje města Prahy. Další údaje byly získán</w:t>
      </w:r>
      <w:r w:rsidR="000D0CE1" w:rsidRPr="006B3F59">
        <w:t>y během vlastního průzkumu míst</w:t>
      </w:r>
      <w:r w:rsidRPr="006B3F59">
        <w:t xml:space="preserve"> předpokládaných změn funkčního využití a bylo využito informací z veřejných zdrojů v síti internet a archívu zpracovatele posouzení.</w:t>
      </w:r>
    </w:p>
    <w:p w14:paraId="1579DC77" w14:textId="1AF460CB" w:rsidR="00BE10B3" w:rsidRPr="006B3F59" w:rsidRDefault="00BE10B3" w:rsidP="00BE10B3">
      <w:r w:rsidRPr="006B3F59">
        <w:t>Zpracovateli byly poskytnuty následující podklady:</w:t>
      </w:r>
    </w:p>
    <w:p w14:paraId="5119FCB3" w14:textId="38F8DF2D" w:rsidR="00652118" w:rsidRPr="006B3F59" w:rsidRDefault="00652118" w:rsidP="00445EBD">
      <w:pPr>
        <w:pStyle w:val="seznamsodrkami"/>
        <w:numPr>
          <w:ilvl w:val="0"/>
          <w:numId w:val="20"/>
        </w:numPr>
        <w:tabs>
          <w:tab w:val="clear" w:pos="357"/>
          <w:tab w:val="left" w:pos="426"/>
        </w:tabs>
        <w:spacing w:before="0"/>
        <w:ind w:left="426" w:hanging="426"/>
      </w:pPr>
      <w:bookmarkStart w:id="23" w:name="_Toc420273574"/>
      <w:bookmarkStart w:id="24" w:name="_Toc431811212"/>
      <w:bookmarkStart w:id="25" w:name="_Toc463267643"/>
      <w:bookmarkStart w:id="26" w:name="_Toc531606230"/>
      <w:bookmarkStart w:id="27" w:name="_Toc29298312"/>
      <w:r w:rsidRPr="006B3F59">
        <w:t>Platný ÚP</w:t>
      </w:r>
      <w:r w:rsidRPr="006B3F59">
        <w:rPr>
          <w:lang w:val="cs-CZ"/>
        </w:rPr>
        <w:t xml:space="preserve"> SÚ hl. m. Prahy,</w:t>
      </w:r>
      <w:r w:rsidR="00A23E16" w:rsidRPr="006B3F59">
        <w:t xml:space="preserve"> </w:t>
      </w:r>
    </w:p>
    <w:p w14:paraId="6D0041DB" w14:textId="76485946" w:rsidR="00652118" w:rsidRPr="006B3F59" w:rsidRDefault="00652118" w:rsidP="00445EBD">
      <w:pPr>
        <w:pStyle w:val="seznamsodrkami"/>
        <w:numPr>
          <w:ilvl w:val="0"/>
          <w:numId w:val="20"/>
        </w:numPr>
        <w:tabs>
          <w:tab w:val="clear" w:pos="357"/>
          <w:tab w:val="left" w:pos="426"/>
        </w:tabs>
        <w:spacing w:before="0"/>
        <w:ind w:left="426" w:hanging="426"/>
      </w:pPr>
      <w:r w:rsidRPr="006B3F59">
        <w:rPr>
          <w:lang w:val="cs-CZ"/>
        </w:rPr>
        <w:t xml:space="preserve">Zásady územního rozvoje </w:t>
      </w:r>
      <w:r w:rsidR="000D0CE1" w:rsidRPr="006B3F59">
        <w:rPr>
          <w:lang w:val="cs-CZ"/>
        </w:rPr>
        <w:t>hl. m. Prahy</w:t>
      </w:r>
      <w:r w:rsidRPr="006B3F59">
        <w:rPr>
          <w:lang w:val="cs-CZ"/>
        </w:rPr>
        <w:t>,</w:t>
      </w:r>
      <w:r w:rsidR="00760B94" w:rsidRPr="006B3F59">
        <w:rPr>
          <w:lang w:val="cs-CZ"/>
        </w:rPr>
        <w:t xml:space="preserve"> v platném znění,</w:t>
      </w:r>
    </w:p>
    <w:p w14:paraId="71D43D80" w14:textId="1FD1668A" w:rsidR="00760B94" w:rsidRPr="006B3F59" w:rsidRDefault="00760B94" w:rsidP="00445EBD">
      <w:pPr>
        <w:pStyle w:val="seznamsodrkami"/>
        <w:numPr>
          <w:ilvl w:val="0"/>
          <w:numId w:val="20"/>
        </w:numPr>
        <w:tabs>
          <w:tab w:val="clear" w:pos="357"/>
          <w:tab w:val="left" w:pos="426"/>
        </w:tabs>
        <w:spacing w:before="0"/>
        <w:ind w:left="426" w:hanging="426"/>
      </w:pPr>
      <w:r w:rsidRPr="006B3F59">
        <w:rPr>
          <w:lang w:val="cs-CZ"/>
        </w:rPr>
        <w:t>ÚAP Prahy pro kraj a pro obec, v platném znění,</w:t>
      </w:r>
    </w:p>
    <w:p w14:paraId="4B281F0E" w14:textId="61B2C180" w:rsidR="00C9626C" w:rsidRPr="006B3F59" w:rsidRDefault="00652118" w:rsidP="00445EBD">
      <w:pPr>
        <w:pStyle w:val="seznamsodrkami"/>
        <w:numPr>
          <w:ilvl w:val="0"/>
          <w:numId w:val="20"/>
        </w:numPr>
        <w:tabs>
          <w:tab w:val="clear" w:pos="357"/>
          <w:tab w:val="left" w:pos="426"/>
        </w:tabs>
        <w:spacing w:before="0"/>
        <w:ind w:left="426" w:hanging="426"/>
      </w:pPr>
      <w:r w:rsidRPr="006B3F59">
        <w:t xml:space="preserve">Textová a grafická část </w:t>
      </w:r>
      <w:r w:rsidR="002C7E62" w:rsidRPr="006B3F59">
        <w:rPr>
          <w:lang w:val="cs-CZ"/>
        </w:rPr>
        <w:t>návrhu změny</w:t>
      </w:r>
      <w:r w:rsidRPr="006B3F59">
        <w:rPr>
          <w:lang w:val="cs-CZ"/>
        </w:rPr>
        <w:t>,</w:t>
      </w:r>
    </w:p>
    <w:p w14:paraId="702EABB1" w14:textId="7C953C12" w:rsidR="00C9626C" w:rsidRPr="006B3F59" w:rsidRDefault="00C9626C" w:rsidP="00325D31">
      <w:pPr>
        <w:pStyle w:val="seznamsodrkami"/>
        <w:numPr>
          <w:ilvl w:val="0"/>
          <w:numId w:val="20"/>
        </w:numPr>
        <w:tabs>
          <w:tab w:val="clear" w:pos="357"/>
          <w:tab w:val="left" w:pos="0"/>
        </w:tabs>
        <w:spacing w:before="0"/>
        <w:ind w:left="426" w:hanging="426"/>
      </w:pPr>
      <w:r w:rsidRPr="006B3F59">
        <w:lastRenderedPageBreak/>
        <w:t xml:space="preserve">Stanovisko Magistrátu hlavního města Prahy k podnětu na změnu územního plánu pro koridor tramvajové trati Podbaba - Suchdol a pro výstavbu nové obytné čtvrti na území Sedlce, k.ú. Suchdol, Sedlec, Lysolaje, Bubeneč a Dejvic vydané pod č.j. MHMP 456845/2020 dne </w:t>
      </w:r>
      <w:r w:rsidR="00894259" w:rsidRPr="006B3F59">
        <w:rPr>
          <w:lang w:val="cs-CZ"/>
        </w:rPr>
        <w:t>18</w:t>
      </w:r>
      <w:r w:rsidRPr="006B3F59">
        <w:t>. 5. 2020.</w:t>
      </w:r>
    </w:p>
    <w:p w14:paraId="1E1081EE" w14:textId="77777777" w:rsidR="007A51F8" w:rsidRPr="006B3F59" w:rsidRDefault="00926A7B" w:rsidP="00445EBD">
      <w:pPr>
        <w:pStyle w:val="Odrky1"/>
        <w:numPr>
          <w:ilvl w:val="0"/>
          <w:numId w:val="20"/>
        </w:numPr>
        <w:tabs>
          <w:tab w:val="left" w:pos="426"/>
        </w:tabs>
        <w:ind w:left="426" w:hanging="426"/>
      </w:pPr>
      <w:r w:rsidRPr="006B3F59">
        <w:t>Urbanistická studie Nový Sedlec, IPR Praha, 12/2021.</w:t>
      </w:r>
    </w:p>
    <w:p w14:paraId="2DD44EDE" w14:textId="78FD1CB5" w:rsidR="007A51F8" w:rsidRPr="006B3F59" w:rsidRDefault="007A51F8" w:rsidP="00445EBD">
      <w:pPr>
        <w:pStyle w:val="Odrky1"/>
        <w:numPr>
          <w:ilvl w:val="0"/>
          <w:numId w:val="20"/>
        </w:numPr>
        <w:tabs>
          <w:tab w:val="left" w:pos="426"/>
        </w:tabs>
        <w:ind w:left="426" w:hanging="426"/>
      </w:pPr>
      <w:r w:rsidRPr="006B3F59">
        <w:t>Podnět na změnu č. 66 / 2020, Koordinovaný rozvoj Nového Sedlce, Magistrát hl. m. Prahy Odbor územního rozvoje, 2020.</w:t>
      </w:r>
    </w:p>
    <w:p w14:paraId="0B3C374F" w14:textId="77777777" w:rsidR="00BE10B3" w:rsidRPr="006B3F59" w:rsidRDefault="00BE10B3" w:rsidP="0002533C">
      <w:pPr>
        <w:rPr>
          <w:rStyle w:val="ListLabel1"/>
        </w:rPr>
      </w:pPr>
      <w:r w:rsidRPr="006B3F59">
        <w:rPr>
          <w:rStyle w:val="ListLabel1"/>
        </w:rPr>
        <w:t>Vymezení řešeného území</w:t>
      </w:r>
      <w:bookmarkEnd w:id="23"/>
      <w:bookmarkEnd w:id="24"/>
      <w:bookmarkEnd w:id="25"/>
      <w:bookmarkEnd w:id="26"/>
      <w:bookmarkEnd w:id="27"/>
    </w:p>
    <w:p w14:paraId="68F77536" w14:textId="68BDBB74" w:rsidR="00DF6F57" w:rsidRPr="006B3F59" w:rsidRDefault="00D50EF7" w:rsidP="00926A7B">
      <w:r w:rsidRPr="006B3F59">
        <w:t>Z</w:t>
      </w:r>
      <w:r w:rsidR="00DF6F57" w:rsidRPr="006B3F59">
        <w:t>de posuzovaná</w:t>
      </w:r>
      <w:r w:rsidR="00DA7545" w:rsidRPr="006B3F59">
        <w:t xml:space="preserve"> </w:t>
      </w:r>
      <w:r w:rsidR="00DF6F57" w:rsidRPr="006B3F59">
        <w:t>změna</w:t>
      </w:r>
      <w:r w:rsidR="00B67180" w:rsidRPr="006B3F59">
        <w:t xml:space="preserve"> </w:t>
      </w:r>
      <w:r w:rsidR="00DA7545" w:rsidRPr="006B3F59">
        <w:t xml:space="preserve">řeší </w:t>
      </w:r>
      <w:r w:rsidR="00926A7B" w:rsidRPr="006B3F59">
        <w:t xml:space="preserve">změnu funkčního </w:t>
      </w:r>
      <w:r w:rsidR="004856A2">
        <w:t xml:space="preserve">a prostorového </w:t>
      </w:r>
      <w:r w:rsidR="00926A7B" w:rsidRPr="006B3F59">
        <w:t xml:space="preserve">využití území pro koridor tramvajové trati </w:t>
      </w:r>
      <w:r w:rsidR="001D749A" w:rsidRPr="006B3F59">
        <w:t>Podbaba – Suchdol</w:t>
      </w:r>
      <w:r w:rsidR="00926A7B" w:rsidRPr="006B3F59">
        <w:t xml:space="preserve"> a pro výstavbu nové obytné čtvrti na území Sedlce, k.ú. Suchdol, Sedlec, Lysolaje, Bubeneč a Dejvice</w:t>
      </w:r>
      <w:r w:rsidR="00F436C0" w:rsidRPr="006B3F59">
        <w:t xml:space="preserve">. Nejedná se o </w:t>
      </w:r>
      <w:r w:rsidR="00DF6F57" w:rsidRPr="006B3F59">
        <w:t>systémovou změnu</w:t>
      </w:r>
      <w:r w:rsidR="00F436C0" w:rsidRPr="006B3F59">
        <w:t>, kter</w:t>
      </w:r>
      <w:r w:rsidR="00DF6F57" w:rsidRPr="006B3F59">
        <w:t>á</w:t>
      </w:r>
      <w:r w:rsidR="00F436C0" w:rsidRPr="006B3F59">
        <w:t xml:space="preserve"> by měl</w:t>
      </w:r>
      <w:r w:rsidR="00DF6F57" w:rsidRPr="006B3F59">
        <w:t>a</w:t>
      </w:r>
      <w:r w:rsidR="00F436C0" w:rsidRPr="006B3F59">
        <w:t xml:space="preserve"> vliv na koncepční řešení územního plánu</w:t>
      </w:r>
      <w:r w:rsidR="00DF6F57" w:rsidRPr="006B3F59">
        <w:t xml:space="preserve"> jako celku</w:t>
      </w:r>
      <w:r w:rsidR="00F436C0" w:rsidRPr="006B3F59">
        <w:t xml:space="preserve">. </w:t>
      </w:r>
    </w:p>
    <w:p w14:paraId="377AFBC7" w14:textId="79AF78DB" w:rsidR="007E0673" w:rsidRPr="006B3F59" w:rsidRDefault="007E0673" w:rsidP="007E0673">
      <w:r w:rsidRPr="006B3F59">
        <w:t xml:space="preserve">Dotčené území se nachází v městské části Praha 6, Praha-Lysolaje a Praha-Suchdol. Řešené území je převážně umístěno podél ul. Kamýcká, Roztocká a Podbabská. Řešené území zahrnuje oblast tzv. Nového Sedlce a Výhledů, okrajové části MČ </w:t>
      </w:r>
      <w:r w:rsidR="001D749A" w:rsidRPr="006B3F59">
        <w:t>Praha – Suchdol</w:t>
      </w:r>
      <w:r w:rsidRPr="006B3F59">
        <w:t>. Obě tyto oblasti jsou vzájemně provázány Kamýckou ulicí, kterou je plánováno vedení budoucí tramvajové trati z Podbaby do Suchdola.</w:t>
      </w:r>
    </w:p>
    <w:p w14:paraId="5E44D4B0" w14:textId="543DD074" w:rsidR="00487335" w:rsidRPr="006B3F59" w:rsidRDefault="00926A7B" w:rsidP="00DF6F57">
      <w:r w:rsidRPr="006B3F59">
        <w:t xml:space="preserve">Na ploše cca 32 ha lze předpokládat postupný rozvoj a zástavbu. Území protíná navrhovaná trasa tramvajového spojení Dejvic se Suchdolem, která je jednou z prioritních tratí dle schválené Strategie rozvoje tramvajových tratí v Praze do roku 2030. Střetávají se tu zájmy vlastníků pozemků — státu, města, městských částí a soukromých subjektů i osob. </w:t>
      </w:r>
      <w:r w:rsidR="007A51F8" w:rsidRPr="006B3F59">
        <w:t>Jižně</w:t>
      </w:r>
      <w:r w:rsidRPr="006B3F59">
        <w:t xml:space="preserve"> od Kamýcké ulice, v okolí historické cihelny a bývalých mrazíren, navazuje území s dalšími podněty na změny ÚP pro bytovou výstavbu. </w:t>
      </w:r>
      <w:r w:rsidR="00487335" w:rsidRPr="006B3F59">
        <w:t>Na předmětných pozemcích se nachází stavební objekty, zpevněné plochy a částečně také zeleň.</w:t>
      </w:r>
      <w:r w:rsidRPr="006B3F59">
        <w:t xml:space="preserve"> Cílem je koordinovat záměry rozdílných subjektů v území a projektu tramvajové trati do Suchdola, sjednotit množství změn územního plánu v lokalitě, dosáhnout dohody všech aktérů a urychlit proces plánování a koordinace jak tramvajové trati, tak bytové výstavby a veřejné vybavenosti.</w:t>
      </w:r>
    </w:p>
    <w:p w14:paraId="6D078CF3" w14:textId="0994901D" w:rsidR="00917F14" w:rsidRPr="006B3F59" w:rsidRDefault="00917F14" w:rsidP="00917F14">
      <w:r w:rsidRPr="006B3F59">
        <w:t xml:space="preserve">Řešené území na jihu navazuje na stávající tramvajovou smyčku v Podbabě a dále pokračuje Podbabskou a Roztockou ulicí až ke křižovatce s ulicí Kamýckou. Zde se rozšiřuje a umožňuje návrh zástavby v okolí nové tramvajové trati. Jedná se o lokalitu zvanou Nový Sedlec – jednu ze dvou </w:t>
      </w:r>
      <w:r w:rsidR="00445EBD">
        <w:t xml:space="preserve">rozvojových </w:t>
      </w:r>
      <w:r w:rsidRPr="006B3F59">
        <w:t>oblastí, kde se navrhuje nová zástavba. Jde o plochy vymezené ze severu Kamýckou ulicí, z východu železnicí, z jihu a jihovýchodu hranou Podbabských skal a Lysolajského údolí a na západě stávající zástavbou rodinných domů při ulici Nad Podbabskou skálou. Suchdolem prochází řešené území převážně v rozsahu Kamýcké ulice, kterou vede navrhovaná tramvajová trať. Řešené území končí v oblasti nazvané Výhledy, kde se opět mírně rozšiřuje na dnes nezastavěné pozemky mezi Kamýckou ulicí a zástavbou Starého Suchdola. V oblasti Výhledů má končit nová tramvajová trať smyčkou.</w:t>
      </w:r>
    </w:p>
    <w:p w14:paraId="3177BB4A" w14:textId="4D7A1D78" w:rsidR="0029487B" w:rsidRPr="006B3F59" w:rsidRDefault="0029487B" w:rsidP="00917F14">
      <w:r w:rsidRPr="006B3F59">
        <w:t>V řešeném území je vymezena přírodní památka Podbabské skály, evropsky významná oblast (EVL) Kaňon Vltavy u Sedlce, celoměstský systém zeleně a územní systém ekologické stability (ÚSES).</w:t>
      </w:r>
    </w:p>
    <w:p w14:paraId="796FE785" w14:textId="0A61CC68" w:rsidR="00DF6F57" w:rsidRPr="006B3F59" w:rsidRDefault="00894259" w:rsidP="00DF6F57">
      <w:r w:rsidRPr="006B3F59">
        <w:rPr>
          <w:noProof/>
        </w:rPr>
        <w:lastRenderedPageBreak/>
        <w:drawing>
          <wp:inline distT="0" distB="0" distL="0" distR="0" wp14:anchorId="64EB5645" wp14:editId="05D745C9">
            <wp:extent cx="6120130" cy="4065905"/>
            <wp:effectExtent l="0" t="0" r="0" b="0"/>
            <wp:docPr id="8" name="Obráze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20130" cy="4065905"/>
                    </a:xfrm>
                    <a:prstGeom prst="rect">
                      <a:avLst/>
                    </a:prstGeom>
                  </pic:spPr>
                </pic:pic>
              </a:graphicData>
            </a:graphic>
          </wp:inline>
        </w:drawing>
      </w:r>
    </w:p>
    <w:p w14:paraId="334ECACE" w14:textId="6D078521" w:rsidR="00A61AF5" w:rsidRPr="006B3F59" w:rsidRDefault="00894259" w:rsidP="00DF6F57">
      <w:pPr>
        <w:pStyle w:val="Obrnadpis"/>
      </w:pPr>
      <w:bookmarkStart w:id="28" w:name="_Toc138848189"/>
      <w:r w:rsidRPr="006B3F59">
        <w:t>Zákres</w:t>
      </w:r>
      <w:r w:rsidR="00DF6F57" w:rsidRPr="006B3F59">
        <w:t xml:space="preserve"> řešeného území</w:t>
      </w:r>
      <w:r w:rsidRPr="006B3F59">
        <w:t xml:space="preserve"> do ortofoto</w:t>
      </w:r>
      <w:r w:rsidR="009E0797" w:rsidRPr="006B3F59">
        <w:t xml:space="preserve">, zdroj: </w:t>
      </w:r>
      <w:r w:rsidRPr="006B3F59">
        <w:t>IPR</w:t>
      </w:r>
      <w:bookmarkEnd w:id="28"/>
    </w:p>
    <w:p w14:paraId="548B43F0" w14:textId="376B46CB" w:rsidR="00894259" w:rsidRPr="006B3F59" w:rsidRDefault="00894259" w:rsidP="00894259">
      <w:pPr>
        <w:rPr>
          <w:lang w:eastAsia="cs-CZ"/>
        </w:rPr>
      </w:pPr>
      <w:r w:rsidRPr="006B3F59">
        <w:rPr>
          <w:noProof/>
          <w:lang w:eastAsia="cs-CZ"/>
        </w:rPr>
        <w:drawing>
          <wp:inline distT="0" distB="0" distL="0" distR="0" wp14:anchorId="1E376110" wp14:editId="57857F23">
            <wp:extent cx="6120130" cy="4060190"/>
            <wp:effectExtent l="0" t="0" r="0" b="0"/>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120130" cy="4060190"/>
                    </a:xfrm>
                    <a:prstGeom prst="rect">
                      <a:avLst/>
                    </a:prstGeom>
                  </pic:spPr>
                </pic:pic>
              </a:graphicData>
            </a:graphic>
          </wp:inline>
        </w:drawing>
      </w:r>
    </w:p>
    <w:p w14:paraId="2987B4DC" w14:textId="2460F9EC" w:rsidR="00894259" w:rsidRPr="006B3F59" w:rsidRDefault="00894259" w:rsidP="00894259">
      <w:pPr>
        <w:pStyle w:val="Obrnadpis"/>
      </w:pPr>
      <w:bookmarkStart w:id="29" w:name="_Toc138848190"/>
      <w:r w:rsidRPr="006B3F59">
        <w:t>Zákres řešeného území do platného stavu ÚP, zdroj: IPR</w:t>
      </w:r>
      <w:bookmarkEnd w:id="29"/>
    </w:p>
    <w:p w14:paraId="37609EF0" w14:textId="77777777" w:rsidR="00894259" w:rsidRPr="006B3F59" w:rsidRDefault="00894259" w:rsidP="00894259">
      <w:pPr>
        <w:rPr>
          <w:lang w:eastAsia="cs-CZ"/>
        </w:rPr>
      </w:pPr>
    </w:p>
    <w:p w14:paraId="5B6EF9D9" w14:textId="029BF51B" w:rsidR="002A6E8E" w:rsidRPr="006B3F59" w:rsidRDefault="005F7E06" w:rsidP="0002533C">
      <w:pPr>
        <w:rPr>
          <w:rStyle w:val="ListLabel1"/>
        </w:rPr>
      </w:pPr>
      <w:bookmarkStart w:id="30" w:name="_Toc29298314"/>
      <w:bookmarkEnd w:id="12"/>
      <w:r w:rsidRPr="006B3F59">
        <w:rPr>
          <w:rStyle w:val="ListLabel1"/>
        </w:rPr>
        <w:lastRenderedPageBreak/>
        <w:t xml:space="preserve">Metodická východiska použitá pro </w:t>
      </w:r>
      <w:r w:rsidR="0002533C" w:rsidRPr="006B3F59">
        <w:rPr>
          <w:rStyle w:val="ListLabel1"/>
        </w:rPr>
        <w:t xml:space="preserve">VVURÚ </w:t>
      </w:r>
      <w:bookmarkEnd w:id="30"/>
    </w:p>
    <w:p w14:paraId="446BFF80" w14:textId="73B3F5CC" w:rsidR="00BE10B3" w:rsidRPr="006B3F59" w:rsidRDefault="00BE10B3" w:rsidP="00BE10B3">
      <w:bookmarkStart w:id="31" w:name="_Toc531606234"/>
      <w:bookmarkStart w:id="32" w:name="_Toc378670671"/>
      <w:r w:rsidRPr="006B3F59">
        <w:t xml:space="preserve">Zde uvádíme základní metodická východiska, ze kterých vycházel zpracovatel Vyhodnocení na udržitelný rozvoj území v rámci jednotlivých hlavních částí Vyhodnocení, kterými jsou posouzení vlivů na životní prostředí a veřejné zdraví (SEA, viz část A tohoto dokumentu), vyhodnocení vlivů na lokality soustavy Natura 2000 dle § 45i, zákona č. 114/1992 Sb. (část B tohoto dokumentu), vyhodnocení vlivů na ostatní pilíře udržitelného rozvoje a vyváženost podmínek pro udržitelný rozvoj území (část C-F tohoto dokumentu). Stručná charakteristika použitých metod je potom uvedena rovněž v úvodu každé kapitoly. </w:t>
      </w:r>
    </w:p>
    <w:p w14:paraId="7E35A14C" w14:textId="5F697E7C" w:rsidR="00BE10B3" w:rsidRPr="006B3F59" w:rsidRDefault="00BE10B3" w:rsidP="00BE10B3">
      <w:r w:rsidRPr="006B3F59">
        <w:t>Míra podrobnosti hodnocení jednotlivých vlivů odpovídá míře podrobnosti, v jaké je daná část (plocha nebo soubor ploch s konkrétním funkčním využitím</w:t>
      </w:r>
      <w:r w:rsidR="00425E02" w:rsidRPr="006B3F59">
        <w:t>,</w:t>
      </w:r>
      <w:r w:rsidRPr="006B3F59">
        <w:t xml:space="preserve"> tj. plocha s možností umístění záměrů v intencích jejích regulativů) v rámci koncepce definována nebo vymezena.</w:t>
      </w:r>
    </w:p>
    <w:p w14:paraId="6A79CB9B" w14:textId="6D85FE9C" w:rsidR="00BE10B3" w:rsidRPr="006B3F59" w:rsidRDefault="00BE10B3" w:rsidP="00BE10B3">
      <w:r w:rsidRPr="006B3F59">
        <w:t>Tuto tezi potvrzuje i stavební zákon, který stanovuje jak pro „výrokovou část“ územního plánu, tak pro vyhodnocení vlivů na udržitelný rozvoj území (tj. včetně hodnocení vlivů na životní prostředí</w:t>
      </w:r>
      <w:r w:rsidR="00C33560" w:rsidRPr="006B3F59">
        <w:t>)</w:t>
      </w:r>
      <w:r w:rsidRPr="006B3F59">
        <w:t xml:space="preserve"> podmínku, že „…nesmí obsahovat podrobnosti náležející svým obsahem nižším stupňům ÚPD nebo navazujícím rozhodnutím</w:t>
      </w:r>
      <w:r w:rsidR="00C33560" w:rsidRPr="006B3F59">
        <w:t>“</w:t>
      </w:r>
      <w:r w:rsidRPr="006B3F59">
        <w:t>.</w:t>
      </w:r>
    </w:p>
    <w:p w14:paraId="5D84E1D5" w14:textId="0856508D" w:rsidR="00BE10B3" w:rsidRPr="006B3F59" w:rsidRDefault="00BE10B3" w:rsidP="00BE10B3">
      <w:r w:rsidRPr="006B3F59">
        <w:t>Z hlediska „strategic</w:t>
      </w:r>
      <w:r w:rsidR="00F33995" w:rsidRPr="006B3F59">
        <w:t xml:space="preserve">kého“ hodnocení vlivů koncepce </w:t>
      </w:r>
      <w:r w:rsidRPr="006B3F59">
        <w:t xml:space="preserve">je zásadní skutečnost, že se jedná o „plochy a koridory pro umístění stavby“, nikoliv o stavební pozemky nebo pozemky dotčené stavbou. </w:t>
      </w:r>
      <w:r w:rsidR="006D123F" w:rsidRPr="006B3F59">
        <w:t xml:space="preserve">Z těchto důvodů je třeba plochy vymezené </w:t>
      </w:r>
      <w:r w:rsidR="00032D05" w:rsidRPr="006B3F59">
        <w:t>v</w:t>
      </w:r>
      <w:r w:rsidR="00242281" w:rsidRPr="006B3F59">
        <w:t> předkládané ÚPD</w:t>
      </w:r>
      <w:r w:rsidR="006D123F" w:rsidRPr="006B3F59">
        <w:t xml:space="preserve"> považovat za území potenciálně dotčené realizací záměrů, kterým je dán rámec regulativy funkčního využití </w:t>
      </w:r>
      <w:r w:rsidR="00487335" w:rsidRPr="006B3F59">
        <w:t>územ</w:t>
      </w:r>
      <w:r w:rsidR="00AF0DBC" w:rsidRPr="006B3F59">
        <w:t>í</w:t>
      </w:r>
      <w:r w:rsidR="006D123F" w:rsidRPr="006B3F59">
        <w:t>.</w:t>
      </w:r>
    </w:p>
    <w:p w14:paraId="4DD89121" w14:textId="07308AB0" w:rsidR="00BE10B3" w:rsidRPr="006B3F59" w:rsidRDefault="00BE10B3" w:rsidP="00BE10B3">
      <w:r w:rsidRPr="006B3F59">
        <w:t xml:space="preserve">Podrobnější vyhodnocení vlivů </w:t>
      </w:r>
      <w:r w:rsidR="00A04E8C" w:rsidRPr="006B3F59">
        <w:t>navrhovaného využití rozvojových ploch</w:t>
      </w:r>
      <w:r w:rsidRPr="006B3F59">
        <w:t xml:space="preserve"> bylo provedeno s maximálním využitím existujících podkladů, zejména vyhodnocení vlivů </w:t>
      </w:r>
      <w:r w:rsidR="002D61EB" w:rsidRPr="006B3F59">
        <w:t>související ÚPD</w:t>
      </w:r>
      <w:r w:rsidRPr="006B3F59">
        <w:t xml:space="preserve"> v řešeném území</w:t>
      </w:r>
      <w:r w:rsidR="00AF0DBC" w:rsidRPr="006B3F59">
        <w:t xml:space="preserve">, </w:t>
      </w:r>
      <w:r w:rsidRPr="006B3F59">
        <w:t>ZUR</w:t>
      </w:r>
      <w:r w:rsidR="00AF0DBC" w:rsidRPr="006B3F59">
        <w:t xml:space="preserve"> Prahy</w:t>
      </w:r>
      <w:r w:rsidRPr="006B3F59">
        <w:t xml:space="preserve">, aktuálních </w:t>
      </w:r>
      <w:r w:rsidR="00C33560" w:rsidRPr="006B3F59">
        <w:t>Ú</w:t>
      </w:r>
      <w:r w:rsidRPr="006B3F59">
        <w:t>AP a relevantní</w:t>
      </w:r>
      <w:r w:rsidR="0023585C" w:rsidRPr="006B3F59">
        <w:t>ch</w:t>
      </w:r>
      <w:r w:rsidRPr="006B3F59">
        <w:t xml:space="preserve"> dokument</w:t>
      </w:r>
      <w:r w:rsidR="0023585C" w:rsidRPr="006B3F59">
        <w:t>ů</w:t>
      </w:r>
      <w:r w:rsidRPr="006B3F59">
        <w:t xml:space="preserve"> na úrovni posouzení vlivů záměrů v zájmovém území. </w:t>
      </w:r>
    </w:p>
    <w:p w14:paraId="059DDF0C" w14:textId="28D2269B" w:rsidR="00BE10B3" w:rsidRPr="006B3F59" w:rsidRDefault="00BE10B3" w:rsidP="00BE74DB">
      <w:r w:rsidRPr="006B3F59">
        <w:t>Hodnocení bylo provedeno na základě odborného odhadu pomocí hodnotící matice a níže uvedené hodnotící škály jednotlivých potenciálních vlivů (přímých, nepřímých, kumulativních, synergických, dlouhodobých a krátkodobých) a slovním komentářem</w:t>
      </w:r>
      <w:r w:rsidR="00AF0DBC" w:rsidRPr="006B3F59">
        <w:t>, podrobněji viz kap. A.VI. tohoto dokumentu</w:t>
      </w:r>
      <w:r w:rsidRPr="006B3F59">
        <w:t>. Oba kroky budou posuzovat nejen dopady vymezení nové plochy</w:t>
      </w:r>
      <w:r w:rsidR="00FA551C" w:rsidRPr="006B3F59">
        <w:t>,</w:t>
      </w:r>
      <w:r w:rsidRPr="006B3F59">
        <w:t xml:space="preserve"> resp. </w:t>
      </w:r>
      <w:r w:rsidR="00BE74DB" w:rsidRPr="006B3F59">
        <w:t xml:space="preserve">koridoru a potenciál v nich </w:t>
      </w:r>
      <w:r w:rsidRPr="006B3F59">
        <w:t xml:space="preserve">obsažených záměrů v místě realizace, ale současně i změnu, kterou funkční využití území přináší v kontextu ploch s rozdílným způsobem využití i ploch stabilizovaných. </w:t>
      </w:r>
    </w:p>
    <w:p w14:paraId="148290DA" w14:textId="0EEF064F" w:rsidR="00BE10B3" w:rsidRPr="006B3F59" w:rsidRDefault="00BE10B3" w:rsidP="00BE10B3">
      <w:r w:rsidRPr="006B3F59">
        <w:t xml:space="preserve">V případě, </w:t>
      </w:r>
      <w:r w:rsidR="00BE74DB" w:rsidRPr="006B3F59">
        <w:t>kdy</w:t>
      </w:r>
      <w:r w:rsidRPr="006B3F59">
        <w:t xml:space="preserve"> bylo identifikováno potenciálně zvýšené riziko pro životní prostředí a veřejné zdraví v dotčeném území nebo na udržitelný rozvoj území jako celek, byla formulována opatření k eliminaci tohoto rizika.</w:t>
      </w:r>
    </w:p>
    <w:p w14:paraId="6FFBA53A" w14:textId="3FA31B55" w:rsidR="00BE10B3" w:rsidRPr="006B3F59" w:rsidRDefault="00BE10B3" w:rsidP="00BE10B3">
      <w:pPr>
        <w:pStyle w:val="seznamsodrkami"/>
        <w:numPr>
          <w:ilvl w:val="0"/>
          <w:numId w:val="0"/>
        </w:numPr>
        <w:tabs>
          <w:tab w:val="clear" w:pos="357"/>
          <w:tab w:val="left" w:pos="0"/>
        </w:tabs>
        <w:rPr>
          <w:lang w:val="cs-CZ"/>
        </w:rPr>
      </w:pPr>
      <w:r w:rsidRPr="006B3F59">
        <w:rPr>
          <w:lang w:val="cs-CZ"/>
        </w:rPr>
        <w:t xml:space="preserve">Následně byla vyjádřena akceptovatelnost </w:t>
      </w:r>
      <w:r w:rsidR="00F323BA" w:rsidRPr="006B3F59">
        <w:rPr>
          <w:lang w:val="cs-CZ"/>
        </w:rPr>
        <w:t>návrhu</w:t>
      </w:r>
      <w:r w:rsidRPr="006B3F59">
        <w:rPr>
          <w:lang w:val="cs-CZ"/>
        </w:rPr>
        <w:t xml:space="preserve">, resp. </w:t>
      </w:r>
      <w:r w:rsidR="00AF0DBC" w:rsidRPr="006B3F59">
        <w:rPr>
          <w:lang w:val="cs-CZ"/>
        </w:rPr>
        <w:t>byla navržena</w:t>
      </w:r>
      <w:r w:rsidRPr="006B3F59">
        <w:rPr>
          <w:lang w:val="cs-CZ"/>
        </w:rPr>
        <w:t xml:space="preserve"> opatření pro snížení</w:t>
      </w:r>
      <w:r w:rsidR="00AF0DBC" w:rsidRPr="006B3F59">
        <w:rPr>
          <w:lang w:val="cs-CZ"/>
        </w:rPr>
        <w:t xml:space="preserve"> identifikovaných</w:t>
      </w:r>
      <w:r w:rsidRPr="006B3F59">
        <w:rPr>
          <w:lang w:val="cs-CZ"/>
        </w:rPr>
        <w:t xml:space="preserve"> n</w:t>
      </w:r>
      <w:r w:rsidR="00BE74DB" w:rsidRPr="006B3F59">
        <w:rPr>
          <w:lang w:val="cs-CZ"/>
        </w:rPr>
        <w:t>egativních vlivů na sledovaná kritéria</w:t>
      </w:r>
      <w:r w:rsidRPr="006B3F59">
        <w:rPr>
          <w:lang w:val="cs-CZ"/>
        </w:rPr>
        <w:t xml:space="preserve"> udržitelného rozvoje včetně vlivů kumulativních a synergických. </w:t>
      </w:r>
    </w:p>
    <w:p w14:paraId="23FE9E74" w14:textId="2B3B060C" w:rsidR="00BE10B3" w:rsidRPr="006B3F59" w:rsidRDefault="00BE10B3" w:rsidP="00BE10B3">
      <w:r w:rsidRPr="006B3F59">
        <w:t xml:space="preserve">Nakonec byl proveden závěrečný souhrnný hodnotící komentář shrnující nejvýznamnější identifikované vlivy včetně vlivů kumulativních a synergických a shrnuty vlivy </w:t>
      </w:r>
      <w:r w:rsidR="00A04E8C" w:rsidRPr="006B3F59">
        <w:t>návrh</w:t>
      </w:r>
      <w:r w:rsidR="007A5F91" w:rsidRPr="006B3F59">
        <w:t>u</w:t>
      </w:r>
      <w:r w:rsidR="00A04E8C" w:rsidRPr="006B3F59">
        <w:t xml:space="preserve"> územního plánu</w:t>
      </w:r>
      <w:r w:rsidRPr="006B3F59">
        <w:t xml:space="preserve"> jako celku.</w:t>
      </w:r>
    </w:p>
    <w:p w14:paraId="7A118FB2" w14:textId="60C95344" w:rsidR="00BE10B3" w:rsidRPr="006B3F59" w:rsidRDefault="00BE10B3" w:rsidP="007C4DDB">
      <w:pPr>
        <w:spacing w:after="240"/>
      </w:pPr>
      <w:r w:rsidRPr="006B3F59">
        <w:t xml:space="preserve">Hodnocení vlivů </w:t>
      </w:r>
      <w:r w:rsidR="00C75487" w:rsidRPr="006B3F59">
        <w:t xml:space="preserve">předkládaného návrhu </w:t>
      </w:r>
      <w:r w:rsidR="00F33995" w:rsidRPr="006B3F59">
        <w:t>změn</w:t>
      </w:r>
      <w:r w:rsidR="0029487B" w:rsidRPr="006B3F59">
        <w:t>y</w:t>
      </w:r>
      <w:r w:rsidR="00F33995" w:rsidRPr="006B3F59">
        <w:t xml:space="preserve"> ÚPD</w:t>
      </w:r>
      <w:r w:rsidRPr="006B3F59">
        <w:t xml:space="preserve"> na </w:t>
      </w:r>
      <w:r w:rsidR="00487335" w:rsidRPr="006B3F59">
        <w:t>udržitelný rozvoj</w:t>
      </w:r>
      <w:r w:rsidRPr="006B3F59">
        <w:t xml:space="preserve"> je provedeno v členění na následující složky</w:t>
      </w:r>
      <w:r w:rsidR="00B3186A" w:rsidRPr="006B3F59">
        <w:t>,</w:t>
      </w:r>
      <w:r w:rsidRPr="006B3F59">
        <w:t xml:space="preserve"> resp. témata udržitelného rozvoje:</w:t>
      </w:r>
    </w:p>
    <w:p w14:paraId="486F203E" w14:textId="77777777" w:rsidR="00487335" w:rsidRPr="006B3F59" w:rsidRDefault="00487335" w:rsidP="00487335">
      <w:pPr>
        <w:spacing w:before="0"/>
        <w:ind w:left="567" w:hanging="283"/>
        <w:rPr>
          <w:bCs/>
        </w:rPr>
      </w:pPr>
      <w:r w:rsidRPr="006B3F59">
        <w:rPr>
          <w:bCs/>
        </w:rPr>
        <w:t>1. obyvatelstvo, veřejné zdraví,</w:t>
      </w:r>
    </w:p>
    <w:p w14:paraId="6A34D67E" w14:textId="77777777" w:rsidR="00487335" w:rsidRPr="006B3F59" w:rsidRDefault="00487335" w:rsidP="00487335">
      <w:pPr>
        <w:spacing w:before="0"/>
        <w:ind w:left="567" w:hanging="283"/>
        <w:rPr>
          <w:bCs/>
        </w:rPr>
      </w:pPr>
      <w:r w:rsidRPr="006B3F59">
        <w:rPr>
          <w:bCs/>
        </w:rPr>
        <w:t>2. flóra, fauna, biodiverzita, ochrana přírody a krajiny,</w:t>
      </w:r>
    </w:p>
    <w:p w14:paraId="0815962A" w14:textId="77777777" w:rsidR="00487335" w:rsidRPr="006B3F59" w:rsidRDefault="00487335" w:rsidP="00487335">
      <w:pPr>
        <w:spacing w:before="0"/>
        <w:ind w:left="567" w:hanging="283"/>
        <w:rPr>
          <w:bCs/>
        </w:rPr>
      </w:pPr>
      <w:r w:rsidRPr="006B3F59">
        <w:rPr>
          <w:bCs/>
        </w:rPr>
        <w:t xml:space="preserve">3. půda </w:t>
      </w:r>
    </w:p>
    <w:p w14:paraId="3F2E7C6F" w14:textId="77777777" w:rsidR="00487335" w:rsidRPr="006B3F59" w:rsidRDefault="00487335" w:rsidP="00487335">
      <w:pPr>
        <w:spacing w:before="0"/>
        <w:ind w:left="567" w:hanging="283"/>
        <w:rPr>
          <w:bCs/>
        </w:rPr>
      </w:pPr>
      <w:r w:rsidRPr="006B3F59">
        <w:rPr>
          <w:bCs/>
        </w:rPr>
        <w:t>4. horninové prostředí,</w:t>
      </w:r>
    </w:p>
    <w:p w14:paraId="75688A7C" w14:textId="77777777" w:rsidR="00487335" w:rsidRPr="006B3F59" w:rsidRDefault="00487335" w:rsidP="00487335">
      <w:pPr>
        <w:spacing w:before="0"/>
        <w:ind w:left="567" w:hanging="283"/>
        <w:rPr>
          <w:bCs/>
        </w:rPr>
      </w:pPr>
      <w:r w:rsidRPr="006B3F59">
        <w:rPr>
          <w:bCs/>
        </w:rPr>
        <w:t>5. voda,</w:t>
      </w:r>
    </w:p>
    <w:p w14:paraId="4695A0EC" w14:textId="77777777" w:rsidR="00487335" w:rsidRPr="006B3F59" w:rsidRDefault="00487335" w:rsidP="00487335">
      <w:pPr>
        <w:spacing w:before="0"/>
        <w:ind w:left="567" w:hanging="283"/>
        <w:rPr>
          <w:bCs/>
        </w:rPr>
      </w:pPr>
      <w:r w:rsidRPr="006B3F59">
        <w:rPr>
          <w:bCs/>
        </w:rPr>
        <w:t xml:space="preserve">6. ovzduší, </w:t>
      </w:r>
    </w:p>
    <w:p w14:paraId="754B4A88" w14:textId="77777777" w:rsidR="00487335" w:rsidRPr="006B3F59" w:rsidRDefault="00487335" w:rsidP="00487335">
      <w:pPr>
        <w:spacing w:before="0"/>
        <w:ind w:left="567" w:hanging="283"/>
        <w:rPr>
          <w:bCs/>
        </w:rPr>
      </w:pPr>
      <w:r w:rsidRPr="006B3F59">
        <w:rPr>
          <w:bCs/>
        </w:rPr>
        <w:t>7. klima,</w:t>
      </w:r>
    </w:p>
    <w:p w14:paraId="64774A93" w14:textId="77777777" w:rsidR="00487335" w:rsidRPr="006B3F59" w:rsidRDefault="00487335" w:rsidP="00487335">
      <w:pPr>
        <w:spacing w:before="0"/>
        <w:ind w:left="567" w:hanging="283"/>
        <w:rPr>
          <w:bCs/>
        </w:rPr>
      </w:pPr>
      <w:r w:rsidRPr="006B3F59">
        <w:rPr>
          <w:bCs/>
        </w:rPr>
        <w:t>8. hluková zátěž,</w:t>
      </w:r>
    </w:p>
    <w:p w14:paraId="4F74DD51" w14:textId="77777777" w:rsidR="00487335" w:rsidRPr="006B3F59" w:rsidRDefault="00487335" w:rsidP="00487335">
      <w:pPr>
        <w:spacing w:before="0"/>
        <w:ind w:left="567" w:hanging="283"/>
        <w:rPr>
          <w:bCs/>
        </w:rPr>
      </w:pPr>
      <w:r w:rsidRPr="006B3F59">
        <w:rPr>
          <w:bCs/>
        </w:rPr>
        <w:t>8. krajina, sídla a urbanismus</w:t>
      </w:r>
    </w:p>
    <w:p w14:paraId="515B4630" w14:textId="4BD269F1" w:rsidR="00487335" w:rsidRPr="006B3F59" w:rsidRDefault="00487335" w:rsidP="0029487B">
      <w:pPr>
        <w:spacing w:before="0"/>
        <w:ind w:left="426" w:hanging="142"/>
        <w:rPr>
          <w:bCs/>
        </w:rPr>
      </w:pPr>
      <w:r w:rsidRPr="006B3F59">
        <w:rPr>
          <w:bCs/>
        </w:rPr>
        <w:t xml:space="preserve">9. hmotný majetek, nemovité památky a kulturní dědictví včetně dědictví architektonického a archeologického </w:t>
      </w:r>
    </w:p>
    <w:p w14:paraId="35A09081" w14:textId="77777777" w:rsidR="00487335" w:rsidRPr="006B3F59" w:rsidRDefault="00487335" w:rsidP="00487335">
      <w:pPr>
        <w:spacing w:before="0"/>
        <w:ind w:left="567" w:hanging="283"/>
        <w:rPr>
          <w:bCs/>
        </w:rPr>
      </w:pPr>
      <w:r w:rsidRPr="006B3F59">
        <w:rPr>
          <w:bCs/>
        </w:rPr>
        <w:t>10. soudržnost společenství – rekreace, bydlení,</w:t>
      </w:r>
    </w:p>
    <w:p w14:paraId="42981BC4" w14:textId="77777777" w:rsidR="00487335" w:rsidRPr="006B3F59" w:rsidRDefault="00487335" w:rsidP="00487335">
      <w:pPr>
        <w:spacing w:before="0"/>
        <w:ind w:left="567" w:hanging="283"/>
        <w:rPr>
          <w:bCs/>
        </w:rPr>
      </w:pPr>
      <w:r w:rsidRPr="006B3F59">
        <w:rPr>
          <w:bCs/>
        </w:rPr>
        <w:t xml:space="preserve">11. ekonomický rozvoj – výroba a komerce, doprava. </w:t>
      </w:r>
    </w:p>
    <w:p w14:paraId="1FC16E2B" w14:textId="449B5B39" w:rsidR="00487335" w:rsidRPr="006B3F59" w:rsidRDefault="00487335" w:rsidP="00487335">
      <w:bookmarkStart w:id="33" w:name="_Toc531606232"/>
      <w:bookmarkStart w:id="34" w:name="_Toc29298315"/>
      <w:r w:rsidRPr="006B3F59">
        <w:t xml:space="preserve">Hodnocení kumulativních a synergických vlivů je provedeno jako spolupůsobení vymezených </w:t>
      </w:r>
      <w:r w:rsidR="00AF0DBC" w:rsidRPr="006B3F59">
        <w:t xml:space="preserve">ploch, resp. koridorů </w:t>
      </w:r>
      <w:r w:rsidRPr="006B3F59">
        <w:t>v kontextu stávajícího stavu (stávajících vymezených ploch a koridorů a jejich funkčního využití) a ostatních souvisejících výroků ÚPD a stávajících i uvažovaných záměrů a strategických rozhodnutí v souvisejícím území, které je možné identifikovat z veřejně dostupných zdrojů (např. dle IS EIA).</w:t>
      </w:r>
    </w:p>
    <w:p w14:paraId="5AAC3971" w14:textId="32E046C3" w:rsidR="00487335" w:rsidRPr="006B3F59" w:rsidRDefault="00487335" w:rsidP="00487335">
      <w:r w:rsidRPr="006B3F59">
        <w:lastRenderedPageBreak/>
        <w:t>Je nutné si uvědomit, že předkládané posouzení vlivů na životní prostředí, resp. udržitelný rozvoj území je již svo</w:t>
      </w:r>
      <w:r w:rsidR="00AF0DBC" w:rsidRPr="006B3F59">
        <w:t>jí</w:t>
      </w:r>
      <w:r w:rsidRPr="006B3F59">
        <w:t xml:space="preserve"> povahou kumulativní a synergické. Nejsou hodnoceny jednotlivé záměry (</w:t>
      </w:r>
      <w:r w:rsidR="00321220" w:rsidRPr="006B3F59">
        <w:t>plochy a koridory</w:t>
      </w:r>
      <w:r w:rsidRPr="006B3F59">
        <w:t xml:space="preserve"> a podmínky je</w:t>
      </w:r>
      <w:r w:rsidR="00321220" w:rsidRPr="006B3F59">
        <w:t>jich</w:t>
      </w:r>
      <w:r w:rsidRPr="006B3F59">
        <w:t xml:space="preserve"> využití) izolovaně, ale vždy jejich spolupůsobení v kontextu území, do kterého jsou zasazovány a možností jeho využití – stávajících i nově navrhovaných se zohledněním širších vztahů v</w:t>
      </w:r>
      <w:r w:rsidR="00AF0DBC" w:rsidRPr="006B3F59">
        <w:t> </w:t>
      </w:r>
      <w:r w:rsidRPr="006B3F59">
        <w:t>území</w:t>
      </w:r>
      <w:r w:rsidR="00AF0DBC" w:rsidRPr="006B3F59">
        <w:t>, a to jak z hlediska ovlivnění souvisejícího území, tak i z hlediska ovlivnění navrhovaných ploch či koridorů ze strany souvisejících skutečností</w:t>
      </w:r>
      <w:r w:rsidRPr="006B3F59">
        <w:t>. Za tzv. hodnocení kumulativních a synergických vlivů je možné považovat i dílčí vyhodnocení jednotlivých navrhovaných změn využití území</w:t>
      </w:r>
      <w:r w:rsidR="00AF0DBC" w:rsidRPr="006B3F59">
        <w:t xml:space="preserve"> v </w:t>
      </w:r>
      <w:r w:rsidRPr="006B3F59">
        <w:t xml:space="preserve">kontextu všech posuzovaných složek/charakteristik životního prostředí a udržitelného rozvoje. </w:t>
      </w:r>
    </w:p>
    <w:p w14:paraId="1C248B61" w14:textId="77777777" w:rsidR="00487335" w:rsidRPr="006B3F59" w:rsidRDefault="00487335" w:rsidP="00487335">
      <w:r w:rsidRPr="006B3F59">
        <w:t>V rámci analýzy území je tak charakterizována oblast působení kumulativních, resp. synergických vlivů a hlavní spolupůsobící skutečnosti (tj. stávající stav území, jeho navrhované využití, resp. existující záměry v území) s územní či funkční souvislostí vůči posuzovanému výroku.</w:t>
      </w:r>
    </w:p>
    <w:p w14:paraId="4103CE39" w14:textId="77777777" w:rsidR="00487335" w:rsidRPr="006B3F59" w:rsidRDefault="00487335" w:rsidP="00487335">
      <w:r w:rsidRPr="006B3F59">
        <w:t xml:space="preserve">Následně je v případech, kdy jsou synergické, resp. kumulativní vlivy identifikovány, vyhodnocena míra, rozsah a směr spolupůsobení vlivu vůči jednotlivým sledovaným kritériím. </w:t>
      </w:r>
    </w:p>
    <w:p w14:paraId="2628EBEE" w14:textId="77777777" w:rsidR="00BE10B3" w:rsidRPr="006B3F59" w:rsidRDefault="00BE10B3" w:rsidP="0002533C">
      <w:pPr>
        <w:rPr>
          <w:rStyle w:val="ListLabel1"/>
        </w:rPr>
      </w:pPr>
      <w:r w:rsidRPr="006B3F59">
        <w:rPr>
          <w:rStyle w:val="ListLabel1"/>
        </w:rPr>
        <w:t>Metodika vyhodnocení vlivů na životní prostředí (SEA) část A. a B. VVURÚ</w:t>
      </w:r>
      <w:bookmarkEnd w:id="33"/>
      <w:bookmarkEnd w:id="34"/>
    </w:p>
    <w:p w14:paraId="1A66DCCD" w14:textId="77777777" w:rsidR="00321220" w:rsidRPr="006B3F59" w:rsidRDefault="00321220" w:rsidP="00321220">
      <w:bookmarkStart w:id="35" w:name="_Toc29298317"/>
      <w:r w:rsidRPr="006B3F59">
        <w:t>Pro samotné hodnocení byly sestaveny hodnotící tabulky, které představují matici jednotlivých hodnotících kritérií v rámci sledovaných složek, resp. problémových okruhů životního prostředí, reprezentovaných referenčními cíli ochrany životního prostředí (podrobněji viz kapitoly A.VI.1 tohoto dokumentu) a veřejného zdraví versus návrh změny územního plánu, zastavitelné plochy a koridory, rozvojové lokality, resp. podmínky využití ploch (regulativů). Jednotlivá navrhovaná opatření či podmínky využití území tedy byly konfrontovány s vybranými žádoucími pozitivními trendy v podobě referenčních cílů a na základě expertního úsudku zpracovatelského týmu jim byly přiřazeny hodnoty. Následně byly hlavní charakteristiky vlivu plochy na ŽP jako celek okomentovány, a to zejména při identifikovaném negativním vlivu, resp. při zjištění kumulativních či synergických vlivů. Pro zjištění, zda a jakým způsobem může mít předkládaný návrh změny ÚPD při realizaci závažné vlivy na životní prostředí a veřejné zdraví, bylo provedeno hodnocení navržených opatření obsažených v posuzované ÚPD, tj. funkčních ploch a podmínek jejich využití vzhledem k referenčním cílům ochrany životního prostředí a veřejného zdraví, tj. zda a jakým způsobem bude uplatnění navrhovaných opatření v rámci návrhu změny ÚP přispívat či nikoliv k naplňování referenčních cílů. Zjištěné vlivy byly vyhodnoceny dle charakteristik vlivu a stupnice významnosti vlivu z hlediska míry vlivu, rozsahu vlivu, délky trvání vlivu, komentován byl mechanismus působení (přímé, nepřímé, zprostředkované, sekundární vlivy) a vyhodnoceno bylo rovněž spolupůsobení v kontextu ostatních skutečností, jevů, záměrů a strategických dokumentů přítomných nebo uvažovaných v souvisejícím území.</w:t>
      </w:r>
    </w:p>
    <w:p w14:paraId="77316FEC" w14:textId="77777777" w:rsidR="00321220" w:rsidRPr="006B3F59" w:rsidRDefault="00321220" w:rsidP="00321220">
      <w:pPr>
        <w:pStyle w:val="Podnadpis1"/>
      </w:pPr>
      <w:r w:rsidRPr="006B3F59">
        <w:t>Vyhodnocení kumulativních a synergických vlivů</w:t>
      </w:r>
    </w:p>
    <w:p w14:paraId="3E9FAD91" w14:textId="77777777" w:rsidR="00321220" w:rsidRPr="006B3F59" w:rsidRDefault="00321220" w:rsidP="00321220">
      <w:r w:rsidRPr="006B3F59">
        <w:t>Kumulativní (hromadný) vliv je dán součtem vlivů stejného druhu z různých zdrojů stejného druhu, přičemž při posuzování jednotlivých zdrojů izolovaně by takový vliv nemusel být shledán.</w:t>
      </w:r>
    </w:p>
    <w:p w14:paraId="0ED25ED5" w14:textId="7E4481E0" w:rsidR="00321220" w:rsidRPr="006B3F59" w:rsidRDefault="00321220" w:rsidP="00321220">
      <w:r w:rsidRPr="006B3F59">
        <w:t xml:space="preserve">Synergický (společný) </w:t>
      </w:r>
      <w:r w:rsidR="003577E4" w:rsidRPr="006B3F59">
        <w:t>vliv – vzniká</w:t>
      </w:r>
      <w:r w:rsidRPr="006B3F59">
        <w:t xml:space="preserve"> působením vlivů různého druhu na danou složku životního prostředí.</w:t>
      </w:r>
    </w:p>
    <w:p w14:paraId="378CCBF9" w14:textId="77777777" w:rsidR="00321220" w:rsidRPr="006B3F59" w:rsidRDefault="00321220" w:rsidP="00321220">
      <w:r w:rsidRPr="006B3F59">
        <w:t xml:space="preserve">Kumulativními a synergickými vlivy tak lze rozumět účinky vzniklé v důsledku hromadného nebo společného působení. Rozdíl mezi oběma pojmy v oblasti posuzování vlivů na životní prostředí je možno demonstrovat následovně: kumulativní (hromadný vliv) je dán součtem vlivů stejného druhu, např. více menších zdrojů oxidu dusičitého z dopravy umístěných blízko sebe způsobí významný vliv na ovzduší „nahromaděním“ těchto emisí, přičemž při posuzování jednotlivých zdrojů izolovaně by takový vliv nemusel být shledán. Synergický (společný) vliv vzniká působením vlivů různého druhu a je od těchto vlivů odlišný, např. současné působení vícero zdrojů různých emisí (průmyslové objekty, povrchové doly, automobilová doprava, letecká doprava) může mít za následek např. kombinované vlivy na lidské zdraví, tento druh vlivů je však velmi těžce měřitelný. </w:t>
      </w:r>
    </w:p>
    <w:p w14:paraId="2F79EAF2" w14:textId="4840B58C" w:rsidR="00321220" w:rsidRPr="006B3F59" w:rsidRDefault="00321220" w:rsidP="00321220">
      <w:r w:rsidRPr="006B3F59">
        <w:t xml:space="preserve">Zdrojem kumulativních a synergických vlivů je prostorová </w:t>
      </w:r>
      <w:r w:rsidR="00AF0DBC" w:rsidRPr="006B3F59">
        <w:t xml:space="preserve">nebo funkční </w:t>
      </w:r>
      <w:r w:rsidRPr="006B3F59">
        <w:t>koncentrace navrhovaných aktivit v prostorově či funkčně omezené části řešeného území.</w:t>
      </w:r>
    </w:p>
    <w:p w14:paraId="7337176F" w14:textId="77777777" w:rsidR="00321220" w:rsidRPr="006B3F59" w:rsidRDefault="00321220" w:rsidP="00321220">
      <w:r w:rsidRPr="006B3F59">
        <w:t>Míra podrobnosti hodnocení jednotlivých vlivů odpovídá míře podrobnosti, v jaké je daná část (jev, záměr) v rámci koncepce definována nebo vymezena.</w:t>
      </w:r>
    </w:p>
    <w:p w14:paraId="238AEF24" w14:textId="77777777" w:rsidR="00321220" w:rsidRPr="006B3F59" w:rsidRDefault="00321220" w:rsidP="00321220">
      <w:r w:rsidRPr="006B3F59">
        <w:t>Dle Metodiky vyhodnocení vlivů PÚR ČR a ÚPD na životní prostředí má část hodnocení kumulativních a synergických vlivů za úkol shrnout závěry vyhodnocení provedeného především při hodnocení rozvojových ploch a koridorů v předchozích krocích SEA se zaměřením právě na kumulativní a synergické vlivy. S ohledem na závěry rozsudku NSS č. 1Ao 7/2011-526 musí být obsahem tohoto shrnutí:</w:t>
      </w:r>
    </w:p>
    <w:p w14:paraId="24050E9F" w14:textId="77777777" w:rsidR="00321220" w:rsidRPr="006B3F59" w:rsidRDefault="00321220">
      <w:pPr>
        <w:pStyle w:val="Odrky1"/>
        <w:numPr>
          <w:ilvl w:val="0"/>
          <w:numId w:val="26"/>
        </w:numPr>
      </w:pPr>
      <w:r w:rsidRPr="006B3F59">
        <w:t xml:space="preserve">Výčet nejvýznamnějších případů zjištění kumulativních a synergických vlivů. </w:t>
      </w:r>
    </w:p>
    <w:p w14:paraId="710EBBBB" w14:textId="77777777" w:rsidR="00321220" w:rsidRPr="006B3F59" w:rsidRDefault="00321220">
      <w:pPr>
        <w:pStyle w:val="Odrky1"/>
        <w:numPr>
          <w:ilvl w:val="0"/>
          <w:numId w:val="26"/>
        </w:numPr>
      </w:pPr>
      <w:r w:rsidRPr="006B3F59">
        <w:t xml:space="preserve">Identifikace dotčených složek životního prostředí (jevů, charakteristik). </w:t>
      </w:r>
    </w:p>
    <w:p w14:paraId="5D44EA32" w14:textId="77777777" w:rsidR="00321220" w:rsidRPr="006B3F59" w:rsidRDefault="00321220">
      <w:pPr>
        <w:pStyle w:val="Odrky1"/>
        <w:numPr>
          <w:ilvl w:val="0"/>
          <w:numId w:val="26"/>
        </w:numPr>
      </w:pPr>
      <w:r w:rsidRPr="006B3F59">
        <w:t xml:space="preserve">Územní identifikace těchto vlivů. </w:t>
      </w:r>
    </w:p>
    <w:p w14:paraId="37D96458" w14:textId="77777777" w:rsidR="00321220" w:rsidRPr="006B3F59" w:rsidRDefault="00321220">
      <w:pPr>
        <w:pStyle w:val="Odrky1"/>
        <w:numPr>
          <w:ilvl w:val="0"/>
          <w:numId w:val="26"/>
        </w:numPr>
      </w:pPr>
      <w:r w:rsidRPr="006B3F59">
        <w:lastRenderedPageBreak/>
        <w:t xml:space="preserve">Učinění závěru, zda jsou dopady akceptovatelné, případně za jakých podmínek. </w:t>
      </w:r>
    </w:p>
    <w:p w14:paraId="29EB5831" w14:textId="77777777" w:rsidR="00321220" w:rsidRPr="006B3F59" w:rsidRDefault="00321220">
      <w:pPr>
        <w:pStyle w:val="Odrky1"/>
        <w:numPr>
          <w:ilvl w:val="0"/>
          <w:numId w:val="26"/>
        </w:numPr>
      </w:pPr>
      <w:r w:rsidRPr="006B3F59">
        <w:t xml:space="preserve">Vymezení kompenzačních opatření, resp. opatření k eliminaci nebo omezení těchto vlivů. </w:t>
      </w:r>
    </w:p>
    <w:p w14:paraId="44A30992" w14:textId="77777777" w:rsidR="00321220" w:rsidRPr="006B3F59" w:rsidRDefault="00321220">
      <w:pPr>
        <w:pStyle w:val="Odrky1"/>
        <w:numPr>
          <w:ilvl w:val="0"/>
          <w:numId w:val="26"/>
        </w:numPr>
      </w:pPr>
      <w:r w:rsidRPr="006B3F59">
        <w:t>Monitoring.</w:t>
      </w:r>
    </w:p>
    <w:p w14:paraId="3DB3019A" w14:textId="77777777" w:rsidR="00321220" w:rsidRPr="006B3F59" w:rsidRDefault="00321220" w:rsidP="00321220">
      <w:pPr>
        <w:pStyle w:val="seznamsodrkami"/>
        <w:numPr>
          <w:ilvl w:val="0"/>
          <w:numId w:val="0"/>
        </w:numPr>
        <w:rPr>
          <w:lang w:val="cs-CZ"/>
        </w:rPr>
      </w:pPr>
      <w:r w:rsidRPr="006B3F59">
        <w:rPr>
          <w:lang w:val="cs-CZ"/>
        </w:rPr>
        <w:t>Vyhodnocení kumulativních a synergických vlivů územně plánovací dokumentace lze z hlediska jejich působení rozdělit v zásadě na následující typy:</w:t>
      </w:r>
    </w:p>
    <w:p w14:paraId="17514970" w14:textId="77777777" w:rsidR="00321220" w:rsidRPr="006B3F59" w:rsidRDefault="00321220" w:rsidP="00321220">
      <w:pPr>
        <w:pStyle w:val="seznamsodrkami"/>
        <w:numPr>
          <w:ilvl w:val="0"/>
          <w:numId w:val="0"/>
        </w:numPr>
        <w:tabs>
          <w:tab w:val="clear" w:pos="357"/>
          <w:tab w:val="left" w:pos="0"/>
        </w:tabs>
        <w:rPr>
          <w:lang w:val="cs-CZ"/>
        </w:rPr>
      </w:pPr>
      <w:r w:rsidRPr="006B3F59">
        <w:rPr>
          <w:lang w:val="cs-CZ"/>
        </w:rPr>
        <w:t xml:space="preserve">Složkové vlivy – tj. vlivy jednotlivých „výroků“ na jednu složku životního prostředí, resp. na dané “téma“, specifikované v kap. A.III. (ovzduší, voda, půda...atd.). S ohledem na to, že působí na jednu složku území, považujeme tyto vlivy v principu za „kumulativní“. </w:t>
      </w:r>
    </w:p>
    <w:p w14:paraId="247B1505" w14:textId="77777777" w:rsidR="00321220" w:rsidRPr="006B3F59" w:rsidRDefault="00321220" w:rsidP="00321220">
      <w:pPr>
        <w:pStyle w:val="seznamsodrkami"/>
        <w:numPr>
          <w:ilvl w:val="0"/>
          <w:numId w:val="0"/>
        </w:numPr>
        <w:rPr>
          <w:lang w:val="cs-CZ"/>
        </w:rPr>
      </w:pPr>
      <w:r w:rsidRPr="006B3F59">
        <w:rPr>
          <w:lang w:val="cs-CZ"/>
        </w:rPr>
        <w:t>Prostorové vlivy – vlivy vzniklé koncentrací navrhovaných výroků promítnutých do území, které dávají rámec záměrům na prostorově omezené části řešeného území. Ze své povahy mohou být tyto vlivy jak „kumulativní“, tak „synergické“.</w:t>
      </w:r>
    </w:p>
    <w:p w14:paraId="20E237A9" w14:textId="54AF910C" w:rsidR="00321220" w:rsidRPr="006B3F59" w:rsidRDefault="00321220" w:rsidP="00321220">
      <w:r w:rsidRPr="006B3F59">
        <w:t>V hodnocení kumulativních a synergických vlivů je uplatněno všech 6 kroků hodnocení kumulativních a synergických vlivů, tj. 1) nejprve řádně zjistit skutkový stav (stav životního prostředí v řešeném území) podrobněji viz kapitola A.III. a A.IV., 2) vytipovat charakteristiky životního prostředí, které by mohly být kumulativními a synergickými vlivy významně ovlivněny podrobněji a vytipovat konkrétní lokality, v nichž by mohly kumulativní a synergické vlivy vznikat a působit viz kapitola A.IV. a A.V., 3) zohlednit a zhodnotit kumulativní a synergické vlivy při posuzování variant řešení viz. Kapitola A.VI. a A.VII.1</w:t>
      </w:r>
      <w:r w:rsidR="00820300" w:rsidRPr="006B3F59">
        <w:t>1</w:t>
      </w:r>
      <w:r w:rsidRPr="006B3F59">
        <w:t xml:space="preserve"> a A.VII.1</w:t>
      </w:r>
      <w:r w:rsidR="00820300" w:rsidRPr="006B3F59">
        <w:t>2</w:t>
      </w:r>
      <w:r w:rsidRPr="006B3F59">
        <w:t>, 4) popsat použitou metodologii viz. A.VII.1</w:t>
      </w:r>
      <w:r w:rsidR="00820300" w:rsidRPr="006B3F59">
        <w:t>1</w:t>
      </w:r>
      <w:r w:rsidRPr="006B3F59">
        <w:t xml:space="preserve"> , 5) navrhnout kompenzační opatření, která zabrání vzniku nebo minimalizují působení kumulativních a synergických vlivů viz. A.VI. a A.VIII. a 6) stanovit pravidla sledování těchto vlivů viz A.X.</w:t>
      </w:r>
    </w:p>
    <w:p w14:paraId="5E7E2318" w14:textId="77777777" w:rsidR="00321220" w:rsidRPr="006B3F59" w:rsidRDefault="00321220" w:rsidP="00321220">
      <w:pPr>
        <w:pStyle w:val="seznamsodrkami"/>
        <w:numPr>
          <w:ilvl w:val="0"/>
          <w:numId w:val="0"/>
        </w:numPr>
        <w:rPr>
          <w:lang w:val="cs-CZ"/>
        </w:rPr>
      </w:pPr>
      <w:r w:rsidRPr="006B3F59">
        <w:rPr>
          <w:lang w:val="cs-CZ"/>
        </w:rPr>
        <w:t xml:space="preserve">Vlastní hodnocení kumulativních a synergických vlivů je rovněž provedeno na základě matice navržených opatření koncepce, tj. vymezených ploch a jejich využití vzhledem k referenčním cílům ochrany životního prostředí a veřejného zdraví, tj. zda a jakým způsobem bude uplatnění navrhovaných výroků v rámci návrhu ÚPD přispívat či nikoliv k naplňování referenčních cílů v kontextu ostatních spolupůsobících skutečností, jevů, záměrů a strategických dokumentů přítomných nebo uvažovaných v souvisejícím území na základě stanovené škály identifikace a významnosti spolupůsobení vlivu.  </w:t>
      </w:r>
    </w:p>
    <w:p w14:paraId="28152E5B" w14:textId="77777777" w:rsidR="00321220" w:rsidRPr="006B3F59" w:rsidRDefault="00321220" w:rsidP="00321220">
      <w:pPr>
        <w:pStyle w:val="Podnadpis1"/>
        <w:rPr>
          <w:rFonts w:eastAsia="Arial"/>
        </w:rPr>
      </w:pPr>
      <w:r w:rsidRPr="006B3F59">
        <w:t>Vyhodnocení vlivů na lokality soustavy Natura 2000</w:t>
      </w:r>
    </w:p>
    <w:p w14:paraId="7A09003D" w14:textId="55FD09C8" w:rsidR="00894259" w:rsidRPr="006B3F59" w:rsidRDefault="00894259" w:rsidP="00894259">
      <w:r w:rsidRPr="006B3F59">
        <w:t xml:space="preserve">V dané věci byla vydána stanoviska příslušných orgánů ochrany přírody z hlediska možného významného vlivu na lokality soustavy NATURA 2000, a sice stanovisko Magistrátu hlavního města Prahy, odboru ochrany prostředí, dle ustanovení § 45i odst. 1 zákona č. 114/1992 Sb., o ochraně přírody a krajiny, ve znění pozdějších předpisů (v rámci koordinovaného stanoviska Magistrátu hlavního města Prahy, odboru ochrany prostředí, vydaného pod č.j. MHMP 456845/2020, ze dne 18.5.2020) se závěrem, že nelze vyloučit, že posuzovaná změna územního plánu může mít významný vliv na příznivý stav předmětu ochrany nebo celistvost evropsky významných lokalit v jeho působnosti, a to samostatně nebo ve spojení s jinými koncepcemi nebo záměry na evropsky významnou lokalitu CZ0110154 - Kaňon Vltavy u Sedlce v územní působnosti OCP MHMP. Ptačí oblasti nejsou na území hlavního města Prahy vymezeny. </w:t>
      </w:r>
    </w:p>
    <w:p w14:paraId="465B1F6B" w14:textId="77777777" w:rsidR="00894259" w:rsidRPr="006B3F59" w:rsidRDefault="00894259" w:rsidP="00894259">
      <w:r w:rsidRPr="006B3F59">
        <w:t>Vzhledem k výše uvedenému je součástí tohoto vyhodnocení i Vyhodnocení vlivů na evropsky významné oblasti a ptačí oblasti dle § 45i ZOPK, provedené autorizovanou osobou Ing. Pavlem Koláčkem, PhD.</w:t>
      </w:r>
    </w:p>
    <w:p w14:paraId="30D11E12" w14:textId="77777777" w:rsidR="00894259" w:rsidRPr="006B3F59" w:rsidRDefault="00894259" w:rsidP="00894259">
      <w:r w:rsidRPr="006B3F59">
        <w:t>Vyhodnocení vlivů na evropsky významné oblasti a ptačí oblasti dle § 45i ZOPK, je nedílnou součástí tohoto dokumentu viz část B a příloha 1.</w:t>
      </w:r>
    </w:p>
    <w:p w14:paraId="4C6C3A27" w14:textId="77777777" w:rsidR="00321220" w:rsidRPr="006B3F59" w:rsidRDefault="00321220" w:rsidP="00321220">
      <w:pPr>
        <w:pStyle w:val="Podnadpis1"/>
        <w:rPr>
          <w:rFonts w:eastAsia="Arial"/>
        </w:rPr>
      </w:pPr>
      <w:r w:rsidRPr="006B3F59">
        <w:t>Hodnocení vlivů koncepce na veřejné (lidské) zdraví</w:t>
      </w:r>
    </w:p>
    <w:p w14:paraId="7255E016" w14:textId="23D8BA3B" w:rsidR="005F079F" w:rsidRPr="006B3F59" w:rsidRDefault="005F079F" w:rsidP="00BD7256">
      <w:bookmarkStart w:id="36" w:name="_Toc408946288"/>
      <w:bookmarkStart w:id="37" w:name="_Toc531606233"/>
      <w:bookmarkStart w:id="38" w:name="_Toc29298316"/>
      <w:r w:rsidRPr="006B3F59">
        <w:t>Vyhodnocení vlivů územně plánovací dokumentace, resp. jejích změn na veřejné zdraví je spolu s vyhodnocením vlivů na lokality soustavy Natura 2000 speciální kapitolou posouzení vlivů koncepce na životní prostředí, resp. udržitelný rozvoj území. Z metodického hlediska je hodnocení vlivů koncepce na veřejné zdraví provedeno metodou HIA, dle postupů WHO. Metoda Health Impact Assessment (dále jen HIA) umožňuje zohlednit zdraví v koncepci, popsat vlivy na veřejné zdraví, stanovit indikátory, posoudit zdroje ohledně dat o zdraví, navrhnout monitoring šitý na míru strategii, určit podmínky pro výběr projektů, a především upravit cíle strategie tak, aby ochrana a podpora veřejného zdraví byla výsledkem naplňování koncepce či politiky.</w:t>
      </w:r>
    </w:p>
    <w:p w14:paraId="63829710" w14:textId="3A1C99C2" w:rsidR="005F079F" w:rsidRPr="006B3F59" w:rsidRDefault="005F079F" w:rsidP="00BD7256">
      <w:r w:rsidRPr="006B3F59">
        <w:t>Vzhledem k tomu, že osnova vyhodnocení vlivů ÚPD na životní prostředí dle přílohy stavebního zákona neobsahuje speciální kapitolu pro zařazení vyhodnocení potenciálních vlivů koncepce na lidské zdraví jako celek, jsou</w:t>
      </w:r>
      <w:r w:rsidR="000B624E" w:rsidRPr="006B3F59">
        <w:t xml:space="preserve"> daná hodnocení</w:t>
      </w:r>
      <w:r w:rsidRPr="006B3F59">
        <w:t xml:space="preserve"> </w:t>
      </w:r>
      <w:r w:rsidR="000B624E" w:rsidRPr="006B3F59">
        <w:t xml:space="preserve">zahrnuta </w:t>
      </w:r>
      <w:r w:rsidRPr="006B3F59">
        <w:t xml:space="preserve">průřezově pod hodnocení </w:t>
      </w:r>
      <w:r w:rsidR="000B624E" w:rsidRPr="006B3F59">
        <w:t xml:space="preserve">jednotlivých </w:t>
      </w:r>
      <w:r w:rsidRPr="006B3F59">
        <w:t>složek životního prostředí</w:t>
      </w:r>
      <w:r w:rsidR="000B624E" w:rsidRPr="006B3F59">
        <w:t>.</w:t>
      </w:r>
      <w:r w:rsidRPr="006B3F59">
        <w:t xml:space="preserve"> </w:t>
      </w:r>
      <w:r w:rsidR="000B624E" w:rsidRPr="006B3F59">
        <w:t>Z</w:t>
      </w:r>
      <w:r w:rsidRPr="006B3F59">
        <w:t xml:space="preserve"> toho důvodu je hodnocení těchto potenciálních vlivů obsaženo v příslušných kapitolách, zejména v kap. A.II a A.IX z hlediska přijatých strategických dokumentů</w:t>
      </w:r>
      <w:r w:rsidR="005B5E46" w:rsidRPr="006B3F59">
        <w:t>.</w:t>
      </w:r>
      <w:r w:rsidRPr="006B3F59">
        <w:t xml:space="preserve"> </w:t>
      </w:r>
      <w:r w:rsidR="005B5E46" w:rsidRPr="006B3F59">
        <w:t>A</w:t>
      </w:r>
      <w:r w:rsidRPr="006B3F59">
        <w:t xml:space="preserve">nalýza stavu, vývojových trendů a identifikace problémových </w:t>
      </w:r>
      <w:r w:rsidRPr="006B3F59">
        <w:lastRenderedPageBreak/>
        <w:t xml:space="preserve">okruhů </w:t>
      </w:r>
      <w:r w:rsidR="005B5E46" w:rsidRPr="006B3F59">
        <w:t xml:space="preserve">jsou </w:t>
      </w:r>
      <w:r w:rsidRPr="006B3F59">
        <w:t xml:space="preserve">součástí kapitoly A.III až A.V. a vlastní hodnocení </w:t>
      </w:r>
      <w:r w:rsidR="00163E56" w:rsidRPr="006B3F59">
        <w:t xml:space="preserve">je uvedeno </w:t>
      </w:r>
      <w:r w:rsidRPr="006B3F59">
        <w:t xml:space="preserve">v kapitole A.VI. Vlastní identifikace a vyhodnocení vlivů na veřejné zdraví je součástí kapitoly A.VI v rámci hodnocení z hlediska složkového </w:t>
      </w:r>
      <w:r w:rsidR="00163E56" w:rsidRPr="006B3F59">
        <w:t xml:space="preserve">vlivu </w:t>
      </w:r>
      <w:r w:rsidRPr="006B3F59">
        <w:t>vůči Obyvatelstvu a veřejnému zdraví reprezentovanému referenčním rámcem v podobě cílů 1.1 zlepšit kvalitu života obyvatel sídel a sociální determinanty lidského zdraví, 1.2 podporovat environmentálně šetrné formy rekreace a zdravý životní styl; 1.3 pomocí prevence chránit životní prostředí a obyvatelstvo před důsledky přírodních a antropogenních krizových situací a z hlediska fyzikálních determinant veřejného zdraví vůči kvalitě ovzduší a hlukové zátěži reprezentovaných referenčními cíli 5.1 snižovat znečištění ovzduší s důrazem na NO</w:t>
      </w:r>
      <w:r w:rsidRPr="006B3F59">
        <w:rPr>
          <w:vertAlign w:val="subscript"/>
        </w:rPr>
        <w:t>x</w:t>
      </w:r>
      <w:r w:rsidRPr="006B3F59">
        <w:t>, PM</w:t>
      </w:r>
      <w:r w:rsidRPr="006B3F59">
        <w:rPr>
          <w:vertAlign w:val="subscript"/>
        </w:rPr>
        <w:t>10</w:t>
      </w:r>
      <w:r w:rsidRPr="006B3F59">
        <w:t xml:space="preserve"> a B(a)P a 6.1 snižovat expozici hluku prostředky územního plánování. Shrnutí je potom zařazeno v rámci části A.VII: Porovnání zjištěných nebo předpokládaných kladných a záporných vlivů a jejich zhodnocení. Srozumitelný popis metod vyhodnocení včetně jejich omezení</w:t>
      </w:r>
      <w:r w:rsidR="00ED0BC3" w:rsidRPr="006B3F59">
        <w:t xml:space="preserve"> je uveden v</w:t>
      </w:r>
      <w:r w:rsidR="00BD7256" w:rsidRPr="006B3F59">
        <w:t xml:space="preserve"> </w:t>
      </w:r>
      <w:r w:rsidR="00ED0BC3" w:rsidRPr="006B3F59">
        <w:t xml:space="preserve">podkapitole </w:t>
      </w:r>
      <w:r w:rsidRPr="006B3F59">
        <w:t>A.VII.1</w:t>
      </w:r>
      <w:r w:rsidR="008E71CC" w:rsidRPr="006B3F59">
        <w:t>0</w:t>
      </w:r>
      <w:r w:rsidRPr="006B3F59">
        <w:t xml:space="preserve"> Obyvatelstvo a veřejné (lidské) zdraví.</w:t>
      </w:r>
    </w:p>
    <w:p w14:paraId="1A2BB314" w14:textId="77777777" w:rsidR="005F079F" w:rsidRPr="006B3F59" w:rsidRDefault="005F079F" w:rsidP="00BD7256">
      <w:r w:rsidRPr="006B3F59">
        <w:t>Pro vyhodnocení na veřejné zdraví byl jednak vyhodnocen vliv ÚPD vůči přijatým cílům ochrany veřejného zdraví strategických dokumentů v oblasti veřejného zdraví na vnitrostátní úrovni a vůči všem determinantám veřejného zdraví relevantním v obecné rovině vůči koncepci, jakou je územně plánovací dokumentace. Přitom bylo postupováno v souladu s postupem pro hodnocení vlivů koncepcí na veřejné zdraví tzv. HIA (Health Impact Assessment).</w:t>
      </w:r>
    </w:p>
    <w:p w14:paraId="182630F8" w14:textId="1108D04C" w:rsidR="00321220" w:rsidRPr="006B3F59" w:rsidRDefault="00321220" w:rsidP="005F079F">
      <w:pPr>
        <w:keepNext/>
        <w:rPr>
          <w:rStyle w:val="ListLabel1"/>
        </w:rPr>
      </w:pPr>
      <w:r w:rsidRPr="006B3F59">
        <w:rPr>
          <w:rStyle w:val="ListLabel1"/>
        </w:rPr>
        <w:t xml:space="preserve">Metodika vyhodnocení vlivu řešení Návrhu ÚP na </w:t>
      </w:r>
      <w:bookmarkEnd w:id="36"/>
      <w:r w:rsidRPr="006B3F59">
        <w:rPr>
          <w:rStyle w:val="ListLabel1"/>
        </w:rPr>
        <w:t>ekonomický a sociální pilíř udržitelného rozvoje, kapitoly C. – F. VVURÚ</w:t>
      </w:r>
      <w:bookmarkEnd w:id="37"/>
      <w:bookmarkEnd w:id="38"/>
    </w:p>
    <w:p w14:paraId="0C315C1C" w14:textId="62F4F9D6" w:rsidR="00321220" w:rsidRPr="006B3F59" w:rsidRDefault="00321220" w:rsidP="00321220">
      <w:r w:rsidRPr="006B3F59">
        <w:t>Z hlediska vztahu územního plánování a trvale udržitelného rozvoje je klíčovým legislativním rámcem zákon č. 183/2006 Sb., o územním plánování a stavebním řádu (stavební zákon), v platném znění, resp. nový stavební zákon č. 283/2021 Sb.</w:t>
      </w:r>
      <w:r w:rsidR="00820300" w:rsidRPr="006B3F59">
        <w:t>, v účinném znění</w:t>
      </w:r>
      <w:r w:rsidRPr="006B3F59">
        <w:t>, který postupně nabyde účinnosti. Trvale udržitelný rozvoj je jedním z cílů územního plánování spočívající ve vyváženém vztahu podmínek pro příznivé životní prostředí, pro hospodářský rozvoj a pro soudržnost společenství obyvatel území a který uspokojuje potřeby současné generace, aniž by ohrožoval podmínky života generací budoucích (§ 18 zákona č. 183/2006 Sb., v platném znění).</w:t>
      </w:r>
    </w:p>
    <w:p w14:paraId="5CA7529F" w14:textId="77777777" w:rsidR="00321220" w:rsidRPr="006B3F59" w:rsidRDefault="00321220" w:rsidP="00321220">
      <w:r w:rsidRPr="006B3F59">
        <w:t>Pro účely územního plánování a hodnocení vlivů na udržitelný rozvoj území je udržitelný rozvoj možné chápat jako snahu o dosažení co nejvyšší dynamické rovnováhy mezi územními podmínkami pro příznivé životní prostředí (dále též „environmentální pilíř“), pro soudržnost společenství obyvatel (dále též „sociální pilíř“) a pro hospodářský rozvoj (dále též „ekonomický pilíř“). Názorným a snadno srozumitelným vyjádřením ideální rovnováhy je rovnostranný trojúhelník, kdy vzájemné vztahy mezi pilíři nelze charakterizovat pouze spojnicemi jeho vrcholů, ale rovněž vztahy napříč plochy.</w:t>
      </w:r>
    </w:p>
    <w:p w14:paraId="1A197D4C" w14:textId="190481D8" w:rsidR="00321220" w:rsidRPr="006B3F59" w:rsidRDefault="00EC276C" w:rsidP="00321220">
      <w:pPr>
        <w:keepNext/>
      </w:pPr>
      <w:r>
        <w:rPr>
          <w:noProof/>
        </w:rPr>
        <mc:AlternateContent>
          <mc:Choice Requires="wps">
            <w:drawing>
              <wp:anchor distT="0" distB="0" distL="114300" distR="114300" simplePos="0" relativeHeight="251662848" behindDoc="0" locked="0" layoutInCell="1" allowOverlap="1" wp14:anchorId="56963742" wp14:editId="73F1A99B">
                <wp:simplePos x="0" y="0"/>
                <wp:positionH relativeFrom="column">
                  <wp:posOffset>1558290</wp:posOffset>
                </wp:positionH>
                <wp:positionV relativeFrom="paragraph">
                  <wp:posOffset>12065</wp:posOffset>
                </wp:positionV>
                <wp:extent cx="2620010" cy="383540"/>
                <wp:effectExtent l="0" t="0" r="0" b="0"/>
                <wp:wrapNone/>
                <wp:docPr id="822072916" name="Textové pole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0010" cy="383540"/>
                        </a:xfrm>
                        <a:prstGeom prst="rect">
                          <a:avLst/>
                        </a:prstGeom>
                        <a:noFill/>
                        <a:ln w="9525">
                          <a:noFill/>
                          <a:miter lim="800000"/>
                          <a:headEnd/>
                          <a:tailEnd/>
                        </a:ln>
                      </wps:spPr>
                      <wps:txbx>
                        <w:txbxContent>
                          <w:p w14:paraId="4D176F9E" w14:textId="77777777" w:rsidR="00A36775" w:rsidRDefault="00A36775" w:rsidP="00321220">
                            <w:pPr>
                              <w:spacing w:before="0"/>
                              <w:jc w:val="center"/>
                            </w:pPr>
                            <w:r>
                              <w:t>Podmínky pro příznivé životní prostředí</w:t>
                            </w:r>
                          </w:p>
                          <w:p w14:paraId="1721DDFD" w14:textId="77777777" w:rsidR="00A36775" w:rsidRDefault="00A36775" w:rsidP="00321220">
                            <w:pPr>
                              <w:spacing w:before="0"/>
                              <w:jc w:val="center"/>
                            </w:pPr>
                            <w:r>
                              <w:t>(environmentální pilíř)</w:t>
                            </w:r>
                          </w:p>
                        </w:txbxContent>
                      </wps:txbx>
                      <wps:bodyPr rot="0" vert="horz" wrap="square" lIns="91440" tIns="45720" rIns="91440" bIns="45720" anchor="ctr" anchorCtr="0">
                        <a:spAutoFit/>
                      </wps:bodyPr>
                    </wps:wsp>
                  </a:graphicData>
                </a:graphic>
                <wp14:sizeRelH relativeFrom="margin">
                  <wp14:pctWidth>0</wp14:pctWidth>
                </wp14:sizeRelH>
                <wp14:sizeRelV relativeFrom="margin">
                  <wp14:pctHeight>20000</wp14:pctHeight>
                </wp14:sizeRelV>
              </wp:anchor>
            </w:drawing>
          </mc:Choice>
          <mc:Fallback>
            <w:pict>
              <v:shape w14:anchorId="56963742" id="Textové pole 5" o:spid="_x0000_s1027" type="#_x0000_t202" style="position:absolute;left:0;text-align:left;margin-left:122.7pt;margin-top:.95pt;width:206.3pt;height:30.2pt;z-index:25166284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" filled="f" stroked="f">
                <v:textbox style="mso-fit-shape-to-text:t">
                  <w:txbxContent>
                    <w:p w14:paraId="4D176F9E" w14:textId="77777777" w:rsidR="00A36775" w:rsidRDefault="00A36775" w:rsidP="00321220">
                      <w:pPr>
                        <w:spacing w:before="0"/>
                        <w:jc w:val="center"/>
                      </w:pPr>
                      <w:r>
                        <w:t>Podmínky pro příznivé životní prostředí</w:t>
                      </w:r>
                    </w:p>
                    <w:p w14:paraId="1721DDFD" w14:textId="77777777" w:rsidR="00A36775" w:rsidRDefault="00A36775" w:rsidP="00321220">
                      <w:pPr>
                        <w:spacing w:before="0"/>
                        <w:jc w:val="center"/>
                      </w:pPr>
                      <w:r>
                        <w:t>(environmentální pilíř)</w:t>
                      </w:r>
                    </w:p>
                  </w:txbxContent>
                </v:textbox>
              </v:shape>
            </w:pict>
          </mc:Fallback>
        </mc:AlternateContent>
      </w:r>
    </w:p>
    <w:p w14:paraId="5EE896C9" w14:textId="77777777" w:rsidR="00321220" w:rsidRPr="006B3F59" w:rsidRDefault="00321220" w:rsidP="00321220">
      <w:pPr>
        <w:keepNext/>
        <w:jc w:val="center"/>
      </w:pPr>
    </w:p>
    <w:p w14:paraId="1BED967B" w14:textId="56B241A3" w:rsidR="00321220" w:rsidRPr="006B3F59" w:rsidRDefault="00EC276C" w:rsidP="00321220">
      <w:pPr>
        <w:keepNext/>
        <w:jc w:val="center"/>
      </w:pPr>
      <w:r>
        <w:rPr>
          <w:noProof/>
        </w:rPr>
        <mc:AlternateContent>
          <mc:Choice Requires="wps">
            <w:drawing>
              <wp:anchor distT="0" distB="0" distL="114300" distR="114300" simplePos="0" relativeHeight="251665920" behindDoc="0" locked="0" layoutInCell="1" allowOverlap="1" wp14:anchorId="3D1E2E01" wp14:editId="4EEC34CB">
                <wp:simplePos x="0" y="0"/>
                <wp:positionH relativeFrom="column">
                  <wp:posOffset>2338070</wp:posOffset>
                </wp:positionH>
                <wp:positionV relativeFrom="paragraph">
                  <wp:posOffset>97790</wp:posOffset>
                </wp:positionV>
                <wp:extent cx="1202055" cy="795655"/>
                <wp:effectExtent l="19050" t="19050" r="17145" b="23495"/>
                <wp:wrapNone/>
                <wp:docPr id="2059263171" name="Rovnoramenný trojúhelník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02055" cy="795655"/>
                        </a:xfrm>
                        <a:prstGeom prst="triangle">
                          <a:avLst>
                            <a:gd name="adj" fmla="val 48318"/>
                          </a:avLst>
                        </a:prstGeom>
                        <a:solidFill>
                          <a:schemeClr val="accent4"/>
                        </a:solidFill>
                        <a:ln w="57150">
                          <a:solidFill>
                            <a:srgbClr val="0070C0"/>
                          </a:solidFill>
                        </a:ln>
                      </wps:spPr>
                      <wps:style>
                        <a:lnRef idx="2">
                          <a:schemeClr val="accent3">
                            <a:shade val="50000"/>
                          </a:schemeClr>
                        </a:lnRef>
                        <a:fillRef idx="1">
                          <a:schemeClr val="accent3"/>
                        </a:fillRef>
                        <a:effectRef idx="0">
                          <a:schemeClr val="accent3"/>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5588929"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Rovnoramenný trojúhelník 4" o:spid="_x0000_s1026" type="#_x0000_t5" style="position:absolute;margin-left:184.1pt;margin-top:7.7pt;width:94.65pt;height:62.65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" adj="10437" fillcolor="#8064a2 [3207]" strokecolor="#0070c0" strokeweight="4.5pt">
                <v:path arrowok="t"/>
              </v:shape>
            </w:pict>
          </mc:Fallback>
        </mc:AlternateContent>
      </w:r>
    </w:p>
    <w:p w14:paraId="04B2B106" w14:textId="77777777" w:rsidR="00321220" w:rsidRPr="006B3F59" w:rsidRDefault="00321220" w:rsidP="00321220">
      <w:pPr>
        <w:keepNext/>
        <w:ind w:left="7200" w:hanging="6480"/>
      </w:pPr>
      <w:r w:rsidRPr="006B3F59">
        <w:tab/>
      </w:r>
      <w:r w:rsidRPr="006B3F59">
        <w:tab/>
      </w:r>
    </w:p>
    <w:p w14:paraId="563DD978" w14:textId="77777777" w:rsidR="00321220" w:rsidRPr="006B3F59" w:rsidRDefault="00321220" w:rsidP="00321220">
      <w:pPr>
        <w:keepNext/>
        <w:ind w:left="7200" w:hanging="6480"/>
      </w:pPr>
    </w:p>
    <w:p w14:paraId="1DCCA378" w14:textId="77777777" w:rsidR="00321220" w:rsidRPr="006B3F59" w:rsidRDefault="00321220" w:rsidP="00321220">
      <w:pPr>
        <w:keepNext/>
        <w:ind w:left="7200" w:hanging="6480"/>
      </w:pPr>
    </w:p>
    <w:p w14:paraId="4EA7E206" w14:textId="3B28E9D5" w:rsidR="00321220" w:rsidRPr="006B3F59" w:rsidRDefault="00EC276C" w:rsidP="00321220">
      <w:pPr>
        <w:keepNext/>
        <w:ind w:left="6480" w:hanging="6480"/>
      </w:pPr>
      <w:r>
        <w:rPr>
          <w:noProof/>
        </w:rPr>
        <mc:AlternateContent>
          <mc:Choice Requires="wps">
            <w:drawing>
              <wp:anchor distT="0" distB="0" distL="114300" distR="114300" simplePos="0" relativeHeight="251663872" behindDoc="0" locked="0" layoutInCell="1" allowOverlap="1" wp14:anchorId="1AF74930" wp14:editId="4E9EBF97">
                <wp:simplePos x="0" y="0"/>
                <wp:positionH relativeFrom="column">
                  <wp:posOffset>384810</wp:posOffset>
                </wp:positionH>
                <wp:positionV relativeFrom="paragraph">
                  <wp:posOffset>86360</wp:posOffset>
                </wp:positionV>
                <wp:extent cx="2251710" cy="383540"/>
                <wp:effectExtent l="0" t="0" r="0" b="0"/>
                <wp:wrapNone/>
                <wp:docPr id="1382229803" name="Textové pole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1710" cy="383540"/>
                        </a:xfrm>
                        <a:prstGeom prst="rect">
                          <a:avLst/>
                        </a:prstGeom>
                        <a:noFill/>
                        <a:ln w="9525">
                          <a:noFill/>
                          <a:miter lim="800000"/>
                          <a:headEnd/>
                          <a:tailEnd/>
                        </a:ln>
                      </wps:spPr>
                      <wps:txbx>
                        <w:txbxContent>
                          <w:p w14:paraId="094DE15F" w14:textId="77777777" w:rsidR="00A36775" w:rsidRDefault="00A36775" w:rsidP="00321220">
                            <w:pPr>
                              <w:spacing w:before="0"/>
                              <w:jc w:val="center"/>
                            </w:pPr>
                            <w:r>
                              <w:t>Podmínky pro hospodářský rozvoj</w:t>
                            </w:r>
                          </w:p>
                          <w:p w14:paraId="0BCB9E4E" w14:textId="77777777" w:rsidR="00A36775" w:rsidRDefault="00A36775" w:rsidP="00321220">
                            <w:pPr>
                              <w:spacing w:before="0"/>
                              <w:jc w:val="center"/>
                            </w:pPr>
                            <w:r>
                              <w:t>(ekonomický pilíř)</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AF74930" id="Textové pole 3" o:spid="_x0000_s1028" type="#_x0000_t202" style="position:absolute;left:0;text-align:left;margin-left:30.3pt;margin-top:6.8pt;width:177.3pt;height:30.2pt;z-index:2516638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" filled="f" stroked="f">
                <v:textbox style="mso-fit-shape-to-text:t">
                  <w:txbxContent>
                    <w:p w14:paraId="094DE15F" w14:textId="77777777" w:rsidR="00A36775" w:rsidRDefault="00A36775" w:rsidP="00321220">
                      <w:pPr>
                        <w:spacing w:before="0"/>
                        <w:jc w:val="center"/>
                      </w:pPr>
                      <w:r>
                        <w:t>Podmínky pro hospodářský rozvoj</w:t>
                      </w:r>
                    </w:p>
                    <w:p w14:paraId="0BCB9E4E" w14:textId="77777777" w:rsidR="00A36775" w:rsidRDefault="00A36775" w:rsidP="00321220">
                      <w:pPr>
                        <w:spacing w:before="0"/>
                        <w:jc w:val="center"/>
                      </w:pPr>
                      <w:r>
                        <w:t>(ekonomický pilíř)</w:t>
                      </w:r>
                    </w:p>
                  </w:txbxContent>
                </v:textbox>
              </v:shape>
            </w:pict>
          </mc:Fallback>
        </mc:AlternateContent>
      </w:r>
      <w:r>
        <w:rPr>
          <w:noProof/>
        </w:rPr>
        <mc:AlternateContent>
          <mc:Choice Requires="wps">
            <w:drawing>
              <wp:anchor distT="0" distB="0" distL="114300" distR="114300" simplePos="0" relativeHeight="251664896" behindDoc="0" locked="0" layoutInCell="1" allowOverlap="1" wp14:anchorId="1829668A" wp14:editId="4D2F8378">
                <wp:simplePos x="0" y="0"/>
                <wp:positionH relativeFrom="column">
                  <wp:posOffset>3059430</wp:posOffset>
                </wp:positionH>
                <wp:positionV relativeFrom="paragraph">
                  <wp:posOffset>86360</wp:posOffset>
                </wp:positionV>
                <wp:extent cx="3084195" cy="383540"/>
                <wp:effectExtent l="0" t="0" r="0" b="0"/>
                <wp:wrapNone/>
                <wp:docPr id="1016956103"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4195" cy="383540"/>
                        </a:xfrm>
                        <a:prstGeom prst="rect">
                          <a:avLst/>
                        </a:prstGeom>
                        <a:noFill/>
                        <a:ln w="9525">
                          <a:noFill/>
                          <a:miter lim="800000"/>
                          <a:headEnd/>
                          <a:tailEnd/>
                        </a:ln>
                      </wps:spPr>
                      <wps:txbx>
                        <w:txbxContent>
                          <w:p w14:paraId="1D84D0EF" w14:textId="77777777" w:rsidR="00A36775" w:rsidRDefault="00A36775" w:rsidP="00321220">
                            <w:pPr>
                              <w:spacing w:before="0"/>
                              <w:jc w:val="center"/>
                            </w:pPr>
                            <w:r>
                              <w:t>Podmínky pro soudržnost společenství obyvatel</w:t>
                            </w:r>
                          </w:p>
                          <w:p w14:paraId="0B5015F4" w14:textId="77777777" w:rsidR="00A36775" w:rsidRDefault="00A36775" w:rsidP="00321220">
                            <w:pPr>
                              <w:spacing w:before="0"/>
                              <w:jc w:val="center"/>
                            </w:pPr>
                            <w:r>
                              <w:t>(sociální pilíř)</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829668A" id="Textové pole 2" o:spid="_x0000_s1029" type="#_x0000_t202" style="position:absolute;left:0;text-align:left;margin-left:240.9pt;margin-top:6.8pt;width:242.85pt;height:30.2pt;z-index:2516648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" filled="f" stroked="f">
                <v:textbox style="mso-fit-shape-to-text:t">
                  <w:txbxContent>
                    <w:p w14:paraId="1D84D0EF" w14:textId="77777777" w:rsidR="00A36775" w:rsidRDefault="00A36775" w:rsidP="00321220">
                      <w:pPr>
                        <w:spacing w:before="0"/>
                        <w:jc w:val="center"/>
                      </w:pPr>
                      <w:r>
                        <w:t>Podmínky pro soudržnost společenství obyvatel</w:t>
                      </w:r>
                    </w:p>
                    <w:p w14:paraId="0B5015F4" w14:textId="77777777" w:rsidR="00A36775" w:rsidRDefault="00A36775" w:rsidP="00321220">
                      <w:pPr>
                        <w:spacing w:before="0"/>
                        <w:jc w:val="center"/>
                      </w:pPr>
                      <w:r>
                        <w:t>(sociální pilíř)</w:t>
                      </w:r>
                    </w:p>
                  </w:txbxContent>
                </v:textbox>
              </v:shape>
            </w:pict>
          </mc:Fallback>
        </mc:AlternateContent>
      </w:r>
    </w:p>
    <w:p w14:paraId="1996D932" w14:textId="77777777" w:rsidR="00321220" w:rsidRPr="006B3F59" w:rsidRDefault="00321220" w:rsidP="00321220">
      <w:pPr>
        <w:keepNext/>
        <w:jc w:val="left"/>
      </w:pPr>
    </w:p>
    <w:p w14:paraId="4B1724E9" w14:textId="77777777" w:rsidR="00321220" w:rsidRPr="006B3F59" w:rsidRDefault="00321220" w:rsidP="00321220">
      <w:bookmarkStart w:id="39" w:name="_Toc408946318"/>
      <w:bookmarkStart w:id="40" w:name="_Toc531548287"/>
      <w:bookmarkStart w:id="41" w:name="_Toc29298550"/>
      <w:r w:rsidRPr="006B3F59">
        <w:t>Z grafického znázornění vyplývají základní vzájemné vztahy, poskytující rámec pro hodnocení vlivů na udržitelný rozvoj území:</w:t>
      </w:r>
    </w:p>
    <w:p w14:paraId="51EFDF00" w14:textId="77777777" w:rsidR="00321220" w:rsidRPr="006B3F59" w:rsidRDefault="00321220" w:rsidP="00321220">
      <w:pPr>
        <w:pStyle w:val="Odrky1"/>
      </w:pPr>
      <w:r w:rsidRPr="006B3F59">
        <w:t>ekonomický rozvoj versus ochrana životního prostředí,</w:t>
      </w:r>
    </w:p>
    <w:p w14:paraId="7A4AF377" w14:textId="77777777" w:rsidR="00321220" w:rsidRPr="006B3F59" w:rsidRDefault="00321220" w:rsidP="00321220">
      <w:pPr>
        <w:pStyle w:val="Odrky1"/>
      </w:pPr>
      <w:r w:rsidRPr="006B3F59">
        <w:t>ekonomický rozvoj versus sociální rozvoj,</w:t>
      </w:r>
    </w:p>
    <w:p w14:paraId="286B0EB9" w14:textId="77777777" w:rsidR="00321220" w:rsidRPr="006B3F59" w:rsidRDefault="00321220" w:rsidP="00321220">
      <w:pPr>
        <w:pStyle w:val="Odrky1"/>
      </w:pPr>
      <w:r w:rsidRPr="006B3F59">
        <w:t>ochrana životního prostředí versus sociální rozvoj.</w:t>
      </w:r>
    </w:p>
    <w:p w14:paraId="2E2097AA" w14:textId="77777777" w:rsidR="00321220" w:rsidRPr="006B3F59" w:rsidRDefault="00321220" w:rsidP="00BD7256">
      <w:pPr>
        <w:pStyle w:val="Odrky1"/>
        <w:numPr>
          <w:ilvl w:val="0"/>
          <w:numId w:val="0"/>
        </w:numPr>
        <w:spacing w:before="120"/>
      </w:pPr>
      <w:r w:rsidRPr="006B3F59">
        <w:t xml:space="preserve">Vždy je však třeba chápat udržitelný rozvoj jako vzájemnou interakci všech tří pilířů – šíře vzájemných vztahů je tedy mnohem větší. </w:t>
      </w:r>
    </w:p>
    <w:p w14:paraId="33672109" w14:textId="77777777" w:rsidR="00321220" w:rsidRPr="006B3F59" w:rsidRDefault="00321220" w:rsidP="00321220">
      <w:r w:rsidRPr="006B3F59">
        <w:t xml:space="preserve">Vyhodnocení vlivů na udržitelný rozvoj území je v kapitole C: </w:t>
      </w:r>
      <w:r w:rsidRPr="006B3F59">
        <w:rPr>
          <w:i/>
        </w:rPr>
        <w:t>Vyhodnocení vlivů na skutečnosti zjištěné v ÚAP</w:t>
      </w:r>
      <w:r w:rsidRPr="006B3F59">
        <w:t xml:space="preserve"> zaměřeno na posouzení vztahu předkládaného návrhu územního plánu na výsledky vyhodnocení rozboru udržitelného rozvoje provedeného v rámci Územně analytických podkladů. Z vyhodnocení udržitelného rozvoje RURÚ ÚAP byly vybrány nejvýznamnější silné a slabé stránky (vnitřní charakteristiky), příležitosti a hrozby (vnější vlivy) a hodnoty, které podstatně ovlivňují řešené území, nebo které jsou podstatně ovlivněny návrhem územního plánu, případně determinují jeho řešení a lze u nich tento vliv charakterizovat. Dále byly </w:t>
      </w:r>
      <w:r w:rsidRPr="006B3F59">
        <w:lastRenderedPageBreak/>
        <w:t>vyhodnoceny vlivy předkládané ÚPD na v ÚAP definované dílčí hodnoty území, členěné do několika oblastí – tj. hodnoty přírodní, urbanistické, architektonické, kulturní a prostorové hodnoty. Jejich soustředění v kulturním krajinném prostoru města a jejich vzájemné působení vytváří synergické efekty a vyšší hodnoty, jejichž ochrana není zákony postižitelná, a je tedy úkolem územního plánování tyto nadstavbové hodnoty označit a jejich ochranu příslušnými nástroji zajistit. Identifikované silné a slabé stránky, příležitosti, hrozby a hodnoty řešeného území jsou přirozenými východisky pro další rozvoj – do budoucna by měly být aktivně rozvíjeny, posilovány a chráněny.</w:t>
      </w:r>
    </w:p>
    <w:p w14:paraId="166B2CAA" w14:textId="77777777" w:rsidR="00321220" w:rsidRPr="006B3F59" w:rsidRDefault="00321220" w:rsidP="00BD79EE">
      <w:r w:rsidRPr="006B3F59">
        <w:t>V rámci kapitoly D. VVURÚ bylo provedeno vyhodnocení vlivů předkládané změny ÚPD dle referenčního rámce reprezentujícího pozitivní trendy v oblasti vyváženého rozvoje jednotlivých pilířů udržitelného rozvoje stejným způsobem jako v případě vlivů na životní prostředí a veřejné zdraví. Referenční rámec byl stanoven dle jednotlivých témat v souladu s ÚAP. Posuzovány jsou nejvýznamnější vlivy řešení změny ÚPD na cíle udržitelného rozvoje území, stanovené na základě SWOT analýzy dle UAP 2021 a cíle v oblasti udržitelného rozvoje stanovených strategickými dokumenty vnitrostátní i mezinárodní úrovně (např. Česká republika 2030, Cíle udržitelného rozvoje OSN).</w:t>
      </w:r>
    </w:p>
    <w:p w14:paraId="289D39CB" w14:textId="77777777" w:rsidR="00321220" w:rsidRPr="006B3F59" w:rsidRDefault="00321220" w:rsidP="00BD79EE">
      <w:r w:rsidRPr="006B3F59">
        <w:t xml:space="preserve">Pro samotné hodnocení byly sestaveny hodnotící tabulky, které představují matici jednotlivých referenčních cílů udržitelného rozvoje, resp. jeho ekonomického a sociodemografického pilíře, versus dílčí navrhované plochy nebo koridory, resp. podmínky využití území (regulativy). </w:t>
      </w:r>
    </w:p>
    <w:p w14:paraId="32BEF7E4" w14:textId="065E4B70" w:rsidR="00321220" w:rsidRPr="006B3F59" w:rsidRDefault="00321220" w:rsidP="00BD79EE">
      <w:r w:rsidRPr="006B3F59">
        <w:t xml:space="preserve">Pozn.: Vyhodnocení vlivu na environmentální pilíř obsahuje SEA dokumentace (část A </w:t>
      </w:r>
      <w:proofErr w:type="spellStart"/>
      <w:r w:rsidR="005F079F" w:rsidRPr="006B3F59">
        <w:t>a</w:t>
      </w:r>
      <w:proofErr w:type="spellEnd"/>
      <w:r w:rsidR="005F079F" w:rsidRPr="006B3F59">
        <w:t xml:space="preserve"> </w:t>
      </w:r>
      <w:r w:rsidRPr="006B3F59">
        <w:t xml:space="preserve">B tohoto dokumentu). </w:t>
      </w:r>
    </w:p>
    <w:bookmarkEnd w:id="39"/>
    <w:bookmarkEnd w:id="40"/>
    <w:bookmarkEnd w:id="41"/>
    <w:p w14:paraId="6338A2D1" w14:textId="3F53425D" w:rsidR="00321220" w:rsidRPr="006B3F59" w:rsidRDefault="00321220" w:rsidP="00BD79EE">
      <w:pPr>
        <w:spacing w:after="60"/>
        <w:rPr>
          <w:rFonts w:cs="Arial"/>
        </w:rPr>
      </w:pPr>
      <w:r w:rsidRPr="006B3F59">
        <w:rPr>
          <w:rFonts w:cs="Arial"/>
        </w:rPr>
        <w:t>Pro zjištění, zda a jakým způsobem může mít změna ÚPD při realizaci závažné vlivy na udržitelný rozvoj, bylo provedeno hodnocení navržených opatření, tj. ploch</w:t>
      </w:r>
      <w:r w:rsidR="003B47AC">
        <w:rPr>
          <w:rFonts w:cs="Arial"/>
        </w:rPr>
        <w:t xml:space="preserve"> s rozdílným způsobem využití</w:t>
      </w:r>
      <w:r w:rsidRPr="006B3F59">
        <w:rPr>
          <w:rFonts w:cs="Arial"/>
        </w:rPr>
        <w:t xml:space="preserve"> a podmínek jejich využití vzhledem k referenčním cílům udržitelného rozvoje, tj. zda a jakým způsobem bude vymezení daných ploch v rámci posouzené změny ÚPD přispívat, či nikoliv, k naplňování referenčních cílů. Pro hodnocení bylo použito stejné stupnice, jako v případě vyhodnocení vlivů na environmentální pilíř udržitelného rozvoje viz výše.</w:t>
      </w:r>
    </w:p>
    <w:p w14:paraId="0ECB2696" w14:textId="77777777" w:rsidR="00321220" w:rsidRPr="006B3F59" w:rsidRDefault="00321220" w:rsidP="00BD79EE">
      <w:pPr>
        <w:spacing w:afterLines="40" w:after="96"/>
        <w:rPr>
          <w:rFonts w:cs="Arial"/>
        </w:rPr>
      </w:pPr>
      <w:r w:rsidRPr="006B3F59">
        <w:rPr>
          <w:rFonts w:cs="Arial"/>
        </w:rPr>
        <w:t xml:space="preserve">Posouzení vlivů na udržitelný rozvoj území bylo provedeno tak, aby identifikovalo všechny pravděpodobné významné vlivy na základě známých faktů (studie, odborná literatura) i na základě údajů a informací obsažených v územním plánu a aby zároveň postihlo specifika regionu. </w:t>
      </w:r>
    </w:p>
    <w:p w14:paraId="2294093B" w14:textId="66AF7CB1" w:rsidR="00321220" w:rsidRPr="006B3F59" w:rsidRDefault="00321220" w:rsidP="00BD79EE">
      <w:r w:rsidRPr="006B3F59">
        <w:rPr>
          <w:rFonts w:cs="Arial"/>
        </w:rPr>
        <w:t>Kumulativní</w:t>
      </w:r>
      <w:r w:rsidR="005F079F" w:rsidRPr="006B3F59">
        <w:rPr>
          <w:rFonts w:cs="Arial"/>
        </w:rPr>
        <w:t>,</w:t>
      </w:r>
      <w:r w:rsidRPr="006B3F59">
        <w:rPr>
          <w:rFonts w:cs="Arial"/>
        </w:rPr>
        <w:t xml:space="preserve"> resp. synergické vlivy, pokud jsou identifikovány, jsou vyhodnoceny stejným způsobem, jako v případě environmentálního pilíře udržitelného rozvoje viz výše.</w:t>
      </w:r>
    </w:p>
    <w:p w14:paraId="423264A5" w14:textId="662CB13C" w:rsidR="00794578" w:rsidRPr="006B3F59" w:rsidRDefault="00794578" w:rsidP="00BD79EE">
      <w:pPr>
        <w:pStyle w:val="Nadpis1"/>
        <w:numPr>
          <w:ilvl w:val="0"/>
          <w:numId w:val="9"/>
        </w:numPr>
      </w:pPr>
      <w:bookmarkStart w:id="42" w:name="_Toc138848097"/>
      <w:r w:rsidRPr="006B3F59">
        <w:lastRenderedPageBreak/>
        <w:t xml:space="preserve">Vyhodnocení vlivů </w:t>
      </w:r>
      <w:r w:rsidR="00A04E8C" w:rsidRPr="006B3F59">
        <w:t>návrh</w:t>
      </w:r>
      <w:r w:rsidR="00584239" w:rsidRPr="006B3F59">
        <w:t>u</w:t>
      </w:r>
      <w:r w:rsidR="00A04E8C" w:rsidRPr="006B3F59">
        <w:t xml:space="preserve"> územního plánu</w:t>
      </w:r>
      <w:r w:rsidRPr="006B3F59">
        <w:t xml:space="preserve"> na životní </w:t>
      </w:r>
      <w:r w:rsidR="003577E4" w:rsidRPr="006B3F59">
        <w:t>prostředí – dokumentace</w:t>
      </w:r>
      <w:r w:rsidRPr="006B3F59">
        <w:t xml:space="preserve"> vyhodnocení vlivů na životní prostředí (SEA)</w:t>
      </w:r>
      <w:bookmarkEnd w:id="31"/>
      <w:bookmarkEnd w:id="35"/>
      <w:bookmarkEnd w:id="42"/>
    </w:p>
    <w:p w14:paraId="224BF0EC" w14:textId="77777777" w:rsidR="00794578" w:rsidRPr="006B3F59" w:rsidRDefault="00794578" w:rsidP="00BD79EE">
      <w:pPr>
        <w:pStyle w:val="Nadpis2"/>
      </w:pPr>
      <w:bookmarkStart w:id="43" w:name="_Toc531606235"/>
      <w:bookmarkStart w:id="44" w:name="_Toc29298318"/>
      <w:bookmarkStart w:id="45" w:name="_Toc138848098"/>
      <w:r w:rsidRPr="006B3F59">
        <w:t>Stručné shrnutí obsahu a hlavních cílů územně plánovací dokumentace, vztah k jiným koncepcím</w:t>
      </w:r>
      <w:bookmarkEnd w:id="43"/>
      <w:bookmarkEnd w:id="44"/>
      <w:bookmarkEnd w:id="45"/>
    </w:p>
    <w:p w14:paraId="5666658D" w14:textId="1D855888" w:rsidR="00794578" w:rsidRPr="006B3F59" w:rsidRDefault="00794578" w:rsidP="00BD79EE">
      <w:pPr>
        <w:pStyle w:val="Nadpis3"/>
      </w:pPr>
      <w:bookmarkStart w:id="46" w:name="_Toc531606236"/>
      <w:bookmarkStart w:id="47" w:name="_Toc29298319"/>
      <w:bookmarkStart w:id="48" w:name="_Toc138848099"/>
      <w:r w:rsidRPr="006B3F59">
        <w:t xml:space="preserve">Obsah řešené </w:t>
      </w:r>
      <w:bookmarkEnd w:id="46"/>
      <w:r w:rsidR="00822FB1" w:rsidRPr="006B3F59">
        <w:t>územně plánovací dokumentace</w:t>
      </w:r>
      <w:bookmarkEnd w:id="47"/>
      <w:bookmarkEnd w:id="48"/>
    </w:p>
    <w:p w14:paraId="5B43FCA7" w14:textId="67C41116" w:rsidR="00F7137A" w:rsidRPr="006B3F59" w:rsidRDefault="005F079F" w:rsidP="00BD79EE">
      <w:r w:rsidRPr="006B3F59">
        <w:t xml:space="preserve">Předmětem řešení je </w:t>
      </w:r>
      <w:r w:rsidR="00F7137A" w:rsidRPr="006B3F59">
        <w:t xml:space="preserve">Vyhodnocení vlivu na udržitelný rozvoj území pro </w:t>
      </w:r>
      <w:r w:rsidR="00D24A87" w:rsidRPr="006B3F59">
        <w:t>změnu územního plánu Prahy vedenou pod označením Z</w:t>
      </w:r>
      <w:r w:rsidR="001663EA" w:rsidRPr="006B3F59">
        <w:t>3827</w:t>
      </w:r>
      <w:r w:rsidR="002C3544" w:rsidRPr="006B3F59">
        <w:t>/</w:t>
      </w:r>
      <w:r w:rsidRPr="006B3F59">
        <w:t>00</w:t>
      </w:r>
      <w:r w:rsidR="002C3544" w:rsidRPr="006B3F59">
        <w:t>.</w:t>
      </w:r>
    </w:p>
    <w:p w14:paraId="5780AE8A" w14:textId="78BF2CA9" w:rsidR="00F7137A" w:rsidRPr="006B3F59" w:rsidRDefault="002C3544" w:rsidP="00BD79EE">
      <w:r w:rsidRPr="006B3F59">
        <w:t>Předkládan</w:t>
      </w:r>
      <w:r w:rsidR="00BB3F6C" w:rsidRPr="006B3F59">
        <w:t>á</w:t>
      </w:r>
      <w:r w:rsidR="00654469" w:rsidRPr="006B3F59">
        <w:t xml:space="preserve"> změn</w:t>
      </w:r>
      <w:r w:rsidR="00BB3F6C" w:rsidRPr="006B3F59">
        <w:t>a</w:t>
      </w:r>
      <w:r w:rsidR="00654469" w:rsidRPr="006B3F59">
        <w:t xml:space="preserve"> územního plánu</w:t>
      </w:r>
      <w:r w:rsidR="00F7137A" w:rsidRPr="006B3F59">
        <w:t xml:space="preserve"> </w:t>
      </w:r>
      <w:r w:rsidR="00BB3F6C" w:rsidRPr="006B3F59">
        <w:t>je navržena</w:t>
      </w:r>
      <w:r w:rsidR="00F7137A" w:rsidRPr="006B3F59">
        <w:t xml:space="preserve"> v souladu s požadavky stavebního zákona. Změn</w:t>
      </w:r>
      <w:r w:rsidR="001C769F" w:rsidRPr="006B3F59">
        <w:t xml:space="preserve">a </w:t>
      </w:r>
      <w:r w:rsidR="00F7137A" w:rsidRPr="006B3F59">
        <w:t>zachováv</w:t>
      </w:r>
      <w:r w:rsidR="001C769F" w:rsidRPr="006B3F59">
        <w:t>á</w:t>
      </w:r>
      <w:r w:rsidR="00F7137A" w:rsidRPr="006B3F59">
        <w:t xml:space="preserve"> prvky platného územního plánu v zájmu kontinuity a věcné i formální jednoty územního plánu. </w:t>
      </w:r>
      <w:r w:rsidR="00F7137A" w:rsidRPr="006B3F59">
        <w:rPr>
          <w:rFonts w:cs="Arial"/>
        </w:rPr>
        <w:t>Regulativy funkčního a prostorového uspořádání území, obsažené v </w:t>
      </w:r>
      <w:r w:rsidR="009A44CB" w:rsidRPr="006B3F59">
        <w:rPr>
          <w:rFonts w:cs="Arial"/>
        </w:rPr>
        <w:t>platném</w:t>
      </w:r>
      <w:r w:rsidR="00F7137A" w:rsidRPr="006B3F59">
        <w:rPr>
          <w:rFonts w:cs="Arial"/>
        </w:rPr>
        <w:t xml:space="preserve"> územní</w:t>
      </w:r>
      <w:r w:rsidR="009A44CB" w:rsidRPr="006B3F59">
        <w:rPr>
          <w:rFonts w:cs="Arial"/>
        </w:rPr>
        <w:t>m</w:t>
      </w:r>
      <w:r w:rsidR="00F7137A" w:rsidRPr="006B3F59">
        <w:rPr>
          <w:rFonts w:cs="Arial"/>
        </w:rPr>
        <w:t xml:space="preserve"> plánu, se návrh</w:t>
      </w:r>
      <w:r w:rsidRPr="006B3F59">
        <w:rPr>
          <w:rFonts w:cs="Arial"/>
        </w:rPr>
        <w:t>em předkládaných úprav nemění.</w:t>
      </w:r>
    </w:p>
    <w:p w14:paraId="7EB4B979" w14:textId="461E50F6" w:rsidR="00F7137A" w:rsidRPr="006B3F59" w:rsidRDefault="00F7137A" w:rsidP="00BD79EE">
      <w:r w:rsidRPr="006B3F59">
        <w:t xml:space="preserve">Jedná se tedy převážně o věcné úpravy platného územního plánu Hlavního města Prahy bez dopadu do systémových složek územního plánu, tj. regulativů funkčního využití ploch a cílů územního plánování obsažených </w:t>
      </w:r>
      <w:r w:rsidR="009A44CB" w:rsidRPr="006B3F59">
        <w:t>platné ÚPD</w:t>
      </w:r>
      <w:r w:rsidRPr="006B3F59">
        <w:t>.</w:t>
      </w:r>
    </w:p>
    <w:p w14:paraId="763C52E3" w14:textId="057F32D5" w:rsidR="00F7137A" w:rsidRPr="006B3F59" w:rsidRDefault="00BB3F6C" w:rsidP="00BD79EE">
      <w:r w:rsidRPr="006B3F59">
        <w:t>Věcně je</w:t>
      </w:r>
      <w:r w:rsidR="0070404C" w:rsidRPr="006B3F59">
        <w:t xml:space="preserve"> předmět řešení změn</w:t>
      </w:r>
      <w:r w:rsidRPr="006B3F59">
        <w:t>y</w:t>
      </w:r>
      <w:r w:rsidR="00F7137A" w:rsidRPr="006B3F59">
        <w:t xml:space="preserve"> následující:</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85"/>
        <w:gridCol w:w="7543"/>
      </w:tblGrid>
      <w:tr w:rsidR="0070404C" w:rsidRPr="006B3F59" w14:paraId="34BF82F5" w14:textId="77777777" w:rsidTr="00F7137A">
        <w:trPr>
          <w:trHeight w:val="189"/>
        </w:trPr>
        <w:tc>
          <w:tcPr>
            <w:tcW w:w="1083" w:type="pct"/>
            <w:shd w:val="clear" w:color="auto" w:fill="auto"/>
          </w:tcPr>
          <w:p w14:paraId="0344B8F1" w14:textId="02E3CFFB" w:rsidR="0070404C" w:rsidRPr="006B3F59" w:rsidRDefault="0070404C" w:rsidP="00BD79EE">
            <w:pPr>
              <w:pStyle w:val="normln0"/>
              <w:snapToGrid w:val="0"/>
              <w:spacing w:before="40" w:afterLines="40" w:after="96"/>
              <w:jc w:val="left"/>
              <w:rPr>
                <w:rFonts w:ascii="Arial" w:hAnsi="Arial" w:cs="Arial"/>
                <w:sz w:val="20"/>
              </w:rPr>
            </w:pPr>
            <w:r w:rsidRPr="006B3F59">
              <w:rPr>
                <w:rFonts w:ascii="Arial" w:hAnsi="Arial" w:cs="Arial"/>
                <w:sz w:val="20"/>
              </w:rPr>
              <w:t xml:space="preserve">Předmět řešení </w:t>
            </w:r>
          </w:p>
        </w:tc>
        <w:tc>
          <w:tcPr>
            <w:tcW w:w="3917" w:type="pct"/>
            <w:shd w:val="clear" w:color="auto" w:fill="auto"/>
            <w:vAlign w:val="center"/>
          </w:tcPr>
          <w:p w14:paraId="5421C595" w14:textId="411D037D" w:rsidR="00BB3F6C" w:rsidRPr="006B3F59" w:rsidRDefault="00F80CDD" w:rsidP="00BD79EE">
            <w:pPr>
              <w:rPr>
                <w:b/>
                <w:noProof/>
                <w:szCs w:val="20"/>
                <w:lang w:eastAsia="cs-CZ"/>
              </w:rPr>
            </w:pPr>
            <w:r w:rsidRPr="006B3F59">
              <w:rPr>
                <w:b/>
                <w:noProof/>
                <w:szCs w:val="20"/>
                <w:lang w:eastAsia="cs-CZ"/>
              </w:rPr>
              <w:t>Z</w:t>
            </w:r>
            <w:r w:rsidR="001663EA" w:rsidRPr="006B3F59">
              <w:rPr>
                <w:b/>
                <w:noProof/>
                <w:szCs w:val="20"/>
                <w:lang w:eastAsia="cs-CZ"/>
              </w:rPr>
              <w:t>3827</w:t>
            </w:r>
            <w:r w:rsidRPr="006B3F59">
              <w:rPr>
                <w:b/>
                <w:noProof/>
                <w:szCs w:val="20"/>
                <w:lang w:eastAsia="cs-CZ"/>
              </w:rPr>
              <w:t>/00</w:t>
            </w:r>
          </w:p>
          <w:p w14:paraId="403A7077" w14:textId="2F1204AE" w:rsidR="00BB3F6C" w:rsidRPr="006B3F59" w:rsidRDefault="00BB3F6C" w:rsidP="00BD79EE">
            <w:pPr>
              <w:rPr>
                <w:b/>
                <w:noProof/>
                <w:szCs w:val="20"/>
                <w:lang w:eastAsia="cs-CZ"/>
              </w:rPr>
            </w:pPr>
            <w:r w:rsidRPr="006B3F59">
              <w:rPr>
                <w:b/>
                <w:noProof/>
                <w:szCs w:val="20"/>
                <w:lang w:eastAsia="cs-CZ"/>
              </w:rPr>
              <w:t xml:space="preserve">Katastrální území </w:t>
            </w:r>
            <w:r w:rsidR="0091524C" w:rsidRPr="006B3F59">
              <w:rPr>
                <w:b/>
                <w:noProof/>
                <w:szCs w:val="20"/>
                <w:lang w:eastAsia="cs-CZ"/>
              </w:rPr>
              <w:t>Suchdol, Sedlec, Lysolaje, Bubeneč a Dejvice</w:t>
            </w:r>
            <w:r w:rsidR="00720D35" w:rsidRPr="006B3F59">
              <w:rPr>
                <w:b/>
                <w:noProof/>
                <w:szCs w:val="20"/>
                <w:lang w:eastAsia="cs-CZ"/>
              </w:rPr>
              <w:t xml:space="preserve">, </w:t>
            </w:r>
            <w:r w:rsidRPr="006B3F59">
              <w:rPr>
                <w:b/>
                <w:noProof/>
                <w:szCs w:val="20"/>
                <w:lang w:eastAsia="cs-CZ"/>
              </w:rPr>
              <w:t xml:space="preserve">rozsah řešeného území cca </w:t>
            </w:r>
            <w:r w:rsidR="004856A2">
              <w:rPr>
                <w:b/>
                <w:noProof/>
                <w:szCs w:val="20"/>
                <w:lang w:eastAsia="cs-CZ"/>
              </w:rPr>
              <w:t xml:space="preserve">435 063 </w:t>
            </w:r>
            <w:r w:rsidRPr="006B3F59">
              <w:rPr>
                <w:b/>
                <w:noProof/>
                <w:szCs w:val="20"/>
                <w:lang w:eastAsia="cs-CZ"/>
              </w:rPr>
              <w:t xml:space="preserve"> m</w:t>
            </w:r>
            <w:r w:rsidRPr="006B3F59">
              <w:rPr>
                <w:b/>
                <w:noProof/>
                <w:szCs w:val="20"/>
                <w:vertAlign w:val="superscript"/>
                <w:lang w:eastAsia="cs-CZ"/>
              </w:rPr>
              <w:t>2</w:t>
            </w:r>
          </w:p>
          <w:p w14:paraId="439F7D73" w14:textId="19684FE3" w:rsidR="0091524C" w:rsidRPr="006B3F59" w:rsidRDefault="0091524C" w:rsidP="00BD79EE">
            <w:r w:rsidRPr="006B3F59">
              <w:t>Lokalita Nového Sedlce se rozkládá na území tří městských částí – Prahy 6, Suchdola a Lysolají. Na ploše cca 32 ha lze předpokládat postupný rozvoj</w:t>
            </w:r>
            <w:r w:rsidR="00445EBD">
              <w:t xml:space="preserve"> rezidenčních funkcí</w:t>
            </w:r>
            <w:r w:rsidRPr="006B3F59">
              <w:t xml:space="preserve"> a z</w:t>
            </w:r>
            <w:r w:rsidR="00445EBD">
              <w:t>a</w:t>
            </w:r>
            <w:r w:rsidRPr="006B3F59">
              <w:t>stav</w:t>
            </w:r>
            <w:r w:rsidR="00445EBD">
              <w:t>ování ploch</w:t>
            </w:r>
            <w:r w:rsidRPr="006B3F59">
              <w:t xml:space="preserve"> Je zde navrženo různými subjekty množství změn ÚP, které nejsou koordinovány nebo se vzájemně překrývají. Území protíná navrhovaná trasa tramvajového spojení Dejvic se Suchdolem, která je jednou z prioritních tratí dle schválené Strategie rozvoje tramvajových tratí v Praze do roku 2030.</w:t>
            </w:r>
          </w:p>
          <w:p w14:paraId="5CC56032" w14:textId="77777777" w:rsidR="0070404C" w:rsidRPr="006B3F59" w:rsidRDefault="00720D35" w:rsidP="00BD79EE">
            <w:pPr>
              <w:rPr>
                <w:rFonts w:cs="Arial"/>
              </w:rPr>
            </w:pPr>
            <w:r w:rsidRPr="006B3F59">
              <w:rPr>
                <w:rFonts w:cs="Arial"/>
              </w:rPr>
              <w:t xml:space="preserve">Návrh změny vytváří předpoklady realizace připravovaného komplexního rozvoje </w:t>
            </w:r>
            <w:r w:rsidR="0091524C" w:rsidRPr="006B3F59">
              <w:rPr>
                <w:rFonts w:cs="Arial"/>
              </w:rPr>
              <w:t xml:space="preserve">rezidenčních lokalit Nový Sedlec a Výhledy, stabilizace tramvajové trati a dopravního řešení v koordinaci s ostatními záměry v území. </w:t>
            </w:r>
          </w:p>
          <w:p w14:paraId="5042FBB7" w14:textId="2D4F4D84" w:rsidR="0091524C" w:rsidRPr="006B3F59" w:rsidRDefault="0091524C" w:rsidP="00BD79EE">
            <w:pPr>
              <w:rPr>
                <w:rFonts w:cs="Arial"/>
              </w:rPr>
            </w:pPr>
            <w:r w:rsidRPr="006B3F59">
              <w:t>Cílem změny je vzájemně smysluplně provázat území Sedlce a Suchdola a propojit tuto lokalitu i s centrem Prahy.</w:t>
            </w:r>
          </w:p>
        </w:tc>
      </w:tr>
      <w:tr w:rsidR="0008263B" w:rsidRPr="006B3F59" w14:paraId="0B18D874" w14:textId="77777777" w:rsidTr="00F7137A">
        <w:trPr>
          <w:trHeight w:val="385"/>
        </w:trPr>
        <w:tc>
          <w:tcPr>
            <w:tcW w:w="1083" w:type="pct"/>
            <w:shd w:val="clear" w:color="auto" w:fill="auto"/>
          </w:tcPr>
          <w:p w14:paraId="31F98199" w14:textId="617F0384" w:rsidR="0008263B" w:rsidRPr="006B3F59" w:rsidRDefault="0080128D" w:rsidP="00BD79EE">
            <w:pPr>
              <w:pStyle w:val="normln0"/>
              <w:snapToGrid w:val="0"/>
              <w:spacing w:before="40" w:afterLines="40" w:after="96"/>
              <w:jc w:val="left"/>
              <w:rPr>
                <w:rFonts w:ascii="Arial" w:hAnsi="Arial" w:cs="Arial"/>
                <w:sz w:val="20"/>
              </w:rPr>
            </w:pPr>
            <w:r w:rsidRPr="006B3F59">
              <w:rPr>
                <w:rFonts w:ascii="Arial" w:hAnsi="Arial" w:cs="Arial"/>
                <w:sz w:val="20"/>
              </w:rPr>
              <w:t>Věcné řešení změny</w:t>
            </w:r>
          </w:p>
        </w:tc>
        <w:tc>
          <w:tcPr>
            <w:tcW w:w="3917" w:type="pct"/>
            <w:shd w:val="clear" w:color="auto" w:fill="auto"/>
            <w:vAlign w:val="center"/>
          </w:tcPr>
          <w:p w14:paraId="30988DEC" w14:textId="00146F68" w:rsidR="006F34E3" w:rsidRPr="006B3F59" w:rsidRDefault="006F34E3" w:rsidP="006F34E3">
            <w:pPr>
              <w:pStyle w:val="normln0"/>
              <w:snapToGrid w:val="0"/>
              <w:spacing w:before="60"/>
              <w:rPr>
                <w:rFonts w:ascii="Arial" w:hAnsi="Arial" w:cs="Arial"/>
                <w:sz w:val="20"/>
              </w:rPr>
            </w:pPr>
            <w:r w:rsidRPr="006B3F59">
              <w:rPr>
                <w:rFonts w:ascii="Arial" w:hAnsi="Arial" w:cs="Arial"/>
                <w:sz w:val="20"/>
              </w:rPr>
              <w:t xml:space="preserve">Z věcného hlediska jsou navrhovány tyto základní typy změn: </w:t>
            </w:r>
          </w:p>
          <w:p w14:paraId="79E63AE0" w14:textId="30C93A3E" w:rsidR="006F34E3" w:rsidRPr="006B3F59" w:rsidRDefault="006F34E3" w:rsidP="006F34E3">
            <w:pPr>
              <w:pStyle w:val="normln0"/>
              <w:snapToGrid w:val="0"/>
              <w:spacing w:before="60"/>
              <w:rPr>
                <w:rFonts w:ascii="Arial" w:hAnsi="Arial" w:cs="Arial"/>
                <w:sz w:val="20"/>
              </w:rPr>
            </w:pPr>
            <w:r w:rsidRPr="006B3F59">
              <w:rPr>
                <w:rFonts w:ascii="Arial" w:hAnsi="Arial" w:cs="Arial"/>
                <w:sz w:val="20"/>
              </w:rPr>
              <w:t>1) Rozšíření ulice Podbabská/Roztocká – navrhováno rozšíření plochy S2 umožňující umístění tramvajové trati při zachování dostatečného prostoru pro pěší, cyklistickou a motorovou dopravu, na úkor ploch VN, IZ, DZ, ZVO, DGP, ZMK</w:t>
            </w:r>
            <w:r w:rsidR="00BC228A">
              <w:rPr>
                <w:rFonts w:ascii="Arial" w:hAnsi="Arial" w:cs="Arial"/>
                <w:sz w:val="20"/>
              </w:rPr>
              <w:t>.</w:t>
            </w:r>
          </w:p>
          <w:p w14:paraId="7658A007" w14:textId="432B39E5" w:rsidR="006F34E3" w:rsidRPr="006B3F59" w:rsidRDefault="006F34E3" w:rsidP="006F34E3">
            <w:pPr>
              <w:pStyle w:val="normln0"/>
              <w:snapToGrid w:val="0"/>
              <w:spacing w:before="60"/>
              <w:rPr>
                <w:rFonts w:ascii="Arial" w:hAnsi="Arial" w:cs="Arial"/>
                <w:sz w:val="20"/>
              </w:rPr>
            </w:pPr>
            <w:r w:rsidRPr="006B3F59">
              <w:rPr>
                <w:rFonts w:ascii="Arial" w:hAnsi="Arial" w:cs="Arial"/>
                <w:sz w:val="20"/>
              </w:rPr>
              <w:t xml:space="preserve">2) Rozvoj lokality Nový Sedlec v návaznosti na tramvajovou trať – vymezeny plochy </w:t>
            </w:r>
          </w:p>
          <w:p w14:paraId="06854935" w14:textId="4D8E1BBE" w:rsidR="006F34E3" w:rsidRPr="006B3F59" w:rsidRDefault="006F34E3" w:rsidP="006F34E3">
            <w:pPr>
              <w:pStyle w:val="normln0"/>
              <w:snapToGrid w:val="0"/>
              <w:spacing w:before="60"/>
              <w:rPr>
                <w:rFonts w:ascii="Arial" w:hAnsi="Arial" w:cs="Arial"/>
                <w:sz w:val="20"/>
              </w:rPr>
            </w:pPr>
            <w:r w:rsidRPr="006B3F59">
              <w:rPr>
                <w:rFonts w:ascii="Arial" w:hAnsi="Arial" w:cs="Arial"/>
                <w:sz w:val="20"/>
              </w:rPr>
              <w:t>OB-F, ZMK, VV, OV-G, OB-D, OB-C, OB-E, OV-E, SV-F, SV-E, DU, SV-G, DH,</w:t>
            </w:r>
            <w:r w:rsidR="009266F8">
              <w:rPr>
                <w:rFonts w:ascii="Arial" w:hAnsi="Arial" w:cs="Arial"/>
                <w:sz w:val="20"/>
              </w:rPr>
              <w:t xml:space="preserve"> </w:t>
            </w:r>
            <w:r w:rsidR="009266F8" w:rsidRPr="006B3F59">
              <w:rPr>
                <w:rFonts w:ascii="Arial" w:hAnsi="Arial" w:cs="Arial"/>
                <w:sz w:val="20"/>
              </w:rPr>
              <w:t>SO</w:t>
            </w:r>
            <w:r w:rsidR="009266F8">
              <w:rPr>
                <w:rFonts w:ascii="Arial" w:hAnsi="Arial" w:cs="Arial"/>
                <w:sz w:val="20"/>
              </w:rPr>
              <w:t> </w:t>
            </w:r>
            <w:r w:rsidR="009266F8" w:rsidRPr="006B3F59">
              <w:rPr>
                <w:rFonts w:ascii="Arial" w:hAnsi="Arial" w:cs="Arial"/>
                <w:sz w:val="20"/>
              </w:rPr>
              <w:t>5,6</w:t>
            </w:r>
            <w:r w:rsidR="009266F8">
              <w:rPr>
                <w:rFonts w:ascii="Arial" w:hAnsi="Arial" w:cs="Arial"/>
                <w:sz w:val="20"/>
              </w:rPr>
              <w:t>,</w:t>
            </w:r>
            <w:r w:rsidRPr="006B3F59">
              <w:rPr>
                <w:rFonts w:ascii="Arial" w:hAnsi="Arial" w:cs="Arial"/>
                <w:sz w:val="20"/>
              </w:rPr>
              <w:t xml:space="preserve"> pevná značka </w:t>
            </w:r>
            <w:proofErr w:type="gramStart"/>
            <w:r w:rsidRPr="006B3F59">
              <w:rPr>
                <w:rFonts w:ascii="Arial" w:hAnsi="Arial" w:cs="Arial"/>
                <w:sz w:val="20"/>
              </w:rPr>
              <w:t>VV</w:t>
            </w:r>
            <w:r w:rsidR="009266F8">
              <w:rPr>
                <w:rFonts w:ascii="Arial" w:hAnsi="Arial" w:cs="Arial"/>
                <w:sz w:val="20"/>
              </w:rPr>
              <w:t xml:space="preserve"> </w:t>
            </w:r>
            <w:r w:rsidRPr="006B3F59">
              <w:rPr>
                <w:rFonts w:ascii="Arial" w:hAnsi="Arial" w:cs="Arial"/>
                <w:sz w:val="20"/>
              </w:rPr>
              <w:t>,</w:t>
            </w:r>
            <w:proofErr w:type="gramEnd"/>
            <w:r w:rsidRPr="006B3F59">
              <w:rPr>
                <w:rFonts w:ascii="Arial" w:hAnsi="Arial" w:cs="Arial"/>
                <w:sz w:val="20"/>
              </w:rPr>
              <w:t xml:space="preserve"> plovoucí značka VV</w:t>
            </w:r>
            <w:r w:rsidR="009266F8">
              <w:rPr>
                <w:rFonts w:ascii="Arial" w:hAnsi="Arial" w:cs="Arial"/>
                <w:sz w:val="20"/>
              </w:rPr>
              <w:t xml:space="preserve"> a SP</w:t>
            </w:r>
            <w:r w:rsidRPr="006B3F59">
              <w:rPr>
                <w:rFonts w:ascii="Arial" w:hAnsi="Arial" w:cs="Arial"/>
                <w:sz w:val="20"/>
              </w:rPr>
              <w:t xml:space="preserve">, vytvářející územní předpoklady pro obytnou </w:t>
            </w:r>
            <w:r w:rsidR="001D749A" w:rsidRPr="006B3F59">
              <w:rPr>
                <w:rFonts w:ascii="Arial" w:hAnsi="Arial" w:cs="Arial"/>
                <w:sz w:val="20"/>
              </w:rPr>
              <w:t>čtvrť</w:t>
            </w:r>
            <w:r w:rsidRPr="006B3F59">
              <w:rPr>
                <w:rFonts w:ascii="Arial" w:hAnsi="Arial" w:cs="Arial"/>
                <w:sz w:val="20"/>
              </w:rPr>
              <w:t xml:space="preserve"> na místě stávajících brownfields</w:t>
            </w:r>
            <w:r w:rsidR="002B6D97">
              <w:rPr>
                <w:rFonts w:ascii="Arial" w:hAnsi="Arial" w:cs="Arial"/>
                <w:sz w:val="20"/>
              </w:rPr>
              <w:t>,</w:t>
            </w:r>
            <w:r w:rsidRPr="006B3F59">
              <w:rPr>
                <w:rFonts w:ascii="Arial" w:hAnsi="Arial" w:cs="Arial"/>
                <w:sz w:val="20"/>
              </w:rPr>
              <w:t xml:space="preserve"> využívající tramvajové spojení s centrem města, bydlení, veřejná a komerční vybavenost pro území Sedlce (obytné soubory na </w:t>
            </w:r>
            <w:r w:rsidR="001B51E2" w:rsidRPr="006B3F59">
              <w:rPr>
                <w:rFonts w:ascii="Arial" w:hAnsi="Arial" w:cs="Arial"/>
                <w:sz w:val="20"/>
              </w:rPr>
              <w:t>jih</w:t>
            </w:r>
            <w:r w:rsidRPr="006B3F59">
              <w:rPr>
                <w:rFonts w:ascii="Arial" w:hAnsi="Arial" w:cs="Arial"/>
                <w:sz w:val="20"/>
              </w:rPr>
              <w:t xml:space="preserve"> od Kamýcké na území bývalé cihelny a mrazíren); plochy VV jsou určeny pro umístění škol dvou městských částí – Prahy 6 a Suchdola. </w:t>
            </w:r>
            <w:r w:rsidR="00F94D3C" w:rsidRPr="006B3F59">
              <w:rPr>
                <w:rFonts w:ascii="Arial" w:hAnsi="Arial" w:cs="Arial"/>
                <w:sz w:val="20"/>
              </w:rPr>
              <w:t xml:space="preserve">Kapacity </w:t>
            </w:r>
            <w:r w:rsidR="00F94D3C">
              <w:rPr>
                <w:rFonts w:ascii="Arial" w:hAnsi="Arial" w:cs="Arial"/>
                <w:sz w:val="20"/>
              </w:rPr>
              <w:t>– kód</w:t>
            </w:r>
            <w:r w:rsidRPr="006B3F59">
              <w:rPr>
                <w:rFonts w:ascii="Arial" w:hAnsi="Arial" w:cs="Arial"/>
                <w:sz w:val="20"/>
              </w:rPr>
              <w:t xml:space="preserve"> C-F, nově vymezený ÚSES v souladu se ZÚR. Na úkor ploch OP/NL, TVV, OP/OB-B, OP/ZMK, NL/OB-B, NL/SV-B, SV, SV-B</w:t>
            </w:r>
            <w:proofErr w:type="gramStart"/>
            <w:r w:rsidRPr="006B3F59">
              <w:rPr>
                <w:rFonts w:ascii="Arial" w:hAnsi="Arial" w:cs="Arial"/>
                <w:sz w:val="20"/>
              </w:rPr>
              <w:t>, ,</w:t>
            </w:r>
            <w:proofErr w:type="gramEnd"/>
            <w:r w:rsidRPr="006B3F59">
              <w:rPr>
                <w:rFonts w:ascii="Arial" w:hAnsi="Arial" w:cs="Arial"/>
                <w:sz w:val="20"/>
              </w:rPr>
              <w:t xml:space="preserve"> NL/ZP, ZP, ZMK, VN, DZ, SP, DH, IZ </w:t>
            </w:r>
          </w:p>
          <w:p w14:paraId="028CCC19" w14:textId="059FDBFD" w:rsidR="00216ADD" w:rsidRPr="006B3F59" w:rsidRDefault="006F34E3" w:rsidP="006F34E3">
            <w:pPr>
              <w:pStyle w:val="normln0"/>
              <w:snapToGrid w:val="0"/>
              <w:spacing w:before="60"/>
              <w:rPr>
                <w:rFonts w:ascii="Arial" w:hAnsi="Arial" w:cs="Arial"/>
                <w:sz w:val="20"/>
              </w:rPr>
            </w:pPr>
            <w:r w:rsidRPr="006B3F59">
              <w:rPr>
                <w:rFonts w:ascii="Arial" w:hAnsi="Arial" w:cs="Arial"/>
                <w:sz w:val="20"/>
              </w:rPr>
              <w:t>3) N</w:t>
            </w:r>
            <w:r w:rsidR="00594B13">
              <w:rPr>
                <w:rFonts w:ascii="Arial" w:hAnsi="Arial" w:cs="Arial"/>
                <w:sz w:val="20"/>
              </w:rPr>
              <w:t>ové</w:t>
            </w:r>
            <w:r w:rsidRPr="006B3F59">
              <w:rPr>
                <w:rFonts w:ascii="Arial" w:hAnsi="Arial" w:cs="Arial"/>
                <w:sz w:val="20"/>
              </w:rPr>
              <w:t xml:space="preserve"> vyústění přivaděče Rybářka na základě dopravního prověření vedení tramvajové trati</w:t>
            </w:r>
            <w:r w:rsidR="00594B13">
              <w:rPr>
                <w:rFonts w:ascii="Arial" w:hAnsi="Arial" w:cs="Arial"/>
                <w:sz w:val="20"/>
              </w:rPr>
              <w:t xml:space="preserve"> a souvisejících úprav</w:t>
            </w:r>
            <w:r w:rsidRPr="006B3F59">
              <w:rPr>
                <w:rFonts w:ascii="Arial" w:hAnsi="Arial" w:cs="Arial"/>
                <w:sz w:val="20"/>
              </w:rPr>
              <w:t xml:space="preserve"> – vymezeny plochy OV-</w:t>
            </w:r>
            <w:r w:rsidR="0005086F">
              <w:rPr>
                <w:rFonts w:ascii="Arial" w:hAnsi="Arial" w:cs="Arial"/>
                <w:sz w:val="20"/>
              </w:rPr>
              <w:t>D</w:t>
            </w:r>
            <w:r w:rsidRPr="006B3F59">
              <w:rPr>
                <w:rFonts w:ascii="Arial" w:hAnsi="Arial" w:cs="Arial"/>
                <w:sz w:val="20"/>
              </w:rPr>
              <w:t>, OV-C, IZ, DU, DH</w:t>
            </w:r>
            <w:r w:rsidR="009266F8">
              <w:rPr>
                <w:rFonts w:ascii="Arial" w:hAnsi="Arial" w:cs="Arial"/>
                <w:sz w:val="20"/>
              </w:rPr>
              <w:t>, S2, SV-B</w:t>
            </w:r>
            <w:r w:rsidR="00216ADD" w:rsidRPr="006B3F59">
              <w:rPr>
                <w:rFonts w:ascii="Arial" w:hAnsi="Arial" w:cs="Arial"/>
                <w:sz w:val="20"/>
              </w:rPr>
              <w:t>. Návrh</w:t>
            </w:r>
            <w:r w:rsidR="00594B13">
              <w:rPr>
                <w:rFonts w:ascii="Arial" w:hAnsi="Arial" w:cs="Arial"/>
                <w:sz w:val="20"/>
              </w:rPr>
              <w:t xml:space="preserve"> vymezuje posunutý průběh jižní části </w:t>
            </w:r>
            <w:r w:rsidRPr="006B3F59">
              <w:rPr>
                <w:rFonts w:ascii="Arial" w:hAnsi="Arial" w:cs="Arial"/>
                <w:sz w:val="20"/>
              </w:rPr>
              <w:t xml:space="preserve">přivaděče Rybářka podle </w:t>
            </w:r>
            <w:r w:rsidR="00216ADD" w:rsidRPr="006B3F59">
              <w:rPr>
                <w:rFonts w:ascii="Arial" w:hAnsi="Arial" w:cs="Arial"/>
                <w:sz w:val="20"/>
              </w:rPr>
              <w:lastRenderedPageBreak/>
              <w:t xml:space="preserve">aktuálních podkladů, </w:t>
            </w:r>
            <w:r w:rsidR="00BA1E71">
              <w:rPr>
                <w:rFonts w:ascii="Arial" w:hAnsi="Arial" w:cs="Arial"/>
                <w:sz w:val="20"/>
              </w:rPr>
              <w:t>umožňuje</w:t>
            </w:r>
            <w:r w:rsidRPr="006B3F59">
              <w:rPr>
                <w:rFonts w:ascii="Arial" w:hAnsi="Arial" w:cs="Arial"/>
                <w:sz w:val="20"/>
              </w:rPr>
              <w:t xml:space="preserve"> všesměrné uspořádání </w:t>
            </w:r>
            <w:r w:rsidR="00BA1E71">
              <w:rPr>
                <w:rFonts w:ascii="Arial" w:hAnsi="Arial" w:cs="Arial"/>
                <w:sz w:val="20"/>
              </w:rPr>
              <w:t xml:space="preserve">křižovatky přivaděče Rybářka s Kamýckou ulicí </w:t>
            </w:r>
            <w:r w:rsidRPr="006B3F59">
              <w:rPr>
                <w:rFonts w:ascii="Arial" w:hAnsi="Arial" w:cs="Arial"/>
                <w:sz w:val="20"/>
              </w:rPr>
              <w:t>a zároveň</w:t>
            </w:r>
            <w:r w:rsidR="00BA1E71">
              <w:rPr>
                <w:rFonts w:ascii="Arial" w:hAnsi="Arial" w:cs="Arial"/>
                <w:sz w:val="20"/>
              </w:rPr>
              <w:t xml:space="preserve"> zvětšuje</w:t>
            </w:r>
            <w:r w:rsidRPr="006B3F59">
              <w:rPr>
                <w:rFonts w:ascii="Arial" w:hAnsi="Arial" w:cs="Arial"/>
                <w:sz w:val="20"/>
              </w:rPr>
              <w:t xml:space="preserve"> vzdálenost portálu tunelu Rybářka o</w:t>
            </w:r>
            <w:r w:rsidR="00F8502E">
              <w:rPr>
                <w:rFonts w:ascii="Arial" w:hAnsi="Arial" w:cs="Arial"/>
                <w:sz w:val="20"/>
              </w:rPr>
              <w:t>d</w:t>
            </w:r>
            <w:r w:rsidRPr="006B3F59">
              <w:rPr>
                <w:rFonts w:ascii="Arial" w:hAnsi="Arial" w:cs="Arial"/>
                <w:sz w:val="20"/>
              </w:rPr>
              <w:t xml:space="preserve"> stávající obytné zástavby. Návrh umožní mírný posun portálu a trasy tunelu</w:t>
            </w:r>
            <w:r w:rsidR="00BA1E71">
              <w:rPr>
                <w:rFonts w:ascii="Arial" w:hAnsi="Arial" w:cs="Arial"/>
                <w:sz w:val="20"/>
              </w:rPr>
              <w:t xml:space="preserve"> Rybářka</w:t>
            </w:r>
            <w:r w:rsidRPr="006B3F59">
              <w:rPr>
                <w:rFonts w:ascii="Arial" w:hAnsi="Arial" w:cs="Arial"/>
                <w:sz w:val="20"/>
              </w:rPr>
              <w:t xml:space="preserve"> v souladu se ZÚR.</w:t>
            </w:r>
            <w:r w:rsidR="00216ADD" w:rsidRPr="006B3F59">
              <w:rPr>
                <w:rFonts w:ascii="Arial" w:hAnsi="Arial" w:cs="Arial"/>
                <w:sz w:val="20"/>
              </w:rPr>
              <w:t xml:space="preserve"> </w:t>
            </w:r>
            <w:r w:rsidR="00353694">
              <w:rPr>
                <w:rFonts w:ascii="Arial" w:hAnsi="Arial" w:cs="Arial"/>
                <w:sz w:val="20"/>
              </w:rPr>
              <w:t>n</w:t>
            </w:r>
            <w:r w:rsidR="00216ADD" w:rsidRPr="006B3F59">
              <w:rPr>
                <w:rFonts w:ascii="Arial" w:hAnsi="Arial" w:cs="Arial"/>
                <w:sz w:val="20"/>
              </w:rPr>
              <w:t xml:space="preserve">a úkor ploch </w:t>
            </w:r>
            <w:r w:rsidRPr="006B3F59">
              <w:rPr>
                <w:rFonts w:ascii="Arial" w:hAnsi="Arial" w:cs="Arial"/>
                <w:sz w:val="20"/>
              </w:rPr>
              <w:t>ZMK, S2, SV-B, OV-B</w:t>
            </w:r>
            <w:r w:rsidR="00216ADD" w:rsidRPr="006B3F59">
              <w:rPr>
                <w:rFonts w:ascii="Arial" w:hAnsi="Arial" w:cs="Arial"/>
                <w:sz w:val="20"/>
              </w:rPr>
              <w:t xml:space="preserve"> </w:t>
            </w:r>
          </w:p>
          <w:p w14:paraId="0B17D3BA" w14:textId="4C8CF753" w:rsidR="006F34E3" w:rsidRPr="006B3F59" w:rsidRDefault="006F34E3" w:rsidP="006F34E3">
            <w:pPr>
              <w:pStyle w:val="normln0"/>
              <w:snapToGrid w:val="0"/>
              <w:spacing w:before="60"/>
              <w:rPr>
                <w:rFonts w:ascii="Arial" w:hAnsi="Arial" w:cs="Arial"/>
                <w:sz w:val="20"/>
              </w:rPr>
            </w:pPr>
            <w:r w:rsidRPr="006B3F59">
              <w:rPr>
                <w:rFonts w:ascii="Arial" w:hAnsi="Arial" w:cs="Arial"/>
                <w:sz w:val="20"/>
              </w:rPr>
              <w:t>4</w:t>
            </w:r>
            <w:r w:rsidR="00216ADD" w:rsidRPr="006B3F59">
              <w:rPr>
                <w:rFonts w:ascii="Arial" w:hAnsi="Arial" w:cs="Arial"/>
                <w:sz w:val="20"/>
              </w:rPr>
              <w:t>)</w:t>
            </w:r>
            <w:r w:rsidRPr="006B3F59">
              <w:rPr>
                <w:rFonts w:ascii="Arial" w:hAnsi="Arial" w:cs="Arial"/>
                <w:sz w:val="20"/>
              </w:rPr>
              <w:t xml:space="preserve"> Rozšíření ulice Kamýcká pro doplnění tramvajové trati</w:t>
            </w:r>
            <w:r w:rsidR="00216ADD" w:rsidRPr="006B3F59">
              <w:rPr>
                <w:rFonts w:ascii="Arial" w:hAnsi="Arial" w:cs="Arial"/>
                <w:sz w:val="20"/>
              </w:rPr>
              <w:t xml:space="preserve"> – navrhováno rozšíření plochy </w:t>
            </w:r>
            <w:r w:rsidRPr="006B3F59">
              <w:rPr>
                <w:rFonts w:ascii="Arial" w:hAnsi="Arial" w:cs="Arial"/>
                <w:sz w:val="20"/>
              </w:rPr>
              <w:t>DU</w:t>
            </w:r>
            <w:r w:rsidR="00216ADD" w:rsidRPr="006B3F59">
              <w:rPr>
                <w:rFonts w:ascii="Arial" w:hAnsi="Arial" w:cs="Arial"/>
                <w:sz w:val="20"/>
              </w:rPr>
              <w:t>.</w:t>
            </w:r>
            <w:r w:rsidRPr="006B3F59">
              <w:rPr>
                <w:rFonts w:ascii="Arial" w:hAnsi="Arial" w:cs="Arial"/>
                <w:sz w:val="20"/>
              </w:rPr>
              <w:t xml:space="preserve"> Rozšíření vychází z úpravy uličního profilu na základě dopravního prověření vedení tramvajové trati, která bude vedena po západní straně Kamýcké ulice a v prostoru Brandejsova náměstí se přesune do osy ulice</w:t>
            </w:r>
            <w:r w:rsidR="00216ADD" w:rsidRPr="006B3F59">
              <w:rPr>
                <w:rFonts w:ascii="Arial" w:hAnsi="Arial" w:cs="Arial"/>
                <w:sz w:val="20"/>
              </w:rPr>
              <w:t xml:space="preserve"> </w:t>
            </w:r>
            <w:r w:rsidRPr="006B3F59">
              <w:rPr>
                <w:rFonts w:ascii="Arial" w:hAnsi="Arial" w:cs="Arial"/>
                <w:sz w:val="20"/>
              </w:rPr>
              <w:t>OB</w:t>
            </w:r>
            <w:r w:rsidR="00216ADD" w:rsidRPr="006B3F59">
              <w:rPr>
                <w:rFonts w:ascii="Arial" w:hAnsi="Arial" w:cs="Arial"/>
                <w:sz w:val="20"/>
              </w:rPr>
              <w:t xml:space="preserve">. </w:t>
            </w:r>
          </w:p>
          <w:p w14:paraId="10A385E0" w14:textId="236F5FAC" w:rsidR="006F34E3" w:rsidRPr="006B3F59" w:rsidRDefault="006F34E3" w:rsidP="006F34E3">
            <w:pPr>
              <w:pStyle w:val="normln0"/>
              <w:snapToGrid w:val="0"/>
              <w:spacing w:before="60"/>
              <w:rPr>
                <w:rFonts w:ascii="Arial" w:hAnsi="Arial" w:cs="Arial"/>
                <w:sz w:val="20"/>
              </w:rPr>
            </w:pPr>
            <w:r w:rsidRPr="006B3F59">
              <w:rPr>
                <w:rFonts w:ascii="Arial" w:hAnsi="Arial" w:cs="Arial"/>
                <w:sz w:val="20"/>
              </w:rPr>
              <w:t>5</w:t>
            </w:r>
            <w:r w:rsidR="00216ADD" w:rsidRPr="006B3F59">
              <w:rPr>
                <w:rFonts w:ascii="Arial" w:hAnsi="Arial" w:cs="Arial"/>
                <w:sz w:val="20"/>
              </w:rPr>
              <w:t>)</w:t>
            </w:r>
            <w:r w:rsidRPr="006B3F59">
              <w:rPr>
                <w:rFonts w:ascii="Arial" w:hAnsi="Arial" w:cs="Arial"/>
                <w:sz w:val="20"/>
              </w:rPr>
              <w:t xml:space="preserve"> Rozvoj jižní části lokality</w:t>
            </w:r>
            <w:r w:rsidR="007D20E8">
              <w:rPr>
                <w:rFonts w:ascii="Arial" w:hAnsi="Arial" w:cs="Arial"/>
                <w:sz w:val="20"/>
              </w:rPr>
              <w:t>.</w:t>
            </w:r>
            <w:r w:rsidRPr="006B3F59">
              <w:rPr>
                <w:rFonts w:ascii="Arial" w:hAnsi="Arial" w:cs="Arial"/>
                <w:sz w:val="20"/>
              </w:rPr>
              <w:t xml:space="preserve"> Výhledy v návaznosti na tramvajovou trať</w:t>
            </w:r>
            <w:r w:rsidR="00216ADD" w:rsidRPr="006B3F59">
              <w:rPr>
                <w:rFonts w:ascii="Arial" w:hAnsi="Arial" w:cs="Arial"/>
                <w:sz w:val="20"/>
              </w:rPr>
              <w:t xml:space="preserve"> – vymezeny plochy</w:t>
            </w:r>
            <w:r w:rsidRPr="006B3F59">
              <w:rPr>
                <w:rFonts w:ascii="Arial" w:hAnsi="Arial" w:cs="Arial"/>
                <w:sz w:val="20"/>
              </w:rPr>
              <w:t xml:space="preserve"> OV-D, SP,</w:t>
            </w:r>
            <w:r w:rsidR="004856A2">
              <w:rPr>
                <w:rFonts w:ascii="Arial" w:hAnsi="Arial" w:cs="Arial"/>
                <w:sz w:val="20"/>
              </w:rPr>
              <w:t xml:space="preserve"> stávající</w:t>
            </w:r>
            <w:r w:rsidRPr="006B3F59">
              <w:rPr>
                <w:rFonts w:ascii="Arial" w:hAnsi="Arial" w:cs="Arial"/>
                <w:sz w:val="20"/>
              </w:rPr>
              <w:t xml:space="preserve"> pevná značka VV</w:t>
            </w:r>
            <w:r w:rsidR="00216ADD" w:rsidRPr="006B3F59">
              <w:rPr>
                <w:rFonts w:ascii="Arial" w:hAnsi="Arial" w:cs="Arial"/>
                <w:sz w:val="20"/>
              </w:rPr>
              <w:t xml:space="preserve">. </w:t>
            </w:r>
            <w:r w:rsidRPr="006B3F59">
              <w:rPr>
                <w:rFonts w:ascii="Arial" w:hAnsi="Arial" w:cs="Arial"/>
                <w:sz w:val="20"/>
              </w:rPr>
              <w:t xml:space="preserve">Změna umožňuje umístění obytné zástavby, veřejné vybavenosti, sportovního areálu a objektu IZS v návaznosti na tramvajovou trať, která se z osy Kamýcké ulice přesune na její východní stranu. Návrh umožní omezený počet parkovacích míst v blízkosti zastávky pro obyvatele Starého Suchdola jako součásti parkovací zóny. </w:t>
            </w:r>
            <w:r w:rsidR="00216ADD" w:rsidRPr="006B3F59">
              <w:rPr>
                <w:rFonts w:ascii="Arial" w:hAnsi="Arial" w:cs="Arial"/>
                <w:sz w:val="20"/>
              </w:rPr>
              <w:t xml:space="preserve">Na úkor ploch </w:t>
            </w:r>
            <w:r w:rsidRPr="006B3F59">
              <w:rPr>
                <w:rFonts w:ascii="Arial" w:hAnsi="Arial" w:cs="Arial"/>
                <w:sz w:val="20"/>
              </w:rPr>
              <w:t>OV-B, OV-C, OB, ZMK, SP</w:t>
            </w:r>
            <w:r w:rsidR="00F9052D">
              <w:rPr>
                <w:rFonts w:ascii="Arial" w:hAnsi="Arial" w:cs="Arial"/>
                <w:sz w:val="20"/>
              </w:rPr>
              <w:t>.</w:t>
            </w:r>
          </w:p>
          <w:p w14:paraId="34CFB5B2" w14:textId="2129C0D3" w:rsidR="006F34E3" w:rsidRPr="006B3F59" w:rsidRDefault="006F34E3" w:rsidP="006F34E3">
            <w:pPr>
              <w:pStyle w:val="normln0"/>
              <w:snapToGrid w:val="0"/>
              <w:spacing w:before="60"/>
              <w:rPr>
                <w:rFonts w:ascii="Arial" w:hAnsi="Arial" w:cs="Arial"/>
                <w:sz w:val="20"/>
              </w:rPr>
            </w:pPr>
            <w:r w:rsidRPr="006B3F59">
              <w:rPr>
                <w:rFonts w:ascii="Arial" w:hAnsi="Arial" w:cs="Arial"/>
                <w:sz w:val="20"/>
              </w:rPr>
              <w:t>6</w:t>
            </w:r>
            <w:r w:rsidR="00216ADD" w:rsidRPr="006B3F59">
              <w:rPr>
                <w:rFonts w:ascii="Arial" w:hAnsi="Arial" w:cs="Arial"/>
                <w:sz w:val="20"/>
              </w:rPr>
              <w:t>)</w:t>
            </w:r>
            <w:r w:rsidRPr="006B3F59">
              <w:rPr>
                <w:rFonts w:ascii="Arial" w:hAnsi="Arial" w:cs="Arial"/>
                <w:sz w:val="20"/>
              </w:rPr>
              <w:t xml:space="preserve"> Rozvoj severní části lokality Výhledy v návaznosti na smyčku tramvajové trati a terminál příměstské dopravy</w:t>
            </w:r>
            <w:r w:rsidR="00216ADD" w:rsidRPr="006B3F59">
              <w:rPr>
                <w:rFonts w:ascii="Arial" w:hAnsi="Arial" w:cs="Arial"/>
                <w:sz w:val="20"/>
              </w:rPr>
              <w:t xml:space="preserve"> – vymezeny plochy </w:t>
            </w:r>
            <w:r w:rsidRPr="006B3F59">
              <w:rPr>
                <w:rFonts w:ascii="Arial" w:hAnsi="Arial" w:cs="Arial"/>
                <w:sz w:val="20"/>
              </w:rPr>
              <w:t>OV-C, OV-D, OV-E, SV-D, SV-F, SV-E, DU, DH, IZ, ZMK, NL,</w:t>
            </w:r>
            <w:r w:rsidR="0005086F">
              <w:rPr>
                <w:rFonts w:ascii="Arial" w:hAnsi="Arial" w:cs="Arial"/>
                <w:sz w:val="20"/>
              </w:rPr>
              <w:t xml:space="preserve"> </w:t>
            </w:r>
            <w:r w:rsidRPr="006B3F59">
              <w:rPr>
                <w:rFonts w:ascii="Arial" w:hAnsi="Arial" w:cs="Arial"/>
                <w:sz w:val="20"/>
              </w:rPr>
              <w:t>pevná značka DH, plovoucí značka VV</w:t>
            </w:r>
            <w:r w:rsidR="00216ADD" w:rsidRPr="006B3F59">
              <w:rPr>
                <w:rFonts w:ascii="Arial" w:hAnsi="Arial" w:cs="Arial"/>
                <w:sz w:val="20"/>
              </w:rPr>
              <w:t xml:space="preserve">. </w:t>
            </w:r>
            <w:r w:rsidRPr="006B3F59">
              <w:rPr>
                <w:rFonts w:ascii="Arial" w:hAnsi="Arial" w:cs="Arial"/>
                <w:sz w:val="20"/>
              </w:rPr>
              <w:t xml:space="preserve">Změna navazuje na MUK </w:t>
            </w:r>
            <w:r w:rsidR="004856A2">
              <w:rPr>
                <w:rFonts w:ascii="Arial" w:hAnsi="Arial" w:cs="Arial"/>
                <w:sz w:val="20"/>
              </w:rPr>
              <w:t>Výhledy</w:t>
            </w:r>
            <w:r w:rsidRPr="006B3F59">
              <w:rPr>
                <w:rFonts w:ascii="Arial" w:hAnsi="Arial" w:cs="Arial"/>
                <w:sz w:val="20"/>
              </w:rPr>
              <w:t xml:space="preserve"> Pražského okruhu a umožní obytnou zástavbu a komerční a veřejnou vybavenost, doplňující tramvajovou smyčku a terminál příměstské autobusové dopravy s P+R pro individuální </w:t>
            </w:r>
            <w:proofErr w:type="gramStart"/>
            <w:r w:rsidRPr="006B3F59">
              <w:rPr>
                <w:rFonts w:ascii="Arial" w:hAnsi="Arial" w:cs="Arial"/>
                <w:sz w:val="20"/>
              </w:rPr>
              <w:t>dopravu..</w:t>
            </w:r>
            <w:proofErr w:type="gramEnd"/>
            <w:r w:rsidR="00216ADD" w:rsidRPr="006B3F59">
              <w:rPr>
                <w:rFonts w:ascii="Arial" w:hAnsi="Arial" w:cs="Arial"/>
                <w:sz w:val="20"/>
              </w:rPr>
              <w:t xml:space="preserve"> Na úkor ploch </w:t>
            </w:r>
            <w:r w:rsidRPr="006B3F59">
              <w:rPr>
                <w:rFonts w:ascii="Arial" w:hAnsi="Arial" w:cs="Arial"/>
                <w:sz w:val="20"/>
              </w:rPr>
              <w:t xml:space="preserve">ZMK, SV, OV-B, OB-A, </w:t>
            </w:r>
            <w:r w:rsidR="00295D0D">
              <w:rPr>
                <w:rFonts w:ascii="Arial" w:hAnsi="Arial" w:cs="Arial"/>
                <w:sz w:val="20"/>
              </w:rPr>
              <w:t>IZ</w:t>
            </w:r>
            <w:r w:rsidR="00216ADD" w:rsidRPr="006B3F59">
              <w:rPr>
                <w:rFonts w:ascii="Arial" w:hAnsi="Arial" w:cs="Arial"/>
                <w:sz w:val="20"/>
              </w:rPr>
              <w:t xml:space="preserve">. </w:t>
            </w:r>
          </w:p>
          <w:p w14:paraId="5E0BB7F0" w14:textId="77777777" w:rsidR="001B51E2" w:rsidRPr="006B3F59" w:rsidRDefault="001B51E2" w:rsidP="006F34E3">
            <w:pPr>
              <w:pStyle w:val="normln0"/>
              <w:snapToGrid w:val="0"/>
              <w:spacing w:before="60"/>
              <w:rPr>
                <w:rFonts w:ascii="Arial" w:hAnsi="Arial" w:cs="Arial"/>
                <w:sz w:val="20"/>
              </w:rPr>
            </w:pPr>
          </w:p>
          <w:p w14:paraId="36FA53CB" w14:textId="1C1A55B6" w:rsidR="00BB3F6C" w:rsidRPr="006B3F59" w:rsidRDefault="00BB3F6C" w:rsidP="00BD79EE">
            <w:pPr>
              <w:pStyle w:val="normln0"/>
              <w:snapToGrid w:val="0"/>
              <w:spacing w:before="60"/>
              <w:rPr>
                <w:rFonts w:ascii="Arial" w:hAnsi="Arial" w:cs="Arial"/>
                <w:sz w:val="20"/>
              </w:rPr>
            </w:pPr>
            <w:r w:rsidRPr="006B3F59">
              <w:rPr>
                <w:rFonts w:ascii="Arial" w:hAnsi="Arial" w:cs="Arial"/>
                <w:sz w:val="20"/>
              </w:rPr>
              <w:t xml:space="preserve">Změna funkčního využití ploch </w:t>
            </w:r>
            <w:r w:rsidRPr="006B3F59">
              <w:rPr>
                <w:rFonts w:ascii="Arial" w:hAnsi="Arial" w:cs="Arial"/>
                <w:sz w:val="20"/>
                <w:u w:val="single"/>
              </w:rPr>
              <w:t>z funkce</w:t>
            </w:r>
            <w:r w:rsidRPr="006B3F59">
              <w:rPr>
                <w:rFonts w:ascii="Arial" w:hAnsi="Arial" w:cs="Arial"/>
                <w:sz w:val="20"/>
              </w:rPr>
              <w:t>:</w:t>
            </w:r>
          </w:p>
          <w:p w14:paraId="5022132D" w14:textId="77777777" w:rsidR="00F90A81" w:rsidRPr="006B3F59" w:rsidRDefault="00F90A81" w:rsidP="00F90A81">
            <w:pPr>
              <w:pStyle w:val="Odrky1"/>
            </w:pPr>
            <w:r w:rsidRPr="006B3F59">
              <w:t>garáže a parkoviště /DGP/</w:t>
            </w:r>
          </w:p>
          <w:p w14:paraId="464688C7" w14:textId="786A4B94" w:rsidR="00F90A81" w:rsidRPr="006B3F59" w:rsidRDefault="00F90A81" w:rsidP="00F90A81">
            <w:pPr>
              <w:pStyle w:val="Odrky1"/>
            </w:pPr>
            <w:r w:rsidRPr="006B3F59">
              <w:t xml:space="preserve">plochy a zařízení </w:t>
            </w:r>
            <w:r w:rsidR="00961E9F">
              <w:t xml:space="preserve">hromadné </w:t>
            </w:r>
            <w:r w:rsidRPr="006B3F59">
              <w:t>dopravy osob, parkoviště P+R /DH/</w:t>
            </w:r>
          </w:p>
          <w:p w14:paraId="1AFA158F" w14:textId="77777777" w:rsidR="00F90A81" w:rsidRPr="006B3F59" w:rsidRDefault="00F90A81" w:rsidP="00F90A81">
            <w:pPr>
              <w:pStyle w:val="Odrky1"/>
            </w:pPr>
            <w:r w:rsidRPr="006B3F59">
              <w:t>urbanisticky významné plochy a dopravní spojení, veřejná prostranství /DU/</w:t>
            </w:r>
          </w:p>
          <w:p w14:paraId="0719CB92" w14:textId="3F7E9F6F" w:rsidR="00F90A81" w:rsidRPr="006B3F59" w:rsidRDefault="00F90A81" w:rsidP="00F90A81">
            <w:pPr>
              <w:pStyle w:val="Odrky1"/>
            </w:pPr>
            <w:r w:rsidRPr="006B3F59">
              <w:t xml:space="preserve">tratě a zařízení železniční dopravy, vlečky a </w:t>
            </w:r>
            <w:r w:rsidR="00961E9F" w:rsidRPr="006B3F59">
              <w:t>náklad</w:t>
            </w:r>
            <w:r w:rsidR="00961E9F">
              <w:t xml:space="preserve">ové </w:t>
            </w:r>
            <w:r w:rsidRPr="006B3F59">
              <w:t>terminály /DZ/</w:t>
            </w:r>
          </w:p>
          <w:p w14:paraId="03A3517F" w14:textId="77777777" w:rsidR="00F90A81" w:rsidRPr="006B3F59" w:rsidRDefault="00F90A81" w:rsidP="00F90A81">
            <w:pPr>
              <w:pStyle w:val="Odrky1"/>
            </w:pPr>
            <w:r w:rsidRPr="006B3F59">
              <w:t>izolační zeleň /IZ/</w:t>
            </w:r>
          </w:p>
          <w:p w14:paraId="2B7A241E" w14:textId="77777777" w:rsidR="00F90A81" w:rsidRPr="006B3F59" w:rsidRDefault="00F90A81" w:rsidP="00F90A81">
            <w:pPr>
              <w:pStyle w:val="Odrky1"/>
            </w:pPr>
            <w:r w:rsidRPr="006B3F59">
              <w:t>lesní porosty /LR/</w:t>
            </w:r>
          </w:p>
          <w:p w14:paraId="07C86878" w14:textId="77777777" w:rsidR="00F90A81" w:rsidRPr="006B3F59" w:rsidRDefault="00F90A81" w:rsidP="00F90A81">
            <w:pPr>
              <w:pStyle w:val="Odrky1"/>
            </w:pPr>
            <w:r w:rsidRPr="006B3F59">
              <w:t>louky a pastviny /NL/ s územní rezervou čistě obytné s kódem míry využití území B /OB-B/, /NL/OB-B/</w:t>
            </w:r>
          </w:p>
          <w:p w14:paraId="2E5C87B4" w14:textId="77777777" w:rsidR="00F90A81" w:rsidRPr="006B3F59" w:rsidRDefault="00F90A81" w:rsidP="00F90A81">
            <w:pPr>
              <w:pStyle w:val="Odrky1"/>
            </w:pPr>
            <w:r w:rsidRPr="006B3F59">
              <w:t>louky a pastviny /NL/ s územní rezervou všeobecně smíšené s kódem míry využití území B /SV-B/, /NL/SV-B/</w:t>
            </w:r>
          </w:p>
          <w:p w14:paraId="2ECEE280" w14:textId="77777777" w:rsidR="00F90A81" w:rsidRPr="006B3F59" w:rsidRDefault="00F90A81" w:rsidP="00F90A81">
            <w:pPr>
              <w:pStyle w:val="Odrky1"/>
            </w:pPr>
            <w:r w:rsidRPr="006B3F59">
              <w:t>louky a pastviny /NL/ s územní rezervou parky, historické zahrady, hřbitovy /ZP/, /NL/ZP/</w:t>
            </w:r>
          </w:p>
          <w:p w14:paraId="51D427BC" w14:textId="77777777" w:rsidR="00F90A81" w:rsidRPr="006B3F59" w:rsidRDefault="00F90A81" w:rsidP="00F90A81">
            <w:pPr>
              <w:pStyle w:val="Odrky1"/>
            </w:pPr>
            <w:r w:rsidRPr="006B3F59">
              <w:t>čistě obytné /OB/</w:t>
            </w:r>
          </w:p>
          <w:p w14:paraId="53052BF7" w14:textId="77777777" w:rsidR="00F90A81" w:rsidRPr="006B3F59" w:rsidRDefault="00F90A81" w:rsidP="00F90A81">
            <w:pPr>
              <w:pStyle w:val="Odrky1"/>
            </w:pPr>
            <w:r w:rsidRPr="006B3F59">
              <w:t>čistě obytné s kódem míry využití území A /OB-A/</w:t>
            </w:r>
          </w:p>
          <w:p w14:paraId="08748650" w14:textId="77777777" w:rsidR="00F90A81" w:rsidRPr="006B3F59" w:rsidRDefault="00F90A81" w:rsidP="00F90A81">
            <w:pPr>
              <w:pStyle w:val="Odrky1"/>
            </w:pPr>
            <w:r w:rsidRPr="006B3F59">
              <w:t>orná půda, plochy pro pěstování zeleniny /OP/</w:t>
            </w:r>
          </w:p>
          <w:p w14:paraId="79516DE5" w14:textId="77777777" w:rsidR="00F90A81" w:rsidRPr="006B3F59" w:rsidRDefault="00F90A81" w:rsidP="00F90A81">
            <w:pPr>
              <w:pStyle w:val="Odrky1"/>
            </w:pPr>
            <w:r w:rsidRPr="006B3F59">
              <w:t>orná půda, plochy pro pěstování zeleniny /OP/ s územní rezervou louky a pastviny /NL/, /OP/NL/</w:t>
            </w:r>
          </w:p>
          <w:p w14:paraId="43F1EB4B" w14:textId="77777777" w:rsidR="00F90A81" w:rsidRPr="006B3F59" w:rsidRDefault="00F90A81" w:rsidP="00F90A81">
            <w:pPr>
              <w:pStyle w:val="Odrky1"/>
            </w:pPr>
            <w:r w:rsidRPr="006B3F59">
              <w:t>orná půda, plochy pro pěstování zeleniny /OP/ s územní rezervou čistě obytné s kódem míry využití území B /OB-B/, /OP/OB-B/</w:t>
            </w:r>
          </w:p>
          <w:p w14:paraId="32DC74E3" w14:textId="77777777" w:rsidR="00F90A81" w:rsidRPr="006B3F59" w:rsidRDefault="00F90A81" w:rsidP="00F90A81">
            <w:pPr>
              <w:pStyle w:val="Odrky1"/>
            </w:pPr>
            <w:r w:rsidRPr="006B3F59">
              <w:t>orná půda, plochy pro pěstování zeleniny /OP/ s územní rezervou zeleň městská a krajinná /ZMK/, /OP/ZMK/</w:t>
            </w:r>
          </w:p>
          <w:p w14:paraId="4E7CFDBC" w14:textId="77777777" w:rsidR="00F90A81" w:rsidRPr="006B3F59" w:rsidRDefault="00F90A81" w:rsidP="00F90A81">
            <w:pPr>
              <w:pStyle w:val="Odrky1"/>
            </w:pPr>
            <w:r w:rsidRPr="006B3F59">
              <w:t>všeobecně obytné /OV/</w:t>
            </w:r>
          </w:p>
          <w:p w14:paraId="2C1EE3E6" w14:textId="77777777" w:rsidR="00F90A81" w:rsidRPr="006B3F59" w:rsidRDefault="00F90A81" w:rsidP="00F90A81">
            <w:pPr>
              <w:pStyle w:val="Odrky1"/>
            </w:pPr>
            <w:r w:rsidRPr="006B3F59">
              <w:t>všeobecně obytné s kódem míry využití území B /OV-B/</w:t>
            </w:r>
          </w:p>
          <w:p w14:paraId="3819B6C9" w14:textId="77777777" w:rsidR="00F90A81" w:rsidRPr="006B3F59" w:rsidRDefault="00F90A81" w:rsidP="00F90A81">
            <w:pPr>
              <w:pStyle w:val="Odrky1"/>
            </w:pPr>
            <w:r w:rsidRPr="006B3F59">
              <w:t>všeobecně obytné s kódem míry využití území C /OV-C/</w:t>
            </w:r>
          </w:p>
          <w:p w14:paraId="4D861AC1" w14:textId="77777777" w:rsidR="00F90A81" w:rsidRPr="006B3F59" w:rsidRDefault="00F90A81" w:rsidP="00F90A81">
            <w:pPr>
              <w:pStyle w:val="Odrky1"/>
            </w:pPr>
            <w:r w:rsidRPr="006B3F59">
              <w:t>všeobecně obytné s kódem míry využití území D /OV-D/</w:t>
            </w:r>
          </w:p>
          <w:p w14:paraId="2CBD40DF" w14:textId="77777777" w:rsidR="00F90A81" w:rsidRPr="006B3F59" w:rsidRDefault="00F90A81" w:rsidP="00F90A81">
            <w:pPr>
              <w:pStyle w:val="Odrky1"/>
            </w:pPr>
            <w:r w:rsidRPr="006B3F59">
              <w:t>sběrné komunikace městského významu /S2/</w:t>
            </w:r>
          </w:p>
          <w:p w14:paraId="736E6DEB" w14:textId="77777777" w:rsidR="00F90A81" w:rsidRPr="006B3F59" w:rsidRDefault="00F90A81" w:rsidP="00F90A81">
            <w:pPr>
              <w:pStyle w:val="Odrky1"/>
            </w:pPr>
            <w:r w:rsidRPr="006B3F59">
              <w:t>sportu /SP/</w:t>
            </w:r>
          </w:p>
          <w:p w14:paraId="6E7BD870" w14:textId="77777777" w:rsidR="00F90A81" w:rsidRPr="006B3F59" w:rsidRDefault="00F90A81" w:rsidP="00F90A81">
            <w:pPr>
              <w:pStyle w:val="Odrky1"/>
            </w:pPr>
            <w:r w:rsidRPr="006B3F59">
              <w:t>všeobecně smíšené /SV/</w:t>
            </w:r>
          </w:p>
          <w:p w14:paraId="202B3B7F" w14:textId="77777777" w:rsidR="00F90A81" w:rsidRPr="006B3F59" w:rsidRDefault="00F90A81" w:rsidP="00F90A81">
            <w:pPr>
              <w:pStyle w:val="Odrky1"/>
            </w:pPr>
            <w:r w:rsidRPr="006B3F59">
              <w:t>všeobecně smíšené s kódem míry využití území B /SV-B/</w:t>
            </w:r>
          </w:p>
          <w:p w14:paraId="359645E3" w14:textId="77777777" w:rsidR="00F90A81" w:rsidRPr="006B3F59" w:rsidRDefault="00F90A81" w:rsidP="00F90A81">
            <w:pPr>
              <w:pStyle w:val="Odrky1"/>
            </w:pPr>
            <w:r w:rsidRPr="006B3F59">
              <w:t>vodní hospodářství /TVV/</w:t>
            </w:r>
          </w:p>
          <w:p w14:paraId="6103EBA1" w14:textId="77777777" w:rsidR="00F90A81" w:rsidRPr="006B3F59" w:rsidRDefault="00F90A81" w:rsidP="00F90A81">
            <w:pPr>
              <w:pStyle w:val="Odrky1"/>
            </w:pPr>
            <w:r w:rsidRPr="006B3F59">
              <w:t>nerušící výroby a služeb /VN/</w:t>
            </w:r>
          </w:p>
          <w:p w14:paraId="6E737B58" w14:textId="77777777" w:rsidR="00F90A81" w:rsidRPr="006B3F59" w:rsidRDefault="00F90A81" w:rsidP="00F90A81">
            <w:pPr>
              <w:pStyle w:val="Odrky1"/>
            </w:pPr>
            <w:r w:rsidRPr="006B3F59">
              <w:lastRenderedPageBreak/>
              <w:t>vodní toky a plochy, plavební kanály /VOP/</w:t>
            </w:r>
          </w:p>
          <w:p w14:paraId="5F4FC279" w14:textId="77777777" w:rsidR="00F90A81" w:rsidRPr="006B3F59" w:rsidRDefault="00F90A81" w:rsidP="00F90A81">
            <w:pPr>
              <w:pStyle w:val="Odrky1"/>
            </w:pPr>
            <w:r w:rsidRPr="006B3F59">
              <w:t>zeleň městská a krajinná /ZMK/</w:t>
            </w:r>
          </w:p>
          <w:p w14:paraId="11E47E31" w14:textId="248A8C1C" w:rsidR="00F90A81" w:rsidRPr="006B3F59" w:rsidRDefault="00961E9F" w:rsidP="00F90A81">
            <w:pPr>
              <w:pStyle w:val="Odrky1"/>
            </w:pPr>
            <w:r>
              <w:t xml:space="preserve">parky, </w:t>
            </w:r>
            <w:r w:rsidR="00F90A81" w:rsidRPr="006B3F59">
              <w:t>historické zahrady</w:t>
            </w:r>
            <w:r>
              <w:t xml:space="preserve"> a</w:t>
            </w:r>
            <w:r w:rsidR="00F90A81" w:rsidRPr="006B3F59">
              <w:t xml:space="preserve"> hřbitovy /ZP/</w:t>
            </w:r>
          </w:p>
          <w:p w14:paraId="158A6E89" w14:textId="6AC127B6" w:rsidR="00F90A81" w:rsidRPr="006B3F59" w:rsidRDefault="00F90A81" w:rsidP="00F90A81">
            <w:pPr>
              <w:pStyle w:val="Odrky1"/>
            </w:pPr>
            <w:r w:rsidRPr="006B3F59">
              <w:t>ostatní /ZVO/</w:t>
            </w:r>
          </w:p>
          <w:p w14:paraId="360B2794" w14:textId="2B2EF9CD" w:rsidR="00B40B6E" w:rsidRPr="006B3F59" w:rsidRDefault="00F90A81" w:rsidP="00F90A81">
            <w:pPr>
              <w:pStyle w:val="Odrky1"/>
            </w:pPr>
            <w:r w:rsidRPr="006B3F59">
              <w:t>vysokoškolské /ZVS/</w:t>
            </w:r>
          </w:p>
          <w:p w14:paraId="75BC9D8A" w14:textId="77777777" w:rsidR="00F90A81" w:rsidRPr="006B3F59" w:rsidRDefault="00F90A81" w:rsidP="00F90A81">
            <w:pPr>
              <w:pStyle w:val="Odrky1"/>
              <w:numPr>
                <w:ilvl w:val="0"/>
                <w:numId w:val="0"/>
              </w:numPr>
              <w:ind w:left="360"/>
            </w:pPr>
          </w:p>
          <w:p w14:paraId="64D943A8" w14:textId="77777777" w:rsidR="00BB3F6C" w:rsidRPr="006B3F59" w:rsidRDefault="00BB3F6C" w:rsidP="00BD79EE">
            <w:pPr>
              <w:pStyle w:val="normln0"/>
              <w:snapToGrid w:val="0"/>
              <w:spacing w:before="60"/>
              <w:rPr>
                <w:rFonts w:ascii="Arial" w:hAnsi="Arial" w:cs="Arial"/>
                <w:sz w:val="20"/>
              </w:rPr>
            </w:pPr>
            <w:r w:rsidRPr="006B3F59">
              <w:rPr>
                <w:rFonts w:ascii="Arial" w:hAnsi="Arial" w:cs="Arial"/>
                <w:sz w:val="20"/>
                <w:u w:val="single"/>
              </w:rPr>
              <w:t>na funkci</w:t>
            </w:r>
            <w:r w:rsidRPr="006B3F59">
              <w:rPr>
                <w:rFonts w:ascii="Arial" w:hAnsi="Arial" w:cs="Arial"/>
                <w:sz w:val="20"/>
              </w:rPr>
              <w:t>:</w:t>
            </w:r>
          </w:p>
          <w:p w14:paraId="5A7F4FBE" w14:textId="77777777" w:rsidR="00F90A81" w:rsidRPr="006B3F59" w:rsidRDefault="00F90A81" w:rsidP="00F90A81">
            <w:pPr>
              <w:pStyle w:val="Odrky1"/>
            </w:pPr>
            <w:r w:rsidRPr="006B3F59">
              <w:t>plochy a zařízení veřejné dopravy osob, parkoviště P+R /DH/</w:t>
            </w:r>
          </w:p>
          <w:p w14:paraId="61230350" w14:textId="77777777" w:rsidR="00F90A81" w:rsidRPr="006B3F59" w:rsidRDefault="00F90A81" w:rsidP="00F90A81">
            <w:pPr>
              <w:pStyle w:val="Odrky1"/>
            </w:pPr>
            <w:r w:rsidRPr="006B3F59">
              <w:t>urbanisticky významné plochy a dopravní spojení, veřejná prostranství /DU/</w:t>
            </w:r>
          </w:p>
          <w:p w14:paraId="1743055B" w14:textId="006D115E" w:rsidR="00F90A81" w:rsidRPr="006B3F59" w:rsidRDefault="00F90A81" w:rsidP="00F90A81">
            <w:pPr>
              <w:pStyle w:val="Odrky1"/>
            </w:pPr>
            <w:r w:rsidRPr="006B3F59">
              <w:t>tratě a zařízení železniční dopravy, vlečky a náklad</w:t>
            </w:r>
            <w:r w:rsidR="00BF28B6">
              <w:t>ové</w:t>
            </w:r>
            <w:r w:rsidRPr="006B3F59">
              <w:t xml:space="preserve"> terminály /DZ/</w:t>
            </w:r>
          </w:p>
          <w:p w14:paraId="0131401D" w14:textId="77777777" w:rsidR="00F90A81" w:rsidRPr="006B3F59" w:rsidRDefault="00F90A81" w:rsidP="00F90A81">
            <w:pPr>
              <w:pStyle w:val="Odrky1"/>
            </w:pPr>
            <w:r w:rsidRPr="006B3F59">
              <w:t>izolační zeleň /IZ/</w:t>
            </w:r>
          </w:p>
          <w:p w14:paraId="59755A05" w14:textId="77777777" w:rsidR="00F90A81" w:rsidRPr="006B3F59" w:rsidRDefault="00F90A81" w:rsidP="00F90A81">
            <w:pPr>
              <w:pStyle w:val="Odrky1"/>
            </w:pPr>
            <w:r w:rsidRPr="006B3F59">
              <w:t>louky a pastviny /NL/</w:t>
            </w:r>
          </w:p>
          <w:p w14:paraId="060B6895" w14:textId="77777777" w:rsidR="00F90A81" w:rsidRPr="006B3F59" w:rsidRDefault="00F90A81" w:rsidP="00F90A81">
            <w:pPr>
              <w:pStyle w:val="Odrky1"/>
            </w:pPr>
            <w:r w:rsidRPr="006B3F59">
              <w:t>čistě obytné /OB/</w:t>
            </w:r>
          </w:p>
          <w:p w14:paraId="7EB7D73E" w14:textId="77777777" w:rsidR="00F90A81" w:rsidRPr="006B3F59" w:rsidRDefault="00F90A81" w:rsidP="00F90A81">
            <w:pPr>
              <w:pStyle w:val="Odrky1"/>
            </w:pPr>
            <w:r w:rsidRPr="006B3F59">
              <w:t>čistě obytné s kódem míry využití území C /OB-C/</w:t>
            </w:r>
          </w:p>
          <w:p w14:paraId="6DC971C9" w14:textId="77777777" w:rsidR="00F90A81" w:rsidRPr="006B3F59" w:rsidRDefault="00F90A81" w:rsidP="00F90A81">
            <w:pPr>
              <w:pStyle w:val="Odrky1"/>
            </w:pPr>
            <w:r w:rsidRPr="006B3F59">
              <w:t>čistě obytné s kódem míry využití území D /OB-D/</w:t>
            </w:r>
          </w:p>
          <w:p w14:paraId="641F2D6B" w14:textId="77777777" w:rsidR="00F90A81" w:rsidRPr="006B3F59" w:rsidRDefault="00F90A81" w:rsidP="00F90A81">
            <w:pPr>
              <w:pStyle w:val="Odrky1"/>
            </w:pPr>
            <w:r w:rsidRPr="006B3F59">
              <w:t>čistě obytné s kódem míry využití území E /OB-E/</w:t>
            </w:r>
          </w:p>
          <w:p w14:paraId="1B1E5663" w14:textId="77777777" w:rsidR="00F90A81" w:rsidRPr="006B3F59" w:rsidRDefault="00F90A81" w:rsidP="00F90A81">
            <w:pPr>
              <w:pStyle w:val="Odrky1"/>
            </w:pPr>
            <w:r w:rsidRPr="006B3F59">
              <w:t>čistě obytné s kódem míry využití území F /OB-F/</w:t>
            </w:r>
          </w:p>
          <w:p w14:paraId="75E4D8BF" w14:textId="77777777" w:rsidR="00F90A81" w:rsidRPr="006B3F59" w:rsidRDefault="00F90A81" w:rsidP="00F90A81">
            <w:pPr>
              <w:pStyle w:val="Odrky1"/>
            </w:pPr>
            <w:r w:rsidRPr="006B3F59">
              <w:t>všeobecně obytné s kódem míry využití území C /OV-C/</w:t>
            </w:r>
          </w:p>
          <w:p w14:paraId="675C0DD9" w14:textId="77777777" w:rsidR="00F90A81" w:rsidRPr="006B3F59" w:rsidRDefault="00F90A81" w:rsidP="00F90A81">
            <w:pPr>
              <w:pStyle w:val="Odrky1"/>
            </w:pPr>
            <w:r w:rsidRPr="006B3F59">
              <w:t>všeobecně obytné s kódem míry využití území D /OV-D/</w:t>
            </w:r>
          </w:p>
          <w:p w14:paraId="518C1E6A" w14:textId="77777777" w:rsidR="00F90A81" w:rsidRPr="006B3F59" w:rsidRDefault="00F90A81" w:rsidP="00F90A81">
            <w:pPr>
              <w:pStyle w:val="Odrky1"/>
            </w:pPr>
            <w:r w:rsidRPr="006B3F59">
              <w:t>všeobecně obytné s kódem míry využití území E /OV-E/</w:t>
            </w:r>
          </w:p>
          <w:p w14:paraId="0777A785" w14:textId="77777777" w:rsidR="00F90A81" w:rsidRPr="006B3F59" w:rsidRDefault="00F90A81" w:rsidP="00F90A81">
            <w:pPr>
              <w:pStyle w:val="Odrky1"/>
            </w:pPr>
            <w:r w:rsidRPr="006B3F59">
              <w:t>všeobecně obytné s kódem míry využití území G /OV-G/</w:t>
            </w:r>
          </w:p>
          <w:p w14:paraId="14625915" w14:textId="77777777" w:rsidR="00F90A81" w:rsidRPr="006B3F59" w:rsidRDefault="00F90A81" w:rsidP="00F90A81">
            <w:pPr>
              <w:pStyle w:val="Odrky1"/>
            </w:pPr>
            <w:r w:rsidRPr="006B3F59">
              <w:t>sady, zahrady a vinice /PS/</w:t>
            </w:r>
          </w:p>
          <w:p w14:paraId="1C004436" w14:textId="77777777" w:rsidR="00F90A81" w:rsidRPr="006B3F59" w:rsidRDefault="00F90A81" w:rsidP="00F90A81">
            <w:pPr>
              <w:pStyle w:val="Odrky1"/>
            </w:pPr>
            <w:r w:rsidRPr="006B3F59">
              <w:t>sběrné komunikace městského významu /S2/</w:t>
            </w:r>
          </w:p>
          <w:p w14:paraId="51458D54" w14:textId="77777777" w:rsidR="00F90A81" w:rsidRPr="006B3F59" w:rsidRDefault="00F90A81" w:rsidP="00F90A81">
            <w:pPr>
              <w:pStyle w:val="Odrky1"/>
            </w:pPr>
            <w:r w:rsidRPr="006B3F59">
              <w:t>oddechu – částečně urbanizované rekreační plochy – zvláštní rekreační, naučné a poznávací aktivity /SO5,6/</w:t>
            </w:r>
          </w:p>
          <w:p w14:paraId="744BB4D1" w14:textId="77777777" w:rsidR="00F90A81" w:rsidRPr="006B3F59" w:rsidRDefault="00F90A81" w:rsidP="00F90A81">
            <w:pPr>
              <w:pStyle w:val="Odrky1"/>
            </w:pPr>
            <w:r w:rsidRPr="006B3F59">
              <w:t>sportu /SP/</w:t>
            </w:r>
          </w:p>
          <w:p w14:paraId="1764A5F2" w14:textId="77777777" w:rsidR="00F90A81" w:rsidRPr="006B3F59" w:rsidRDefault="00F90A81" w:rsidP="00F90A81">
            <w:pPr>
              <w:pStyle w:val="Odrky1"/>
            </w:pPr>
            <w:r w:rsidRPr="006B3F59">
              <w:t>všeobecně smíšené /SV/</w:t>
            </w:r>
          </w:p>
          <w:p w14:paraId="0B3EFDAC" w14:textId="77777777" w:rsidR="00F90A81" w:rsidRPr="006B3F59" w:rsidRDefault="00F90A81" w:rsidP="00F90A81">
            <w:pPr>
              <w:pStyle w:val="Odrky1"/>
            </w:pPr>
            <w:r w:rsidRPr="006B3F59">
              <w:t>všeobecně smíšené s kódem míry využití území B /SV-B/</w:t>
            </w:r>
          </w:p>
          <w:p w14:paraId="0A967146" w14:textId="77777777" w:rsidR="00F90A81" w:rsidRPr="006B3F59" w:rsidRDefault="00F90A81" w:rsidP="00F90A81">
            <w:pPr>
              <w:pStyle w:val="Odrky1"/>
            </w:pPr>
            <w:r w:rsidRPr="006B3F59">
              <w:t>všeobecně smíšené s kódem míry využití území D /SV-D/</w:t>
            </w:r>
          </w:p>
          <w:p w14:paraId="48845056" w14:textId="77777777" w:rsidR="00F90A81" w:rsidRPr="006B3F59" w:rsidRDefault="00F90A81" w:rsidP="00F90A81">
            <w:pPr>
              <w:pStyle w:val="Odrky1"/>
            </w:pPr>
            <w:r w:rsidRPr="006B3F59">
              <w:t>všeobecně smíšené s kódem míry využití území E /SV-E/</w:t>
            </w:r>
          </w:p>
          <w:p w14:paraId="170ADF24" w14:textId="77777777" w:rsidR="00F90A81" w:rsidRPr="006B3F59" w:rsidRDefault="00F90A81" w:rsidP="00F90A81">
            <w:pPr>
              <w:pStyle w:val="Odrky1"/>
            </w:pPr>
            <w:r w:rsidRPr="006B3F59">
              <w:t>všeobecně smíšené s kódem míry využití území F /SV-F/</w:t>
            </w:r>
          </w:p>
          <w:p w14:paraId="171F3123" w14:textId="77777777" w:rsidR="00F90A81" w:rsidRPr="006B3F59" w:rsidRDefault="00F90A81" w:rsidP="00F90A81">
            <w:pPr>
              <w:pStyle w:val="Odrky1"/>
            </w:pPr>
            <w:r w:rsidRPr="006B3F59">
              <w:t>všeobecně smíšené s kódem míry využití území G /SV-G/</w:t>
            </w:r>
          </w:p>
          <w:p w14:paraId="22ACC304" w14:textId="77777777" w:rsidR="00F90A81" w:rsidRPr="006B3F59" w:rsidRDefault="00F90A81" w:rsidP="00F90A81">
            <w:pPr>
              <w:pStyle w:val="Odrky1"/>
            </w:pPr>
            <w:r w:rsidRPr="006B3F59">
              <w:t>nerušící výroby a služeb /VN/</w:t>
            </w:r>
          </w:p>
          <w:p w14:paraId="58C225E0" w14:textId="77777777" w:rsidR="00F90A81" w:rsidRPr="006B3F59" w:rsidRDefault="00F90A81" w:rsidP="00F90A81">
            <w:pPr>
              <w:pStyle w:val="Odrky1"/>
            </w:pPr>
            <w:r w:rsidRPr="006B3F59">
              <w:t>veřejné vybavení /VV/</w:t>
            </w:r>
          </w:p>
          <w:p w14:paraId="2B33EFC6" w14:textId="77777777" w:rsidR="00F90A81" w:rsidRPr="006B3F59" w:rsidRDefault="00F90A81" w:rsidP="00F90A81">
            <w:pPr>
              <w:pStyle w:val="Odrky1"/>
            </w:pPr>
            <w:r w:rsidRPr="006B3F59">
              <w:t>zeleň městská a krajinná /ZMK/</w:t>
            </w:r>
          </w:p>
          <w:p w14:paraId="028239E7" w14:textId="77777777" w:rsidR="00F90A81" w:rsidRPr="006B3F59" w:rsidRDefault="00F90A81" w:rsidP="00F90A81">
            <w:pPr>
              <w:pStyle w:val="Odrky1"/>
            </w:pPr>
            <w:r w:rsidRPr="006B3F59">
              <w:t>plochy a zařízení hromadné dopravy osob, parkoviště P+R /DH/ - pevná značka /DH/</w:t>
            </w:r>
          </w:p>
          <w:p w14:paraId="58F40485" w14:textId="77777777" w:rsidR="00F90A81" w:rsidRPr="006B3F59" w:rsidRDefault="00F90A81" w:rsidP="00F90A81">
            <w:pPr>
              <w:pStyle w:val="Odrky1"/>
            </w:pPr>
            <w:r w:rsidRPr="006B3F59">
              <w:t>veřejné vybavení /VV/ - pevná značka</w:t>
            </w:r>
          </w:p>
          <w:p w14:paraId="245E459A" w14:textId="77777777" w:rsidR="00F90A81" w:rsidRPr="006B3F59" w:rsidRDefault="00F90A81" w:rsidP="00F90A81">
            <w:pPr>
              <w:pStyle w:val="Odrky1"/>
            </w:pPr>
            <w:r w:rsidRPr="006B3F59">
              <w:t>veřejné vybavení /VV/ - plovoucí značka</w:t>
            </w:r>
          </w:p>
          <w:p w14:paraId="018485B6" w14:textId="4FA0E2E9" w:rsidR="00B40B6E" w:rsidRPr="006B3F59" w:rsidRDefault="00F90A81" w:rsidP="00F90A81">
            <w:pPr>
              <w:pStyle w:val="Odrky1"/>
            </w:pPr>
            <w:r w:rsidRPr="006B3F59">
              <w:t>sportu /SP/ - plovoucí značka</w:t>
            </w:r>
          </w:p>
          <w:p w14:paraId="6FEF0A19" w14:textId="77777777" w:rsidR="00F90A81" w:rsidRPr="006B3F59" w:rsidRDefault="00F90A81" w:rsidP="00F90A81">
            <w:pPr>
              <w:pStyle w:val="Odrky1"/>
            </w:pPr>
            <w:r w:rsidRPr="006B3F59">
              <w:t>změna vymezení celoměstského systému zeleně (CSZ)</w:t>
            </w:r>
          </w:p>
          <w:p w14:paraId="40634FE7" w14:textId="0392A636" w:rsidR="00F90A81" w:rsidRPr="006B3F59" w:rsidRDefault="00F90A81" w:rsidP="00F90A81">
            <w:pPr>
              <w:pStyle w:val="Odrky1"/>
            </w:pPr>
            <w:r w:rsidRPr="006B3F59">
              <w:t>změna vymezení územního systému ekologické stability (ÚSES)</w:t>
            </w:r>
          </w:p>
          <w:p w14:paraId="3CFD1D45" w14:textId="77777777" w:rsidR="00F90A81" w:rsidRPr="006B3F59" w:rsidRDefault="00F90A81" w:rsidP="00F90A81">
            <w:pPr>
              <w:pStyle w:val="Odrky1"/>
            </w:pPr>
            <w:r w:rsidRPr="006B3F59">
              <w:t xml:space="preserve">změna vymezení nerozvojového území </w:t>
            </w:r>
          </w:p>
          <w:p w14:paraId="5558BD6D" w14:textId="5D090A3B" w:rsidR="00F90A81" w:rsidRPr="006B3F59" w:rsidRDefault="00F90A81" w:rsidP="00F90A81">
            <w:pPr>
              <w:pStyle w:val="Odrky1"/>
            </w:pPr>
            <w:r w:rsidRPr="006B3F59">
              <w:t xml:space="preserve">změna vymezení VPS: 22/TE/47, 11/TP/47, 28/SR/47, 3/DK/47, </w:t>
            </w:r>
          </w:p>
          <w:p w14:paraId="4867E4E0" w14:textId="77777777" w:rsidR="00F90A81" w:rsidRPr="006B3F59" w:rsidRDefault="00F90A81" w:rsidP="00F90A81">
            <w:pPr>
              <w:pStyle w:val="Odrky1"/>
            </w:pPr>
            <w:r w:rsidRPr="006B3F59">
              <w:t>nové VPS: XX/DN/47, XX/DT/47, XX/DT/6, XX/VS/6, XX/VS/47</w:t>
            </w:r>
          </w:p>
          <w:p w14:paraId="51F8560A" w14:textId="77777777" w:rsidR="009A44CB" w:rsidRPr="006B3F59" w:rsidRDefault="00F90A81" w:rsidP="00F90A81">
            <w:pPr>
              <w:pStyle w:val="Odrky1"/>
            </w:pPr>
            <w:r w:rsidRPr="006B3F59">
              <w:t>zrušené VPS: 1/DO/47.</w:t>
            </w:r>
          </w:p>
          <w:p w14:paraId="119137DD" w14:textId="1106BF4A" w:rsidR="00F90A81" w:rsidRPr="006B3F59" w:rsidRDefault="00C13A98" w:rsidP="00F90A81">
            <w:pPr>
              <w:pStyle w:val="Odrky1"/>
              <w:numPr>
                <w:ilvl w:val="0"/>
                <w:numId w:val="0"/>
              </w:numPr>
            </w:pPr>
            <w:r w:rsidRPr="006B3F59">
              <w:rPr>
                <w:rFonts w:cs="Arial"/>
              </w:rPr>
              <w:t>Změna navrhuje zastavitelné plochy v rozsahu 133 083 m</w:t>
            </w:r>
            <w:r w:rsidRPr="006B3F59">
              <w:rPr>
                <w:rFonts w:cs="Arial"/>
                <w:vertAlign w:val="superscript"/>
              </w:rPr>
              <w:t>2</w:t>
            </w:r>
            <w:r w:rsidRPr="006B3F59">
              <w:rPr>
                <w:rFonts w:cs="Arial"/>
              </w:rPr>
              <w:t>. Oproti tomu návrh změny navrhuje plochy nezastavitelné a tímto ruší zastavitelné plochy v rozsahu 31 244 m</w:t>
            </w:r>
            <w:r w:rsidRPr="006B3F59">
              <w:rPr>
                <w:rFonts w:cs="Arial"/>
                <w:vertAlign w:val="superscript"/>
              </w:rPr>
              <w:t>2</w:t>
            </w:r>
            <w:r w:rsidRPr="006B3F59">
              <w:rPr>
                <w:rFonts w:cs="Arial"/>
              </w:rPr>
              <w:t>. Finálně je ve změně navrhován nárůst zastavitelných ploch v rozsahu 101 839 m</w:t>
            </w:r>
            <w:r w:rsidRPr="006B3F59">
              <w:rPr>
                <w:rFonts w:cs="Arial"/>
                <w:vertAlign w:val="superscript"/>
              </w:rPr>
              <w:t>2</w:t>
            </w:r>
            <w:r w:rsidRPr="006B3F59">
              <w:rPr>
                <w:rFonts w:cs="Arial"/>
              </w:rPr>
              <w:t>.</w:t>
            </w:r>
          </w:p>
        </w:tc>
      </w:tr>
      <w:tr w:rsidR="0080128D" w:rsidRPr="006B3F59" w14:paraId="6FFFA079" w14:textId="77777777" w:rsidTr="00F7137A">
        <w:trPr>
          <w:trHeight w:val="385"/>
        </w:trPr>
        <w:tc>
          <w:tcPr>
            <w:tcW w:w="1083" w:type="pct"/>
            <w:shd w:val="clear" w:color="auto" w:fill="auto"/>
          </w:tcPr>
          <w:p w14:paraId="23BCCFA5" w14:textId="1BDBA0BC" w:rsidR="0080128D" w:rsidRPr="006B3F59" w:rsidRDefault="0080128D" w:rsidP="00BD79EE">
            <w:pPr>
              <w:pStyle w:val="normln0"/>
              <w:snapToGrid w:val="0"/>
              <w:spacing w:before="40" w:afterLines="40" w:after="96"/>
              <w:jc w:val="left"/>
              <w:rPr>
                <w:rFonts w:ascii="Arial" w:hAnsi="Arial" w:cs="Arial"/>
                <w:sz w:val="20"/>
              </w:rPr>
            </w:pPr>
            <w:r w:rsidRPr="006B3F59">
              <w:rPr>
                <w:rFonts w:ascii="Arial" w:hAnsi="Arial" w:cs="Arial"/>
                <w:sz w:val="20"/>
              </w:rPr>
              <w:lastRenderedPageBreak/>
              <w:t>Charakteristika změny</w:t>
            </w:r>
          </w:p>
        </w:tc>
        <w:tc>
          <w:tcPr>
            <w:tcW w:w="3917" w:type="pct"/>
            <w:shd w:val="clear" w:color="auto" w:fill="auto"/>
            <w:vAlign w:val="center"/>
          </w:tcPr>
          <w:p w14:paraId="75EEAE6D" w14:textId="77777777" w:rsidR="00917F14" w:rsidRPr="006B3F59" w:rsidRDefault="00917F14" w:rsidP="00917F14">
            <w:pPr>
              <w:pStyle w:val="Odstavecseseznamem"/>
              <w:autoSpaceDE w:val="0"/>
              <w:autoSpaceDN w:val="0"/>
              <w:adjustRightInd w:val="0"/>
              <w:spacing w:after="120"/>
              <w:ind w:left="-9"/>
              <w:contextualSpacing w:val="0"/>
              <w:rPr>
                <w:rFonts w:cs="Arial"/>
                <w:bCs/>
                <w:u w:val="single"/>
              </w:rPr>
            </w:pPr>
            <w:r w:rsidRPr="006B3F59">
              <w:rPr>
                <w:rFonts w:cs="Arial"/>
                <w:bCs/>
                <w:u w:val="single"/>
              </w:rPr>
              <w:t>Úsek z Podbaby po křižovatku Roztocká x Kamýcká:</w:t>
            </w:r>
          </w:p>
          <w:p w14:paraId="60A66FED" w14:textId="29BCD555" w:rsidR="00917F14" w:rsidRPr="006B3F59" w:rsidRDefault="00917F14" w:rsidP="00917F14">
            <w:pPr>
              <w:pStyle w:val="Odstavecseseznamem"/>
              <w:autoSpaceDE w:val="0"/>
              <w:autoSpaceDN w:val="0"/>
              <w:adjustRightInd w:val="0"/>
              <w:ind w:left="-9"/>
              <w:contextualSpacing w:val="0"/>
              <w:rPr>
                <w:rFonts w:cs="Arial"/>
                <w:bCs/>
              </w:rPr>
            </w:pPr>
            <w:r w:rsidRPr="006B3F59">
              <w:rPr>
                <w:rFonts w:cs="Arial"/>
                <w:bCs/>
              </w:rPr>
              <w:lastRenderedPageBreak/>
              <w:t xml:space="preserve">V této části Podbabské ulice vymezené tělesem železniční trati Praha – </w:t>
            </w:r>
            <w:r w:rsidR="007D5092">
              <w:rPr>
                <w:rFonts w:cs="Arial"/>
                <w:bCs/>
              </w:rPr>
              <w:t>Děčín</w:t>
            </w:r>
            <w:r w:rsidRPr="006B3F59">
              <w:rPr>
                <w:rFonts w:cs="Arial"/>
                <w:bCs/>
              </w:rPr>
              <w:t xml:space="preserve"> a řekou dochází k rozšíření stávající plochy sběrné komunikace městského významu /S2/ a plochy tratě a zařízení železniční dopravy, vlečky a </w:t>
            </w:r>
            <w:r w:rsidR="00BF28B6" w:rsidRPr="006B3F59">
              <w:rPr>
                <w:rFonts w:cs="Arial"/>
                <w:bCs/>
              </w:rPr>
              <w:t>náklad</w:t>
            </w:r>
            <w:r w:rsidR="00BF28B6">
              <w:rPr>
                <w:rFonts w:cs="Arial"/>
                <w:bCs/>
              </w:rPr>
              <w:t>ové</w:t>
            </w:r>
            <w:r w:rsidR="00BF28B6" w:rsidRPr="006B3F59">
              <w:rPr>
                <w:rFonts w:cs="Arial"/>
                <w:bCs/>
              </w:rPr>
              <w:t xml:space="preserve"> </w:t>
            </w:r>
            <w:r w:rsidRPr="006B3F59">
              <w:rPr>
                <w:rFonts w:cs="Arial"/>
                <w:bCs/>
              </w:rPr>
              <w:t>terminály /DZ/ z důvodu realizace tramvajové trati. Zarovnáním plochy /DZ/ zde vzniká plocha nerušící výroby a služeb /VN/, která je logicky přiřazena ke stávající ploše stejného využití. Měněné plochy se nacházejí v záplavovém území Vltavy Q2002, konkrétně v aktivní, průtočné a neprůtočné zóně, které je potřeba respektovat. V těchto místech byla upravena hranice nerozvojového území tak, aby korespondovala s hranicemi celé plochy /VN/.</w:t>
            </w:r>
          </w:p>
          <w:p w14:paraId="6C20B954" w14:textId="77777777" w:rsidR="00917F14" w:rsidRPr="006B3F59" w:rsidRDefault="00917F14" w:rsidP="00917F14">
            <w:pPr>
              <w:pStyle w:val="Odstavecseseznamem"/>
              <w:autoSpaceDE w:val="0"/>
              <w:autoSpaceDN w:val="0"/>
              <w:adjustRightInd w:val="0"/>
              <w:spacing w:after="120"/>
              <w:ind w:left="-9"/>
              <w:contextualSpacing w:val="0"/>
              <w:rPr>
                <w:rFonts w:cs="Arial"/>
                <w:bCs/>
                <w:u w:val="single"/>
              </w:rPr>
            </w:pPr>
            <w:r w:rsidRPr="006B3F59">
              <w:rPr>
                <w:rFonts w:cs="Arial"/>
                <w:bCs/>
                <w:u w:val="single"/>
              </w:rPr>
              <w:t>Nový Sedlec:</w:t>
            </w:r>
          </w:p>
          <w:p w14:paraId="3E72AA60" w14:textId="3743A685" w:rsidR="00917F14" w:rsidRPr="006B3F59" w:rsidRDefault="00917F14" w:rsidP="00917F14">
            <w:pPr>
              <w:pStyle w:val="Odstavecseseznamem"/>
              <w:autoSpaceDE w:val="0"/>
              <w:autoSpaceDN w:val="0"/>
              <w:adjustRightInd w:val="0"/>
              <w:ind w:left="-9"/>
              <w:contextualSpacing w:val="0"/>
              <w:rPr>
                <w:rFonts w:cs="Arial"/>
                <w:bCs/>
              </w:rPr>
            </w:pPr>
            <w:r w:rsidRPr="006B3F59">
              <w:rPr>
                <w:rFonts w:cs="Arial"/>
                <w:bCs/>
              </w:rPr>
              <w:t>Oblast Nového Sedlce, dnes zčásti využívaná jako deponie stavebního materiálu, zčásti sloužící pro různorodé služby a výrobu, je od zástavby převážně vesnického typu, která tvoří velkou část stávající obytné zástavby Sedlce, oddělena Kamýckou ulicí</w:t>
            </w:r>
            <w:r w:rsidR="007F3D29" w:rsidRPr="006B3F59">
              <w:rPr>
                <w:rFonts w:cs="Arial"/>
                <w:bCs/>
              </w:rPr>
              <w:t xml:space="preserve"> </w:t>
            </w:r>
            <w:r w:rsidRPr="006B3F59">
              <w:rPr>
                <w:rFonts w:cs="Arial"/>
                <w:bCs/>
              </w:rPr>
              <w:t>a strukturálně na ni nenavazuje.</w:t>
            </w:r>
          </w:p>
          <w:p w14:paraId="4FFEFD37" w14:textId="7F676291" w:rsidR="00917F14" w:rsidRPr="006B3F59" w:rsidRDefault="00917F14" w:rsidP="00917F14">
            <w:pPr>
              <w:pStyle w:val="Odstavecseseznamem"/>
              <w:autoSpaceDE w:val="0"/>
              <w:autoSpaceDN w:val="0"/>
              <w:adjustRightInd w:val="0"/>
              <w:ind w:left="-9"/>
              <w:contextualSpacing w:val="0"/>
              <w:rPr>
                <w:rFonts w:cs="Arial"/>
                <w:bCs/>
              </w:rPr>
            </w:pPr>
            <w:r w:rsidRPr="006B3F59">
              <w:rPr>
                <w:rFonts w:cs="Arial"/>
                <w:bCs/>
              </w:rPr>
              <w:t xml:space="preserve">Rozvoj lokality zčásti zahrnuje transformaci brownfieldu a dle urbanistické studie </w:t>
            </w:r>
            <w:r w:rsidR="007C1B10">
              <w:rPr>
                <w:rFonts w:cs="Arial"/>
                <w:bCs/>
              </w:rPr>
              <w:t xml:space="preserve">je </w:t>
            </w:r>
            <w:r w:rsidRPr="006B3F59">
              <w:rPr>
                <w:rFonts w:cs="Arial"/>
                <w:bCs/>
              </w:rPr>
              <w:t xml:space="preserve">zde </w:t>
            </w:r>
            <w:r w:rsidR="007C1B10" w:rsidRPr="006B3F59">
              <w:rPr>
                <w:rFonts w:cs="Arial"/>
                <w:bCs/>
              </w:rPr>
              <w:t>navr</w:t>
            </w:r>
            <w:r w:rsidR="007C1B10">
              <w:rPr>
                <w:rFonts w:cs="Arial"/>
                <w:bCs/>
              </w:rPr>
              <w:t>žena</w:t>
            </w:r>
            <w:r w:rsidR="007C1B10" w:rsidRPr="006B3F59">
              <w:rPr>
                <w:rFonts w:cs="Arial"/>
                <w:bCs/>
              </w:rPr>
              <w:t xml:space="preserve"> svébytn</w:t>
            </w:r>
            <w:r w:rsidR="007C1B10">
              <w:rPr>
                <w:rFonts w:cs="Arial"/>
                <w:bCs/>
              </w:rPr>
              <w:t>á</w:t>
            </w:r>
            <w:r w:rsidR="007C1B10" w:rsidRPr="006B3F59">
              <w:rPr>
                <w:rFonts w:cs="Arial"/>
                <w:bCs/>
              </w:rPr>
              <w:t xml:space="preserve"> </w:t>
            </w:r>
            <w:r w:rsidRPr="006B3F59">
              <w:rPr>
                <w:rFonts w:cs="Arial"/>
                <w:bCs/>
              </w:rPr>
              <w:t>enkláv</w:t>
            </w:r>
            <w:r w:rsidR="007C1B10">
              <w:rPr>
                <w:rFonts w:cs="Arial"/>
                <w:bCs/>
              </w:rPr>
              <w:t>a</w:t>
            </w:r>
            <w:r w:rsidRPr="006B3F59">
              <w:rPr>
                <w:rFonts w:cs="Arial"/>
                <w:bCs/>
              </w:rPr>
              <w:t xml:space="preserve"> zástavby převážně městského typu, představující obytnou čtvrť s potřebnou občanskou vybaveností, kterou reprezentují plochy s rozdílným způsobem využití všeobecně smíšené /SV/, všeobecně obytné /OV/ a pro individuální bydlení čistě obytné /OB/. Intenzita zástavby směrem k přírodním okrajům území postupně klesá (navržený kód míry využití území </w:t>
            </w:r>
            <w:r w:rsidR="001D749A" w:rsidRPr="006B3F59">
              <w:rPr>
                <w:rFonts w:cs="Arial"/>
                <w:bCs/>
              </w:rPr>
              <w:t>C–</w:t>
            </w:r>
            <w:r w:rsidR="001D749A" w:rsidRPr="006B3F59">
              <w:rPr>
                <w:rFonts w:ascii="Tahoma" w:hAnsi="Tahoma" w:cs="Tahoma"/>
                <w:bCs/>
              </w:rPr>
              <w:t>G</w:t>
            </w:r>
            <w:r w:rsidRPr="006B3F59">
              <w:rPr>
                <w:rFonts w:cs="Arial"/>
                <w:bCs/>
              </w:rPr>
              <w:t xml:space="preserve">). </w:t>
            </w:r>
            <w:r w:rsidR="00440C65" w:rsidRPr="006B3F59">
              <w:rPr>
                <w:rFonts w:cs="Arial"/>
                <w:bCs/>
              </w:rPr>
              <w:t>Navazuje na již zastavěné území obdobného charakteru při ulici K vinici a Nad Podbabskou skálou.</w:t>
            </w:r>
          </w:p>
          <w:p w14:paraId="044506BE" w14:textId="090D317D" w:rsidR="00917F14" w:rsidRPr="006B3F59" w:rsidRDefault="00917F14" w:rsidP="00917F14">
            <w:pPr>
              <w:pStyle w:val="Odstavecseseznamem"/>
              <w:autoSpaceDE w:val="0"/>
              <w:autoSpaceDN w:val="0"/>
              <w:adjustRightInd w:val="0"/>
              <w:ind w:left="-9"/>
              <w:contextualSpacing w:val="0"/>
              <w:rPr>
                <w:rFonts w:cs="Arial"/>
                <w:bCs/>
              </w:rPr>
            </w:pPr>
            <w:r w:rsidRPr="006B3F59">
              <w:rPr>
                <w:rFonts w:cs="Arial"/>
                <w:bCs/>
              </w:rPr>
              <w:t xml:space="preserve">Do této lokality jsou </w:t>
            </w:r>
            <w:r w:rsidR="007C1B10">
              <w:rPr>
                <w:rFonts w:cs="Arial"/>
                <w:bCs/>
              </w:rPr>
              <w:t xml:space="preserve">také </w:t>
            </w:r>
            <w:r w:rsidRPr="006B3F59">
              <w:rPr>
                <w:rFonts w:cs="Arial"/>
                <w:bCs/>
              </w:rPr>
              <w:t xml:space="preserve">umístěny plochy veřejného vybavení /VV/ sloužící jako rezerva pro základní a střední školy. Plocha pro mateřské školy, kulturní a komunitní centra, lékařskou vybavenost a poštu je vymezena plovoucí značkou /VV/ v ploše /OB-F/. Do plochy /SV-F/ se vkládá pevná značka /VV/ pro mateřskou školu. Rozvojové plochy protíná hlavní severojižní urbanistická osa definovaná plochou urbanisticky významné plochy a dopravní spojení, veřejná prostranství /DU/. Od východu na západ probíhá oblouk tramvajové trati, jejíž trasa je rozvinuta územím tak, aby překonala výškový rozdíl ve stoupání směrem k Suchdolu. Je navržena jako plochy a zařízení hromadné dopravy osob, parkoviště P+R /DH/. Jižně od ní je pro využití stávající střelnice v ploše /SV-E/ vložena plovoucí značka sportu /SP/. </w:t>
            </w:r>
          </w:p>
          <w:p w14:paraId="67205FBE" w14:textId="11BA5107" w:rsidR="00917F14" w:rsidRPr="006B3F59" w:rsidRDefault="00917F14" w:rsidP="00917F14">
            <w:pPr>
              <w:pStyle w:val="Odstavecseseznamem"/>
              <w:autoSpaceDE w:val="0"/>
              <w:autoSpaceDN w:val="0"/>
              <w:adjustRightInd w:val="0"/>
              <w:ind w:left="-9"/>
              <w:contextualSpacing w:val="0"/>
              <w:rPr>
                <w:bCs/>
              </w:rPr>
            </w:pPr>
            <w:r w:rsidRPr="006B3F59">
              <w:rPr>
                <w:rFonts w:cs="Arial"/>
                <w:bCs/>
              </w:rPr>
              <w:t xml:space="preserve">Území je strukturováno v příčném směru veřejnými prostranstvími, tvořenými hlavním náměstím v ploše </w:t>
            </w:r>
            <w:r w:rsidR="003E5681">
              <w:rPr>
                <w:rFonts w:cs="Arial"/>
                <w:bCs/>
              </w:rPr>
              <w:t>/</w:t>
            </w:r>
            <w:r w:rsidRPr="006B3F59">
              <w:rPr>
                <w:rFonts w:cs="Arial"/>
                <w:bCs/>
              </w:rPr>
              <w:t>DU</w:t>
            </w:r>
            <w:r w:rsidR="003E5681">
              <w:rPr>
                <w:rFonts w:cs="Arial"/>
                <w:bCs/>
              </w:rPr>
              <w:t>/</w:t>
            </w:r>
            <w:r w:rsidRPr="006B3F59">
              <w:rPr>
                <w:rFonts w:cs="Arial"/>
                <w:bCs/>
              </w:rPr>
              <w:t xml:space="preserve"> ve směru sever–jih a zelenou osou území ve směru severozápad–jihovýchod, kterou tvoří městský park ve využití zeleň městská a krajinná /ZMK/, navazující ze severu na plochu náměstí při tramvajové trati (plocha /DU/) a z jihu na rekreační sad (využití pro sady, zahrady a vinice /PS/). Ve vazbě na tuto plochu probíhá po jižním okraji zastavitelná plocha pro veřejné vybavení /VV/ a společně s plochou pro částečně urbanizované rekreační plochy a zvláštní rekreační aktivity</w:t>
            </w:r>
            <w:r w:rsidR="00BA366F" w:rsidRPr="006B3F59">
              <w:rPr>
                <w:rFonts w:cs="Arial"/>
                <w:bCs/>
              </w:rPr>
              <w:t xml:space="preserve"> </w:t>
            </w:r>
            <w:r w:rsidRPr="006B3F59">
              <w:rPr>
                <w:rFonts w:cs="Arial"/>
                <w:bCs/>
              </w:rPr>
              <w:t>a naučné a poznávací aktivity /SO5,6/ vytváří jižní okraj urbanizovaného území. Na něj navazuje vymezená plocha zeleň městská a krajinná /ZMK/, která tvoří přechod mezi navrhovanou urbánní strukturou Nového Sedlce a přírodním parkem Šárka – Lysolaje.</w:t>
            </w:r>
          </w:p>
          <w:p w14:paraId="6005E91E" w14:textId="77777777" w:rsidR="00917F14" w:rsidRPr="006B3F59" w:rsidRDefault="00917F14" w:rsidP="00917F14">
            <w:pPr>
              <w:pStyle w:val="Odstavecseseznamem"/>
              <w:autoSpaceDE w:val="0"/>
              <w:autoSpaceDN w:val="0"/>
              <w:adjustRightInd w:val="0"/>
              <w:spacing w:after="120"/>
              <w:ind w:left="-9"/>
              <w:contextualSpacing w:val="0"/>
              <w:rPr>
                <w:rFonts w:cs="Arial"/>
                <w:bCs/>
                <w:color w:val="000000" w:themeColor="text1"/>
                <w:u w:val="single"/>
              </w:rPr>
            </w:pPr>
            <w:r w:rsidRPr="006B3F59">
              <w:rPr>
                <w:rFonts w:cs="Arial"/>
                <w:bCs/>
                <w:color w:val="000000" w:themeColor="text1"/>
                <w:u w:val="single"/>
              </w:rPr>
              <w:t>Kamýcká:</w:t>
            </w:r>
          </w:p>
          <w:p w14:paraId="5DCD0FB8" w14:textId="3B4784AA" w:rsidR="00917F14" w:rsidRPr="006B3F59" w:rsidRDefault="00917F14" w:rsidP="00917F14">
            <w:pPr>
              <w:pStyle w:val="Odstavecseseznamem"/>
              <w:autoSpaceDE w:val="0"/>
              <w:autoSpaceDN w:val="0"/>
              <w:adjustRightInd w:val="0"/>
              <w:ind w:left="-9"/>
              <w:contextualSpacing w:val="0"/>
              <w:rPr>
                <w:rFonts w:cs="Arial"/>
                <w:bCs/>
              </w:rPr>
            </w:pPr>
            <w:r w:rsidRPr="006B3F59">
              <w:rPr>
                <w:rFonts w:cs="Arial"/>
                <w:bCs/>
              </w:rPr>
              <w:t xml:space="preserve">Při výjezdu z území Nového Sedlce vede tramvajová trať v nově navržené ploše /DU/ rozšířením ulice Kamýcké k Brandejsovu náměstí, kde je uvnitř kruhové křižovatky rovněž navržena plocha /DU/. V návaznosti na podrobnější </w:t>
            </w:r>
            <w:r w:rsidR="001D749A" w:rsidRPr="006B3F59">
              <w:rPr>
                <w:rFonts w:cs="Arial"/>
                <w:bCs/>
              </w:rPr>
              <w:t>dopravně – inženýrské</w:t>
            </w:r>
            <w:r w:rsidRPr="006B3F59">
              <w:rPr>
                <w:rFonts w:cs="Arial"/>
                <w:bCs/>
              </w:rPr>
              <w:t xml:space="preserve"> prověření křižovatky přivaděče Rybářka s upravenou ulicí Kamýckou je navrženo přesunutí aktuální plochy sběrné komunikace městského významu /S2/ východním směrem a doplnění plochy /SV-B/ v návaznosti na sousední stávající vymezenou ploch s rozdílným způsobem využití /SV-B/. </w:t>
            </w:r>
          </w:p>
          <w:p w14:paraId="1EE0EE4C" w14:textId="77777777" w:rsidR="00917F14" w:rsidRPr="006B3F59" w:rsidRDefault="00917F14" w:rsidP="00917F14">
            <w:pPr>
              <w:pStyle w:val="Odstavecseseznamem"/>
              <w:autoSpaceDE w:val="0"/>
              <w:autoSpaceDN w:val="0"/>
              <w:adjustRightInd w:val="0"/>
              <w:ind w:left="-9"/>
              <w:contextualSpacing w:val="0"/>
              <w:rPr>
                <w:rFonts w:cs="Arial"/>
                <w:bCs/>
              </w:rPr>
            </w:pPr>
            <w:r w:rsidRPr="006B3F59">
              <w:rPr>
                <w:rFonts w:cs="Arial"/>
                <w:bCs/>
              </w:rPr>
              <w:t>Jižně od ulice Kamýcké je ve funkční ploše /OV/ navýšena míra využití území z kódu B na C a v návaznosti na ni je navržena plocha stejného využití /OV-D/. Obě plochy budou využity jak plochy pro bydlení, tak i pro další funkce sloužící pro obsluhu obyvatel v příznivé poloze ulice Kamýcké.</w:t>
            </w:r>
          </w:p>
          <w:p w14:paraId="36229507" w14:textId="77777777" w:rsidR="00917F14" w:rsidRPr="006B3F59" w:rsidRDefault="00917F14" w:rsidP="00917F14">
            <w:pPr>
              <w:pStyle w:val="Odstavecseseznamem"/>
              <w:autoSpaceDE w:val="0"/>
              <w:autoSpaceDN w:val="0"/>
              <w:adjustRightInd w:val="0"/>
              <w:spacing w:after="120"/>
              <w:ind w:left="-9"/>
              <w:contextualSpacing w:val="0"/>
              <w:rPr>
                <w:rFonts w:cs="Arial"/>
                <w:bCs/>
                <w:u w:val="single"/>
              </w:rPr>
            </w:pPr>
            <w:r w:rsidRPr="006B3F59">
              <w:rPr>
                <w:rFonts w:cs="Arial"/>
                <w:bCs/>
                <w:u w:val="single"/>
              </w:rPr>
              <w:lastRenderedPageBreak/>
              <w:t>Výhledy:</w:t>
            </w:r>
          </w:p>
          <w:p w14:paraId="67BC08F4" w14:textId="7754D46D" w:rsidR="00917F14" w:rsidRPr="006B3F59" w:rsidRDefault="00917F14" w:rsidP="00917F14">
            <w:pPr>
              <w:autoSpaceDE w:val="0"/>
              <w:autoSpaceDN w:val="0"/>
              <w:adjustRightInd w:val="0"/>
              <w:ind w:left="-9"/>
              <w:rPr>
                <w:rFonts w:cs="Arial"/>
                <w:bCs/>
              </w:rPr>
            </w:pPr>
            <w:r w:rsidRPr="006B3F59">
              <w:rPr>
                <w:rFonts w:cs="Arial"/>
                <w:bCs/>
              </w:rPr>
              <w:t>Oblast Výhledů je momentálně nezastavěnou prolukou v rámci struktury městské části Praha – Suchdol, která bude do značné míry ovlivněna trasováním Pražského okruhu. Zpracovaný návrh změny si klade za cíl dotvořit okolí plánované tramvajové trati. Využití plánované zástavby je reprezentováno plochami s rozdílným způsobem využití</w:t>
            </w:r>
            <w:r w:rsidR="007F3D29" w:rsidRPr="006B3F59">
              <w:rPr>
                <w:rFonts w:cs="Arial"/>
                <w:bCs/>
              </w:rPr>
              <w:t xml:space="preserve"> </w:t>
            </w:r>
            <w:r w:rsidRPr="006B3F59">
              <w:rPr>
                <w:rFonts w:cs="Arial"/>
                <w:bCs/>
              </w:rPr>
              <w:t>/SV/</w:t>
            </w:r>
            <w:r w:rsidR="007F3D29" w:rsidRPr="006B3F59">
              <w:rPr>
                <w:rFonts w:cs="Arial"/>
                <w:bCs/>
              </w:rPr>
              <w:t xml:space="preserve"> </w:t>
            </w:r>
            <w:r w:rsidRPr="006B3F59">
              <w:rPr>
                <w:rFonts w:cs="Arial"/>
                <w:bCs/>
              </w:rPr>
              <w:t>a /OV/ s méně kapacitní zástavbou – kódy míry využití území C–</w:t>
            </w:r>
            <w:r w:rsidRPr="006B3F59">
              <w:rPr>
                <w:rFonts w:ascii="Tahoma" w:hAnsi="Tahoma" w:cs="Tahoma"/>
                <w:bCs/>
              </w:rPr>
              <w:t>⁠</w:t>
            </w:r>
            <w:r w:rsidRPr="006B3F59">
              <w:rPr>
                <w:rFonts w:cs="Arial"/>
                <w:bCs/>
              </w:rPr>
              <w:t>F. Řešené území navazuje západním směrem na historické jádro původní obce Suchdol, tvořené vesnickou zástavbou s dominantou Brandejsova statku; míra využití území směrem k historické zástavbě se snižuje.</w:t>
            </w:r>
          </w:p>
          <w:p w14:paraId="33B0698F" w14:textId="77777777" w:rsidR="00917F14" w:rsidRPr="006B3F59" w:rsidRDefault="00917F14" w:rsidP="00917F14">
            <w:pPr>
              <w:autoSpaceDE w:val="0"/>
              <w:autoSpaceDN w:val="0"/>
              <w:adjustRightInd w:val="0"/>
              <w:ind w:left="-9"/>
              <w:rPr>
                <w:rFonts w:cs="Arial"/>
                <w:bCs/>
              </w:rPr>
            </w:pPr>
            <w:r w:rsidRPr="006B3F59">
              <w:rPr>
                <w:rFonts w:cs="Arial"/>
                <w:bCs/>
              </w:rPr>
              <w:t>V lokalitě je navržen park, tvořený plochami louky a pastviny /NL/, zeleň městská</w:t>
            </w:r>
            <w:r w:rsidRPr="006B3F59">
              <w:rPr>
                <w:rFonts w:cs="Arial"/>
                <w:bCs/>
              </w:rPr>
              <w:br/>
              <w:t xml:space="preserve">a krajinná /ZMK/ a plochou izolační zeleň /IZ/, který je jednou z rekreačních ploch území Na Výhledech. Jeho vymezení je do velké míry dáno vedením přeložek nadřazených inženýrských sítí. Spolu s parkem, který je tvořen pásem vymezeným pro trasování tunelu Pražského okruhu, vytváří zelené propojení Suchdola s plochami okolní krajiny. </w:t>
            </w:r>
          </w:p>
          <w:p w14:paraId="11CE6287" w14:textId="77777777" w:rsidR="00917F14" w:rsidRPr="006B3F59" w:rsidRDefault="00917F14" w:rsidP="00917F14">
            <w:pPr>
              <w:autoSpaceDE w:val="0"/>
              <w:autoSpaceDN w:val="0"/>
              <w:adjustRightInd w:val="0"/>
              <w:ind w:left="-9"/>
              <w:rPr>
                <w:rFonts w:cs="Arial"/>
                <w:bCs/>
              </w:rPr>
            </w:pPr>
            <w:r w:rsidRPr="006B3F59">
              <w:rPr>
                <w:rFonts w:cs="Arial"/>
                <w:bCs/>
              </w:rPr>
              <w:t>Tramvajová trať vede v ploše /DU/ a v ploše /DH/ končí smyčkou při severozápadní hraně oblasti Výhledy.</w:t>
            </w:r>
          </w:p>
          <w:p w14:paraId="1D76C210" w14:textId="14DB3EB7" w:rsidR="00B50A02" w:rsidRPr="006B3F59" w:rsidRDefault="00917F14" w:rsidP="00917F14">
            <w:pPr>
              <w:autoSpaceDE w:val="0"/>
              <w:autoSpaceDN w:val="0"/>
              <w:adjustRightInd w:val="0"/>
              <w:ind w:left="-9"/>
              <w:rPr>
                <w:rFonts w:cs="Arial"/>
                <w:bCs/>
              </w:rPr>
            </w:pPr>
            <w:r w:rsidRPr="006B3F59">
              <w:rPr>
                <w:rFonts w:cs="Arial"/>
                <w:bCs/>
              </w:rPr>
              <w:t>V ploše /IZ/ je umístěna pevná značka /DH/ pro realizací parkoviště v systému P+R.</w:t>
            </w:r>
          </w:p>
        </w:tc>
      </w:tr>
      <w:tr w:rsidR="00F90A81" w:rsidRPr="006B3F59" w14:paraId="56183C45" w14:textId="77777777" w:rsidTr="00F7137A">
        <w:trPr>
          <w:trHeight w:val="385"/>
        </w:trPr>
        <w:tc>
          <w:tcPr>
            <w:tcW w:w="1083" w:type="pct"/>
            <w:shd w:val="clear" w:color="auto" w:fill="auto"/>
          </w:tcPr>
          <w:p w14:paraId="2F8CFA19" w14:textId="35F54103" w:rsidR="00F90A81" w:rsidRPr="006B3F59" w:rsidRDefault="00F90A81" w:rsidP="00BD79EE">
            <w:pPr>
              <w:pStyle w:val="normln0"/>
              <w:snapToGrid w:val="0"/>
              <w:spacing w:before="40" w:afterLines="40" w:after="96"/>
              <w:jc w:val="left"/>
              <w:rPr>
                <w:rFonts w:ascii="Arial" w:hAnsi="Arial" w:cs="Arial"/>
                <w:sz w:val="20"/>
              </w:rPr>
            </w:pPr>
            <w:r w:rsidRPr="006B3F59">
              <w:rPr>
                <w:rFonts w:ascii="Arial" w:hAnsi="Arial" w:cs="Arial"/>
                <w:sz w:val="20"/>
              </w:rPr>
              <w:lastRenderedPageBreak/>
              <w:t>Koncepční řešení změny</w:t>
            </w:r>
          </w:p>
        </w:tc>
        <w:tc>
          <w:tcPr>
            <w:tcW w:w="3917" w:type="pct"/>
            <w:shd w:val="clear" w:color="auto" w:fill="auto"/>
            <w:vAlign w:val="center"/>
          </w:tcPr>
          <w:p w14:paraId="4C8C39AA" w14:textId="59BA612A" w:rsidR="00F90A81" w:rsidRPr="006B3F59" w:rsidRDefault="00F90A81" w:rsidP="00445EBD">
            <w:pPr>
              <w:pStyle w:val="Odstavecseseznamem"/>
              <w:autoSpaceDE w:val="0"/>
              <w:autoSpaceDN w:val="0"/>
              <w:adjustRightInd w:val="0"/>
              <w:spacing w:after="120"/>
              <w:ind w:left="-9"/>
              <w:contextualSpacing w:val="0"/>
              <w:rPr>
                <w:rFonts w:cs="Arial"/>
                <w:bCs/>
                <w:u w:val="single"/>
              </w:rPr>
            </w:pPr>
            <w:r w:rsidRPr="006B3F59">
              <w:rPr>
                <w:rFonts w:cs="Arial"/>
                <w:bCs/>
                <w:u w:val="single"/>
              </w:rPr>
              <w:t>Koncepce dopravní infrastruktury:</w:t>
            </w:r>
          </w:p>
          <w:p w14:paraId="0E824E15" w14:textId="335A4E0A" w:rsidR="00F90A81" w:rsidRPr="006B3F59" w:rsidRDefault="00F90A81" w:rsidP="00445EBD">
            <w:pPr>
              <w:pStyle w:val="Odstavecseseznamem"/>
              <w:autoSpaceDE w:val="0"/>
              <w:autoSpaceDN w:val="0"/>
              <w:adjustRightInd w:val="0"/>
              <w:spacing w:after="120"/>
              <w:ind w:left="0"/>
              <w:contextualSpacing w:val="0"/>
              <w:rPr>
                <w:rFonts w:cs="Arial"/>
                <w:bCs/>
              </w:rPr>
            </w:pPr>
            <w:r w:rsidRPr="006B3F59">
              <w:rPr>
                <w:rFonts w:cs="Arial"/>
                <w:bCs/>
              </w:rPr>
              <w:t xml:space="preserve">Změna vymezuje novou tramvajovou trať z Podbaby (lokalita Nádraží Podbaba) do Suchdola (lokalita Výhledy); ruší vymezení plochy určené pro autobusové garáže MHD v Sedlci; vymezuje plochy pro dopravní terminál a umístění </w:t>
            </w:r>
            <w:proofErr w:type="gramStart"/>
            <w:r w:rsidRPr="006B3F59">
              <w:rPr>
                <w:rFonts w:cs="Arial"/>
                <w:bCs/>
              </w:rPr>
              <w:t>parkoviště  systému</w:t>
            </w:r>
            <w:proofErr w:type="gramEnd"/>
            <w:r w:rsidRPr="006B3F59">
              <w:rPr>
                <w:rFonts w:cs="Arial"/>
                <w:bCs/>
              </w:rPr>
              <w:t xml:space="preserve"> P+R v lokalitě Výhledy.  </w:t>
            </w:r>
          </w:p>
          <w:p w14:paraId="13BFF28D" w14:textId="5AD2D256" w:rsidR="00F90A81" w:rsidRPr="003411C7" w:rsidRDefault="00F90A81" w:rsidP="003411C7">
            <w:r w:rsidRPr="006B3F59">
              <w:rPr>
                <w:rFonts w:cs="Arial"/>
                <w:bCs/>
              </w:rPr>
              <w:t xml:space="preserve">Návrh dopravního uspořádání území a vyhodnocení bylo k návrhu změny územního plánu vypracováno na základě Dopravní studie k Urbanistické studii Nový Sedlec (ETC </w:t>
            </w:r>
            <w:proofErr w:type="spellStart"/>
            <w:r w:rsidRPr="006B3F59">
              <w:rPr>
                <w:rFonts w:cs="Arial"/>
                <w:bCs/>
              </w:rPr>
              <w:t>s.r.o</w:t>
            </w:r>
            <w:proofErr w:type="spellEnd"/>
            <w:r w:rsidRPr="006B3F59">
              <w:rPr>
                <w:rFonts w:cs="Arial"/>
                <w:bCs/>
              </w:rPr>
              <w:t xml:space="preserve">, 2021). V návaznosti na analytickou část studie byly připraveny modely intenzit dopravy pro střednědobý výhled bez SOKP (TSK hl. m Prahy) a dlouhodobý výhled s SOKP (IPR Praha). Na základě výstupů z těchto modelů byl připraven návrh napojení území Nového Sedlce. Dopravní model byl pro účely vyhodnocení aktualizován na vnějších vstupech přes hranice hl. m. Prahy o data zahrnující rozvojové potenciály obcí spádové oblasti Středočeského kraje a zjištěné trendy urbanizace, demografického vývoje a automobilizace. </w:t>
            </w:r>
            <w:r w:rsidR="003411C7">
              <w:rPr>
                <w:rFonts w:cs="Arial"/>
                <w:bCs/>
              </w:rPr>
              <w:t xml:space="preserve"> </w:t>
            </w:r>
            <w:r w:rsidR="003411C7" w:rsidRPr="006B3F59">
              <w:t>Zapracované dopravní vstupy zohledňují nejenom rozvoj spádového (řešeného) území, ale také přilehlé záměry v oblasti Sedlce a Suchdola (zejména projekty „</w:t>
            </w:r>
            <w:proofErr w:type="spellStart"/>
            <w:r w:rsidR="003411C7" w:rsidRPr="006B3F59">
              <w:t>Sofil</w:t>
            </w:r>
            <w:proofErr w:type="spellEnd"/>
            <w:r w:rsidR="003411C7" w:rsidRPr="006B3F59">
              <w:t>“, „</w:t>
            </w:r>
            <w:proofErr w:type="spellStart"/>
            <w:r w:rsidR="003411C7" w:rsidRPr="006B3F59">
              <w:t>Stavomontáže</w:t>
            </w:r>
            <w:proofErr w:type="spellEnd"/>
            <w:r w:rsidR="003411C7" w:rsidRPr="006B3F59">
              <w:t>“ a „EL-TI“, rozvojové území Výhledy apod. – tzv. širší řešené území). Obdobně pak je uvažován rovněž dlouhodobý rozvoj severozápadního segmentu metropolitní oblasti na území Středočeského kraje; např. rozvoj příměstských oblastí Roztok, Horoměřic, Statenic a dalších, které budou ve výsledku využívat stejnou komunikační síť.</w:t>
            </w:r>
          </w:p>
          <w:p w14:paraId="45C8D9D3" w14:textId="342A7EF5" w:rsidR="00F90A81" w:rsidRPr="006B3F59" w:rsidRDefault="00F90A81" w:rsidP="00445EBD">
            <w:pPr>
              <w:pStyle w:val="Odstavecseseznamem"/>
              <w:autoSpaceDE w:val="0"/>
              <w:autoSpaceDN w:val="0"/>
              <w:adjustRightInd w:val="0"/>
              <w:spacing w:after="120"/>
              <w:ind w:left="0"/>
              <w:contextualSpacing w:val="0"/>
              <w:rPr>
                <w:rFonts w:cs="Arial"/>
                <w:bCs/>
              </w:rPr>
            </w:pPr>
            <w:r w:rsidRPr="006B3F59">
              <w:rPr>
                <w:rFonts w:cs="Arial"/>
                <w:bCs/>
              </w:rPr>
              <w:t xml:space="preserve">Návrh dopravního řešení území změny byl </w:t>
            </w:r>
            <w:r w:rsidR="00E22C5B">
              <w:rPr>
                <w:rFonts w:cs="Arial"/>
                <w:bCs/>
              </w:rPr>
              <w:t>zpracován</w:t>
            </w:r>
            <w:r w:rsidRPr="006B3F59">
              <w:rPr>
                <w:rFonts w:cs="Arial"/>
                <w:bCs/>
              </w:rPr>
              <w:t xml:space="preserve"> </w:t>
            </w:r>
            <w:r w:rsidR="00CF4FF5">
              <w:rPr>
                <w:rFonts w:cs="Arial"/>
                <w:bCs/>
              </w:rPr>
              <w:t>v koordinaci s</w:t>
            </w:r>
            <w:r w:rsidRPr="006B3F59">
              <w:rPr>
                <w:rFonts w:cs="Arial"/>
                <w:bCs/>
              </w:rPr>
              <w:t xml:space="preserve"> urbanistick</w:t>
            </w:r>
            <w:r w:rsidR="00CF4FF5">
              <w:rPr>
                <w:rFonts w:cs="Arial"/>
                <w:bCs/>
              </w:rPr>
              <w:t>ou</w:t>
            </w:r>
            <w:r w:rsidRPr="006B3F59">
              <w:rPr>
                <w:rFonts w:cs="Arial"/>
                <w:bCs/>
              </w:rPr>
              <w:t xml:space="preserve"> struktur</w:t>
            </w:r>
            <w:r w:rsidR="00CF4FF5">
              <w:rPr>
                <w:rFonts w:cs="Arial"/>
                <w:bCs/>
              </w:rPr>
              <w:t>ou</w:t>
            </w:r>
            <w:r w:rsidRPr="006B3F59">
              <w:rPr>
                <w:rFonts w:cs="Arial"/>
                <w:bCs/>
              </w:rPr>
              <w:t xml:space="preserve"> území ve změně ÚP SÚ hl. m. Prahy; detailně bylo zohledněno zejména předpokládané řešení tramvajové trati dle ověřovací technické studie tramvajových tratí (zpracovatel Metroprojekt Praha, a. s., 12/2016). </w:t>
            </w:r>
          </w:p>
          <w:p w14:paraId="45593BE2" w14:textId="218A997F" w:rsidR="00F90A81" w:rsidRPr="006B3F59" w:rsidRDefault="00F90A81" w:rsidP="00445EBD">
            <w:pPr>
              <w:pStyle w:val="Odstavecseseznamem"/>
              <w:autoSpaceDE w:val="0"/>
              <w:autoSpaceDN w:val="0"/>
              <w:adjustRightInd w:val="0"/>
              <w:spacing w:after="120"/>
              <w:ind w:left="0"/>
              <w:contextualSpacing w:val="0"/>
              <w:rPr>
                <w:rFonts w:cs="Arial"/>
                <w:bCs/>
              </w:rPr>
            </w:pPr>
            <w:r w:rsidRPr="006B3F59">
              <w:rPr>
                <w:rFonts w:cs="Arial"/>
                <w:bCs/>
              </w:rPr>
              <w:t xml:space="preserve">V souvislosti s výstavbou tramvajové trati Podbaba – Suchdol se na základě závěrů podkladové dopravní studie doporučuje implementovat takové řešení ulic Podbabská a Roztocká, které v celém úseku mezi okružní křižovatkou Roztocká a křižovatkou s ul. Papírenská zajistí 2 průběžné jízdní pruhy ve směru do centra. Do územního plánu je takové řešení implementováno v podobě ploch s rozdílným </w:t>
            </w:r>
            <w:r w:rsidR="00C22790" w:rsidRPr="006B3F59">
              <w:rPr>
                <w:rFonts w:cs="Arial"/>
                <w:bCs/>
              </w:rPr>
              <w:t>způsobem využití</w:t>
            </w:r>
            <w:r w:rsidRPr="006B3F59">
              <w:rPr>
                <w:rFonts w:cs="Arial"/>
                <w:bCs/>
              </w:rPr>
              <w:t xml:space="preserve">. Z hlediska postupu výstavby je optimální realizovat tramvajovou trať před významnější urbanizací souvisejícího území, a to s ohledem na výsledky dopravní studie pro pozitivní vlivy na snížení automobilové dopravy, i z hlediska projednání projektových stupňů záměru. Podmíněnost výstavby se oproti tomu nenavrhuje s ohledem na probíhající rozvoj v užší aglomeraci Prahy. </w:t>
            </w:r>
          </w:p>
          <w:p w14:paraId="0B5B2AD7" w14:textId="1EAAC3AA" w:rsidR="00F90A81" w:rsidRPr="006B3F59" w:rsidRDefault="00F90A81" w:rsidP="00445EBD">
            <w:pPr>
              <w:pStyle w:val="Odstavecseseznamem"/>
              <w:autoSpaceDE w:val="0"/>
              <w:autoSpaceDN w:val="0"/>
              <w:adjustRightInd w:val="0"/>
              <w:spacing w:after="120"/>
              <w:ind w:left="0"/>
              <w:contextualSpacing w:val="0"/>
              <w:rPr>
                <w:rFonts w:cs="Arial"/>
                <w:bCs/>
              </w:rPr>
            </w:pPr>
            <w:r w:rsidRPr="006B3F59">
              <w:rPr>
                <w:rFonts w:cs="Arial"/>
                <w:bCs/>
              </w:rPr>
              <w:t xml:space="preserve">Je zřejmé, že změna ÚP SÚ hl. m. Prahy kodifikující tramvajovou trať a urbanizaci souvisejícího území mění částečně i podmínky pro přípravu stavby č. 518 SOKP, </w:t>
            </w:r>
            <w:r w:rsidRPr="006B3F59">
              <w:rPr>
                <w:rFonts w:cs="Arial"/>
                <w:bCs/>
              </w:rPr>
              <w:lastRenderedPageBreak/>
              <w:t>viz např. doporučení pro úpravu napojení MÚK Výhledy k silnici II/241, resp. ulici Kamýck</w:t>
            </w:r>
            <w:r w:rsidR="00BA366F" w:rsidRPr="006B3F59">
              <w:rPr>
                <w:rFonts w:cs="Arial"/>
                <w:bCs/>
              </w:rPr>
              <w:t xml:space="preserve">ou. Do </w:t>
            </w:r>
            <w:r w:rsidR="00C22790" w:rsidRPr="006B3F59">
              <w:rPr>
                <w:rFonts w:cs="Arial"/>
                <w:bCs/>
              </w:rPr>
              <w:t xml:space="preserve">návrhu změny </w:t>
            </w:r>
            <w:r w:rsidR="00BA366F" w:rsidRPr="006B3F59">
              <w:rPr>
                <w:rFonts w:cs="Arial"/>
                <w:bCs/>
              </w:rPr>
              <w:t xml:space="preserve">územního </w:t>
            </w:r>
            <w:r w:rsidRPr="006B3F59">
              <w:rPr>
                <w:rFonts w:cs="Arial"/>
                <w:bCs/>
              </w:rPr>
              <w:t>plánu</w:t>
            </w:r>
            <w:r w:rsidR="00BA366F" w:rsidRPr="006B3F59">
              <w:rPr>
                <w:rFonts w:cs="Arial"/>
                <w:bCs/>
              </w:rPr>
              <w:t xml:space="preserve"> je</w:t>
            </w:r>
            <w:r w:rsidRPr="006B3F59">
              <w:rPr>
                <w:rFonts w:cs="Arial"/>
                <w:bCs/>
              </w:rPr>
              <w:t xml:space="preserve"> propsáno řešení, které umožní zachovat všesměrné napojení území Suchdola, resp. Lysolají, k PO v uzlu Kamýcká/Rybářka a zároveň se maximalizuje vzdálenost portálu tunelu Rybářka od stávající obytné zástavby. Řešení spočívá v oddálení trasy tunelu Rybářka </w:t>
            </w:r>
            <w:r w:rsidR="00B50B23">
              <w:rPr>
                <w:rFonts w:cs="Arial"/>
                <w:bCs/>
              </w:rPr>
              <w:t xml:space="preserve">východním </w:t>
            </w:r>
            <w:r w:rsidRPr="006B3F59">
              <w:rPr>
                <w:rFonts w:cs="Arial"/>
                <w:bCs/>
              </w:rPr>
              <w:t>směrem na okraj koridoru definovaného platnými ZUR hl. m. Prahy. Toto uspořádání umožní oddálit jak hlavní trasu přivaděče, tak i vyústění/portál tunelu do co největší vzdálenosti od stávající obytné zástavby. Dále je navržena všesměrná styková křižovatka Kamýcká – tunel Rybářka. Ta bude řízena formou světelné signalizace.</w:t>
            </w:r>
          </w:p>
          <w:p w14:paraId="4387367F" w14:textId="42B9A687" w:rsidR="00F90A81" w:rsidRPr="006B3F59" w:rsidRDefault="00F90A81" w:rsidP="00445EBD">
            <w:pPr>
              <w:pStyle w:val="Odstavecseseznamem"/>
              <w:autoSpaceDE w:val="0"/>
              <w:autoSpaceDN w:val="0"/>
              <w:adjustRightInd w:val="0"/>
              <w:spacing w:after="120"/>
              <w:ind w:left="0"/>
              <w:contextualSpacing w:val="0"/>
              <w:rPr>
                <w:rFonts w:cs="Arial"/>
                <w:bCs/>
              </w:rPr>
            </w:pPr>
            <w:r w:rsidRPr="006B3F59">
              <w:rPr>
                <w:rFonts w:cs="Arial"/>
                <w:bCs/>
              </w:rPr>
              <w:t>V souvislosti se změnou územního plánu a vymezení terminálu Výhledy s obsluhou autobusy a realizací parkoviště v systému P+R jsou navrženy dílčí změny v organizaci a vedení sítě obslužných komunikací ve vazbě na MÚK Výhledy. Ve vyjádřených prvcích s průmětem na úrovni ÚP SÚ hl. m. Prahy se nově vymezují dílčí související přeložky ulic/veřejných prostranství (DU) a sítí technického vybavení území.</w:t>
            </w:r>
          </w:p>
          <w:p w14:paraId="35428F69" w14:textId="08F5592D" w:rsidR="00F90A81" w:rsidRPr="006B3F59" w:rsidRDefault="00F90A81" w:rsidP="00445EBD">
            <w:pPr>
              <w:pStyle w:val="Odstavecseseznamem"/>
              <w:autoSpaceDE w:val="0"/>
              <w:autoSpaceDN w:val="0"/>
              <w:adjustRightInd w:val="0"/>
              <w:spacing w:after="120"/>
              <w:ind w:left="0"/>
              <w:contextualSpacing w:val="0"/>
              <w:rPr>
                <w:rFonts w:cs="Arial"/>
                <w:bCs/>
              </w:rPr>
            </w:pPr>
            <w:r w:rsidRPr="006B3F59">
              <w:rPr>
                <w:rFonts w:cs="Arial"/>
                <w:bCs/>
              </w:rPr>
              <w:t xml:space="preserve">Záchyt vozidel na příjezdu do Prahy je možné v důsledku navržené koncepce řešit právě společně s připravovanou výstavbou tramvajové trati – návrh parkoviště P+R u konečné stanice na Výhledech. Urbanistická studie </w:t>
            </w:r>
            <w:r w:rsidR="007408AB" w:rsidRPr="006B3F59">
              <w:t>Nový Sedlec, IPR Praha, 12/2021</w:t>
            </w:r>
            <w:r w:rsidRPr="006B3F59">
              <w:rPr>
                <w:rFonts w:cs="Arial"/>
                <w:bCs/>
              </w:rPr>
              <w:t>doporučuje jeho etapizovanou realizaci, kdy zpočátku by mělo jít zejména o plochy parkování na povrchu bez stavebních konstrukcí. Poslední fáze rozšíření P+R, doplnění pozemního parkování (. Samotná plocha pro parkovací stání</w:t>
            </w:r>
            <w:r w:rsidR="00A455DE">
              <w:rPr>
                <w:rFonts w:cs="Arial"/>
                <w:bCs/>
              </w:rPr>
              <w:t xml:space="preserve"> na povrchu</w:t>
            </w:r>
            <w:r w:rsidRPr="006B3F59">
              <w:rPr>
                <w:rFonts w:cs="Arial"/>
                <w:bCs/>
              </w:rPr>
              <w:t xml:space="preserve"> by měla být řešena formou propustných ozelenitelných systémů. Předpokládaná kapacita parkovišť je s ohledem na možnou etapizaci záměru cílena na 130–800 parkovacích stání. P+R by mělo být realizováno postupně od ploch nejblíže terminálu a následně od zástavby dále. V první etapě by mohla vzniknout dvě pozemní parkoviště o kapacitě cca 250 parkovacích stání.</w:t>
            </w:r>
          </w:p>
          <w:p w14:paraId="72D1C9B5" w14:textId="5F0509E3" w:rsidR="00F90A81" w:rsidRPr="006B3F59" w:rsidRDefault="00F90A81" w:rsidP="00445EBD">
            <w:pPr>
              <w:pStyle w:val="Odstavecseseznamem"/>
              <w:autoSpaceDE w:val="0"/>
              <w:autoSpaceDN w:val="0"/>
              <w:adjustRightInd w:val="0"/>
              <w:spacing w:after="120"/>
              <w:ind w:left="-9"/>
              <w:contextualSpacing w:val="0"/>
              <w:rPr>
                <w:rFonts w:cs="Arial"/>
                <w:bCs/>
                <w:u w:val="single"/>
              </w:rPr>
            </w:pPr>
            <w:r w:rsidRPr="006B3F59">
              <w:rPr>
                <w:rFonts w:cs="Arial"/>
                <w:bCs/>
                <w:u w:val="single"/>
              </w:rPr>
              <w:t>Koncepce technické infrastruktury:</w:t>
            </w:r>
          </w:p>
          <w:p w14:paraId="558490DA" w14:textId="5F592DCB" w:rsidR="00F90A81" w:rsidRPr="006B3F59" w:rsidRDefault="00F90A81" w:rsidP="00445EBD">
            <w:pPr>
              <w:pStyle w:val="Odstavecseseznamem"/>
              <w:autoSpaceDE w:val="0"/>
              <w:autoSpaceDN w:val="0"/>
              <w:adjustRightInd w:val="0"/>
              <w:spacing w:after="120"/>
              <w:ind w:left="-11"/>
              <w:contextualSpacing w:val="0"/>
              <w:rPr>
                <w:rFonts w:cs="Arial"/>
                <w:bCs/>
              </w:rPr>
            </w:pPr>
            <w:r w:rsidRPr="006B3F59">
              <w:rPr>
                <w:rFonts w:cs="Arial"/>
                <w:bCs/>
              </w:rPr>
              <w:t xml:space="preserve">V souvislosti s navrhovanou zástavbou a dopravním řešením v oblasti Výhledy je v této lokalitě navrhována změna přeložek sítí a zařízení technické infrastruktury oproti platnému územnímu plánu. Konkrétně se jedná o přeložky VTL plynovodů č. 41 DN 500 a č. 153 DN 300 (VPS 11ITPI47). Navazující změna trasy přeložky VTL plynovodu č. 41 DN 500 podél Pražského okruhu západně od území změny bude řešena v rámci změny Z 2784/00, jejíž předmětem je zanesení staveb č. 518 a 519 SOKP (Pražský silniční okruh) do územního plánu dle projektové dokumentace k územnímu řízení. </w:t>
            </w:r>
          </w:p>
          <w:p w14:paraId="59B5CFA3" w14:textId="77777777" w:rsidR="00F90A81" w:rsidRPr="006B3F59" w:rsidRDefault="00F90A81" w:rsidP="00445EBD">
            <w:pPr>
              <w:pStyle w:val="Odstavecseseznamem"/>
              <w:autoSpaceDE w:val="0"/>
              <w:autoSpaceDN w:val="0"/>
              <w:adjustRightInd w:val="0"/>
              <w:spacing w:after="120"/>
              <w:ind w:left="-11"/>
              <w:contextualSpacing w:val="0"/>
              <w:rPr>
                <w:rFonts w:cs="Arial"/>
                <w:bCs/>
              </w:rPr>
            </w:pPr>
            <w:r w:rsidRPr="006B3F59">
              <w:rPr>
                <w:rFonts w:cs="Arial"/>
                <w:bCs/>
              </w:rPr>
              <w:t>Dále je navrhováno přeložení stávající VTL RS č. 378 Suchdol II severním směrem za současnou ulici Dvorská. Připojení přeložené VTL RS bude řešeno na obě dvě překládané trasy VTL plynovodů č. 041 DN 500 i č. 153 DN 300. Přeložky VTL plynovodů si vyžádají další úpravy na plynovodní síti, které jsou mimo podrobnost územního plánu. Jedná se o náhradu řízené stanice katodové ochrany (SKAO), která je dosud připojena na stávající VTL plynovod č. 041 DN 500 v území v území západně u nové zástavby v ul. Holubí, dále dobudování STL výstupního plynovodu z přeložené VTL RS s propojením na stávající STL plynovodní síť.</w:t>
            </w:r>
          </w:p>
          <w:p w14:paraId="2EEB9541" w14:textId="77777777" w:rsidR="00F90A81" w:rsidRPr="006B3F59" w:rsidRDefault="00F90A81" w:rsidP="00445EBD">
            <w:pPr>
              <w:pStyle w:val="Odstavecseseznamem"/>
              <w:autoSpaceDE w:val="0"/>
              <w:autoSpaceDN w:val="0"/>
              <w:adjustRightInd w:val="0"/>
              <w:spacing w:after="120"/>
              <w:ind w:left="-11"/>
              <w:contextualSpacing w:val="0"/>
              <w:rPr>
                <w:rFonts w:cs="Arial"/>
                <w:bCs/>
              </w:rPr>
            </w:pPr>
            <w:r w:rsidRPr="006B3F59">
              <w:rPr>
                <w:rFonts w:cs="Arial"/>
                <w:bCs/>
              </w:rPr>
              <w:t>Dále je navrhována změna tras navrhovaných přeložek dvou dvojitých venkovních vedení 110 kV (VPS 22/TE/47). Vymezení přeložek, zejména v prostoru křižovatky Pražského silničního okruhu však není konečné a v rámci změny Z 2784/00 bude případně ještě upraveno. Rovněž není v rámci této změny řešena změna ve vymezení plochy /TVE/ pro umístění TR 110/22 kV Suchdol, toto bude rovněž upraveno v rámci změny Z 2784/00.</w:t>
            </w:r>
          </w:p>
          <w:p w14:paraId="1EC9ADD1" w14:textId="4F1391B2" w:rsidR="00F90A81" w:rsidRPr="006B3F59" w:rsidRDefault="00F90A81" w:rsidP="00445EBD">
            <w:pPr>
              <w:pStyle w:val="Odstavecseseznamem"/>
              <w:autoSpaceDE w:val="0"/>
              <w:autoSpaceDN w:val="0"/>
              <w:adjustRightInd w:val="0"/>
              <w:spacing w:after="120"/>
              <w:ind w:left="-11"/>
              <w:contextualSpacing w:val="0"/>
              <w:rPr>
                <w:rFonts w:cs="Arial"/>
                <w:bCs/>
              </w:rPr>
            </w:pPr>
            <w:r w:rsidRPr="006B3F59">
              <w:rPr>
                <w:rFonts w:cs="Arial"/>
                <w:bCs/>
              </w:rPr>
              <w:t xml:space="preserve">Pro zásobování vymezeného území pitnou vodou, tak aby bylo možno zásobovat odpovídající množství ekvivalentních obyvatel, je v oblasti Nového Sedlce navrhován nový vodovodní řad DN 300, který propojí stávající zásobní pásma 404 a 425. Změna ruší plochu /TVV/ v místě zrušeného vodojemu Sedlec a již nevyužívané plochy pro zásobování vodou. </w:t>
            </w:r>
          </w:p>
          <w:p w14:paraId="3A1DDE2D" w14:textId="77777777" w:rsidR="00F90A81" w:rsidRPr="006B3F59" w:rsidRDefault="00F90A81" w:rsidP="00445EBD">
            <w:pPr>
              <w:pStyle w:val="Odstavecseseznamem"/>
              <w:autoSpaceDE w:val="0"/>
              <w:autoSpaceDN w:val="0"/>
              <w:adjustRightInd w:val="0"/>
              <w:spacing w:after="120"/>
              <w:ind w:left="-11"/>
              <w:contextualSpacing w:val="0"/>
              <w:rPr>
                <w:rFonts w:cs="Arial"/>
                <w:bCs/>
              </w:rPr>
            </w:pPr>
            <w:r w:rsidRPr="006B3F59">
              <w:rPr>
                <w:rFonts w:cs="Arial"/>
                <w:bCs/>
              </w:rPr>
              <w:lastRenderedPageBreak/>
              <w:t xml:space="preserve">Změna dále navrhuje novou čerpací stanici odpadních vod ČS Kamýcká do ulice Roztocká. Tato nová čerpací stanice nahradí stávající ČS Suchdol v ulici Kamýcká, která bude z důvodu kolize s navrhovanou tramvajovou tratí zrušena. Část stávajícího výtlaku je navrhována ke zrušení. Nově je navrhována kanalizační stoka DN 300 od napojení na stávající kanalizační stoku v ulici Kamýcká k nově navrhované ČS Kamýcká a z plánované ČS Kamýcká je nově navrhován výtlak po ČS Lysolaje. </w:t>
            </w:r>
          </w:p>
          <w:p w14:paraId="26E1477B" w14:textId="77777777" w:rsidR="00F90A81" w:rsidRPr="006B3F59" w:rsidRDefault="00F90A81" w:rsidP="00445EBD">
            <w:pPr>
              <w:pStyle w:val="Odstavecseseznamem"/>
              <w:autoSpaceDE w:val="0"/>
              <w:autoSpaceDN w:val="0"/>
              <w:adjustRightInd w:val="0"/>
              <w:spacing w:after="120"/>
              <w:ind w:left="-11"/>
              <w:contextualSpacing w:val="0"/>
              <w:rPr>
                <w:rFonts w:cs="Arial"/>
                <w:bCs/>
              </w:rPr>
            </w:pPr>
            <w:r w:rsidRPr="006B3F59">
              <w:rPr>
                <w:rFonts w:cs="Arial"/>
                <w:bCs/>
              </w:rPr>
              <w:t>V souladu se změnou koncepce odkanalizování podstatné části Výhledů a Suchdola, ze které jsou doposud odpadní vody odváděny na ČOV Roztoky, je nově navrhována čerpací stanice odpadních vod ČS Brandejsův statek v ulici Na Mírách a výtlačná kanalizační stoka zakončená v ulici Kamýcká napojením na stávající kanalizaci v povodí ÚČOV. Změna nově vymezuje ve výkresu č. 9 stávající kanalizaci DN 300 v ulicích Kamýcká a V Sedlci tak, aby byla kanalizace napojená do povodí ÚČOV v oblasti Suchdola a Sedlce, včetně návrhů, jednoznačně vymezená v celém dotčeném území.</w:t>
            </w:r>
          </w:p>
          <w:p w14:paraId="2D95C3CF" w14:textId="76BBD85D" w:rsidR="00F90A81" w:rsidRPr="006B3F59" w:rsidRDefault="00F90A81" w:rsidP="00445EBD">
            <w:pPr>
              <w:pStyle w:val="Odstavecseseznamem"/>
              <w:autoSpaceDE w:val="0"/>
              <w:autoSpaceDN w:val="0"/>
              <w:adjustRightInd w:val="0"/>
              <w:spacing w:after="120"/>
              <w:ind w:left="-9"/>
              <w:contextualSpacing w:val="0"/>
              <w:rPr>
                <w:rFonts w:cs="Arial"/>
                <w:bCs/>
                <w:u w:val="single"/>
              </w:rPr>
            </w:pPr>
            <w:r w:rsidRPr="006B3F59">
              <w:rPr>
                <w:rFonts w:cs="Arial"/>
                <w:bCs/>
                <w:u w:val="single"/>
              </w:rPr>
              <w:t>Koncepce krajiny:</w:t>
            </w:r>
          </w:p>
          <w:p w14:paraId="2B7FF913" w14:textId="7DFC0871" w:rsidR="00F90A81" w:rsidRPr="006B3F59" w:rsidRDefault="00F90A81" w:rsidP="00445EBD">
            <w:pPr>
              <w:pStyle w:val="Odstavecseseznamem"/>
              <w:autoSpaceDE w:val="0"/>
              <w:autoSpaceDN w:val="0"/>
              <w:adjustRightInd w:val="0"/>
              <w:spacing w:after="120"/>
              <w:ind w:left="-9"/>
              <w:contextualSpacing w:val="0"/>
              <w:rPr>
                <w:rFonts w:cs="Arial"/>
                <w:bCs/>
              </w:rPr>
            </w:pPr>
            <w:r w:rsidRPr="006B3F59">
              <w:rPr>
                <w:rFonts w:cs="Arial"/>
                <w:bCs/>
              </w:rPr>
              <w:t xml:space="preserve">V souladu s podkladovou studií, a především v reakci na „Plán místního systému ekologické stability pro území hl. m. Prahy“ (plán ÚSES), který v roce 2021 poskytl odbor ochrany prostředí (OCP) MHMP jako oborový podklad pro územní plánování, dochází </w:t>
            </w:r>
            <w:r w:rsidR="00723CD3">
              <w:rPr>
                <w:rFonts w:cs="Arial"/>
                <w:bCs/>
              </w:rPr>
              <w:t xml:space="preserve">v území </w:t>
            </w:r>
            <w:r w:rsidRPr="006B3F59">
              <w:rPr>
                <w:rFonts w:cs="Arial"/>
                <w:bCs/>
              </w:rPr>
              <w:t>ke dvěma změnám ve vymezení ÚSES. První změnou jsou místní, upřesňující korekce průběhu nadregionálního biokoridoru N3/9 v oblasti Nového Sedlce a druhou změnou je vložení nového lokálního biocentra (označeného L1/428) do tohoto biokoridoru. Vymezení ÚSES tak reaguje nejen na nový plán ÚSES od OCP, ale zohledňuje v sobě také revizi nadregionálního ÚSES v Praze zpracovanou MŽP ČR v roce 2018 a zároveň nové změní metodiky MŽP ČR pro vymezování ÚSES z roku 2017. Korekce hranice ÚSES severně od ulice Kamýcké je pouze opravou nepřesnosti.</w:t>
            </w:r>
          </w:p>
          <w:p w14:paraId="67831B00" w14:textId="473A2FD6" w:rsidR="00F90A81" w:rsidRPr="006B3F59" w:rsidRDefault="00F90A81" w:rsidP="00445EBD">
            <w:pPr>
              <w:pStyle w:val="Odstavecseseznamem"/>
              <w:autoSpaceDE w:val="0"/>
              <w:autoSpaceDN w:val="0"/>
              <w:adjustRightInd w:val="0"/>
              <w:spacing w:after="120"/>
              <w:ind w:left="-9"/>
              <w:contextualSpacing w:val="0"/>
              <w:rPr>
                <w:rFonts w:cs="Arial"/>
                <w:bCs/>
              </w:rPr>
            </w:pPr>
            <w:r w:rsidRPr="006B3F59">
              <w:rPr>
                <w:rFonts w:cs="Arial"/>
                <w:bCs/>
              </w:rPr>
              <w:t>Změnou dojde k navýšení ploch celoměstského systému zeleně (CSZ) v rozsahu 16 268 m². Výměra stávajících ploch včetně navrhovaných s umístěním celoměstského systému zeleně činí 65 691 m² oproti rušeným plochám celoměstského systému zeleně, jejichž výměra činí 49 423 m². Tato úprava pozitivně ovlivní celkovou koncepci celoměstského systému zeleně v daném území a posílí jeho funkčnost. V lokalitě Výhledy prostupuje systém centrálním prostorem rozvojových území a zároveň posiluje pás v severní a západní části. V lokalitě Nový Sedlec je systém posílen především v okrajových částech od severu k jihu.</w:t>
            </w:r>
          </w:p>
          <w:p w14:paraId="4E6364A0" w14:textId="638EC0C7" w:rsidR="00F90A81" w:rsidRPr="006B3F59" w:rsidRDefault="00F90A81" w:rsidP="00D37CD9">
            <w:pPr>
              <w:pStyle w:val="Odstavecseseznamem"/>
              <w:autoSpaceDE w:val="0"/>
              <w:autoSpaceDN w:val="0"/>
              <w:adjustRightInd w:val="0"/>
              <w:spacing w:after="120"/>
              <w:ind w:left="-9"/>
              <w:contextualSpacing w:val="0"/>
              <w:rPr>
                <w:rFonts w:cs="Arial"/>
                <w:bCs/>
                <w:u w:val="single"/>
              </w:rPr>
            </w:pPr>
            <w:r w:rsidRPr="006B3F59">
              <w:rPr>
                <w:rFonts w:cs="Arial"/>
                <w:bCs/>
              </w:rPr>
              <w:t>Řešené území změny zasahuje do evropsky významné lokality (EVL) soustavy NATURA 2000 a přírodní památky (PP) Podbabské skály, kde ale dochází pouze k výše uvedeným korekcím vymezení ÚSES. Stejně tak v přírodním parku Šárka – Lysolaje není nadále uvažováno s rozvojem zastavitelných ploch. Plochy v ochranném pásmu PP jsou uspořádány tak, aby vytvářely pomyslné „nárazníkové pásmo“ mezi připravovanou zástavbou a tímto chráněným územím, a nedošlo tak k poškození předmětu ochrany PP. Součástí tohoto nárazníkového pásma jsou plochy /SO</w:t>
            </w:r>
            <w:r w:rsidR="00C82A97">
              <w:rPr>
                <w:rFonts w:cs="Arial"/>
                <w:bCs/>
              </w:rPr>
              <w:t>5,6</w:t>
            </w:r>
            <w:r w:rsidRPr="006B3F59">
              <w:rPr>
                <w:rFonts w:cs="Arial"/>
                <w:bCs/>
              </w:rPr>
              <w:t>/ pro rekreaci a plocha /VV/ představující rezervu pro školu.</w:t>
            </w:r>
          </w:p>
        </w:tc>
      </w:tr>
      <w:tr w:rsidR="0080128D" w:rsidRPr="006B3F59" w14:paraId="6104AD2F" w14:textId="77777777" w:rsidTr="00F7137A">
        <w:trPr>
          <w:trHeight w:val="385"/>
        </w:trPr>
        <w:tc>
          <w:tcPr>
            <w:tcW w:w="1083" w:type="pct"/>
            <w:shd w:val="clear" w:color="auto" w:fill="auto"/>
          </w:tcPr>
          <w:p w14:paraId="6245A168" w14:textId="1B968C63" w:rsidR="0080128D" w:rsidRPr="006B3F59" w:rsidRDefault="0080128D" w:rsidP="00BB3F6C">
            <w:pPr>
              <w:pStyle w:val="normln0"/>
              <w:snapToGrid w:val="0"/>
              <w:spacing w:before="40" w:afterLines="40" w:after="96"/>
              <w:jc w:val="left"/>
              <w:rPr>
                <w:rFonts w:ascii="Arial" w:hAnsi="Arial" w:cs="Arial"/>
                <w:sz w:val="20"/>
              </w:rPr>
            </w:pPr>
            <w:r w:rsidRPr="006B3F59">
              <w:rPr>
                <w:rFonts w:ascii="Arial" w:hAnsi="Arial" w:cs="Arial"/>
                <w:sz w:val="20"/>
              </w:rPr>
              <w:lastRenderedPageBreak/>
              <w:t>Grafické řešení</w:t>
            </w:r>
          </w:p>
        </w:tc>
        <w:tc>
          <w:tcPr>
            <w:tcW w:w="3917" w:type="pct"/>
            <w:shd w:val="clear" w:color="auto" w:fill="auto"/>
            <w:vAlign w:val="center"/>
          </w:tcPr>
          <w:p w14:paraId="7AF89EE9" w14:textId="40027BD6" w:rsidR="0080128D" w:rsidRPr="006B3F59" w:rsidRDefault="00D320E2" w:rsidP="009A44CB">
            <w:pPr>
              <w:pStyle w:val="Texttabulky"/>
              <w:ind w:hanging="110"/>
              <w:rPr>
                <w:noProof/>
                <w:sz w:val="20"/>
              </w:rPr>
            </w:pPr>
            <w:r w:rsidRPr="006B3F59">
              <w:rPr>
                <w:noProof/>
                <w:sz w:val="20"/>
              </w:rPr>
              <w:drawing>
                <wp:inline distT="0" distB="0" distL="0" distR="0" wp14:anchorId="3A5593FD" wp14:editId="2EF9038B">
                  <wp:extent cx="4732020" cy="5040728"/>
                  <wp:effectExtent l="0" t="0" r="0" b="7620"/>
                  <wp:docPr id="40" name="Obráze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735513" cy="5044449"/>
                          </a:xfrm>
                          <a:prstGeom prst="rect">
                            <a:avLst/>
                          </a:prstGeom>
                        </pic:spPr>
                      </pic:pic>
                    </a:graphicData>
                  </a:graphic>
                </wp:inline>
              </w:drawing>
            </w:r>
          </w:p>
          <w:p w14:paraId="35444FB5" w14:textId="0522DA94" w:rsidR="0080128D" w:rsidRPr="006B3F59" w:rsidRDefault="0080128D" w:rsidP="00BD7256">
            <w:pPr>
              <w:pStyle w:val="Obrnadpis"/>
            </w:pPr>
            <w:bookmarkStart w:id="49" w:name="_Toc138848191"/>
            <w:r w:rsidRPr="006B3F59">
              <w:t>Výkres č. 4 ÚPSÚ HLMP – plán využití ploch, platný sta</w:t>
            </w:r>
            <w:r w:rsidR="00266672">
              <w:t>v</w:t>
            </w:r>
            <w:r w:rsidR="00D320E2" w:rsidRPr="006B3F59">
              <w:t>, zdroj IPR, cit 30.3.2023</w:t>
            </w:r>
            <w:bookmarkEnd w:id="49"/>
            <w:r w:rsidRPr="006B3F59">
              <w:t xml:space="preserve">                             </w:t>
            </w:r>
          </w:p>
          <w:p w14:paraId="18B2B13E" w14:textId="596F2238" w:rsidR="0080128D" w:rsidRPr="006B3F59" w:rsidRDefault="00D320E2" w:rsidP="004B2524">
            <w:pPr>
              <w:pStyle w:val="normln0"/>
              <w:snapToGrid w:val="0"/>
              <w:spacing w:before="0"/>
              <w:ind w:hanging="65"/>
              <w:jc w:val="left"/>
              <w:rPr>
                <w:rFonts w:ascii="Arial" w:hAnsi="Arial" w:cs="Arial"/>
                <w:sz w:val="20"/>
              </w:rPr>
            </w:pPr>
            <w:r w:rsidRPr="006B3F59">
              <w:rPr>
                <w:rFonts w:ascii="Arial" w:hAnsi="Arial" w:cs="Arial"/>
                <w:noProof/>
                <w:sz w:val="20"/>
              </w:rPr>
              <w:lastRenderedPageBreak/>
              <w:drawing>
                <wp:inline distT="0" distB="0" distL="0" distR="0" wp14:anchorId="1780B1F6" wp14:editId="3F37E842">
                  <wp:extent cx="4652645" cy="6947535"/>
                  <wp:effectExtent l="0" t="0" r="0" b="5715"/>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652645" cy="6947535"/>
                          </a:xfrm>
                          <a:prstGeom prst="rect">
                            <a:avLst/>
                          </a:prstGeom>
                        </pic:spPr>
                      </pic:pic>
                    </a:graphicData>
                  </a:graphic>
                </wp:inline>
              </w:drawing>
            </w:r>
          </w:p>
          <w:p w14:paraId="1A464CE0" w14:textId="46547A9B" w:rsidR="0080128D" w:rsidRPr="006B3F59" w:rsidRDefault="001663EA" w:rsidP="00BD7256">
            <w:pPr>
              <w:pStyle w:val="Obrnadpis"/>
              <w:rPr>
                <w:rFonts w:eastAsia="Century Gothic"/>
              </w:rPr>
            </w:pPr>
            <w:bookmarkStart w:id="50" w:name="_Toc138848192"/>
            <w:r w:rsidRPr="006B3F59">
              <w:rPr>
                <w:rFonts w:eastAsia="Century Gothic"/>
              </w:rPr>
              <w:t>3827</w:t>
            </w:r>
            <w:r w:rsidR="00F80CDD" w:rsidRPr="006B3F59">
              <w:rPr>
                <w:rFonts w:eastAsia="Century Gothic"/>
              </w:rPr>
              <w:t>/00</w:t>
            </w:r>
            <w:r w:rsidR="0080128D" w:rsidRPr="006B3F59">
              <w:rPr>
                <w:rFonts w:eastAsia="Century Gothic"/>
              </w:rPr>
              <w:t xml:space="preserve"> Grafické řešení – měněné plochy</w:t>
            </w:r>
            <w:r w:rsidR="00D320E2" w:rsidRPr="006B3F59">
              <w:rPr>
                <w:rFonts w:eastAsia="Century Gothic"/>
              </w:rPr>
              <w:t>, zdroj: IPR</w:t>
            </w:r>
            <w:bookmarkEnd w:id="50"/>
          </w:p>
          <w:p w14:paraId="15FFED71" w14:textId="79BD6832" w:rsidR="0080128D" w:rsidRPr="006B3F59" w:rsidRDefault="007D5BBD" w:rsidP="0080128D">
            <w:pPr>
              <w:rPr>
                <w:szCs w:val="20"/>
                <w:lang w:eastAsia="cs-CZ"/>
              </w:rPr>
            </w:pPr>
            <w:r w:rsidRPr="006B3F59">
              <w:rPr>
                <w:noProof/>
                <w:szCs w:val="20"/>
                <w:lang w:eastAsia="cs-CZ"/>
              </w:rPr>
              <w:lastRenderedPageBreak/>
              <w:drawing>
                <wp:inline distT="0" distB="0" distL="0" distR="0" wp14:anchorId="7253416B" wp14:editId="7F019E6D">
                  <wp:extent cx="4652645" cy="6075045"/>
                  <wp:effectExtent l="0" t="0" r="0" b="1905"/>
                  <wp:docPr id="52" name="Obráze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652645" cy="6075045"/>
                          </a:xfrm>
                          <a:prstGeom prst="rect">
                            <a:avLst/>
                          </a:prstGeom>
                        </pic:spPr>
                      </pic:pic>
                    </a:graphicData>
                  </a:graphic>
                </wp:inline>
              </w:drawing>
            </w:r>
          </w:p>
          <w:p w14:paraId="244E0AE5" w14:textId="3C044A8D" w:rsidR="0080128D" w:rsidRPr="006B3F59" w:rsidRDefault="0080128D" w:rsidP="00BD7256">
            <w:pPr>
              <w:pStyle w:val="Obrnadpis"/>
            </w:pPr>
            <w:r w:rsidRPr="006B3F59">
              <w:t xml:space="preserve"> </w:t>
            </w:r>
            <w:bookmarkStart w:id="51" w:name="_Toc138848193"/>
            <w:r w:rsidRPr="006B3F59">
              <w:t>Promítnutí změny do výkresu č. 4 Plán využití ploch</w:t>
            </w:r>
            <w:r w:rsidR="00D320E2" w:rsidRPr="006B3F59">
              <w:t>, zdroj: IPR</w:t>
            </w:r>
            <w:bookmarkEnd w:id="51"/>
          </w:p>
        </w:tc>
      </w:tr>
      <w:tr w:rsidR="0080128D" w:rsidRPr="006B3F59" w14:paraId="41C17CB8" w14:textId="77777777" w:rsidTr="00F7137A">
        <w:trPr>
          <w:trHeight w:val="385"/>
        </w:trPr>
        <w:tc>
          <w:tcPr>
            <w:tcW w:w="1083" w:type="pct"/>
            <w:shd w:val="clear" w:color="auto" w:fill="auto"/>
          </w:tcPr>
          <w:p w14:paraId="29C0A967" w14:textId="47F8BEA7" w:rsidR="0080128D" w:rsidRPr="006B3F59" w:rsidRDefault="0080128D" w:rsidP="00BB3F6C">
            <w:pPr>
              <w:pStyle w:val="normln0"/>
              <w:snapToGrid w:val="0"/>
              <w:spacing w:before="40" w:afterLines="40" w:after="96"/>
              <w:jc w:val="left"/>
              <w:rPr>
                <w:rFonts w:ascii="Arial" w:hAnsi="Arial" w:cs="Arial"/>
                <w:sz w:val="20"/>
              </w:rPr>
            </w:pPr>
            <w:r w:rsidRPr="006B3F59">
              <w:rPr>
                <w:rFonts w:ascii="Arial" w:hAnsi="Arial" w:cs="Arial"/>
                <w:sz w:val="20"/>
              </w:rPr>
              <w:lastRenderedPageBreak/>
              <w:t>Územní souvislosti</w:t>
            </w:r>
            <w:r w:rsidR="00A455DE">
              <w:rPr>
                <w:rFonts w:ascii="Arial" w:hAnsi="Arial" w:cs="Arial"/>
                <w:sz w:val="20"/>
              </w:rPr>
              <w:t xml:space="preserve"> ve vazbě na podkladovou urbanistickou studii</w:t>
            </w:r>
          </w:p>
        </w:tc>
        <w:tc>
          <w:tcPr>
            <w:tcW w:w="3917" w:type="pct"/>
            <w:shd w:val="clear" w:color="auto" w:fill="auto"/>
            <w:vAlign w:val="center"/>
          </w:tcPr>
          <w:p w14:paraId="3CCC601C" w14:textId="3A4815FD" w:rsidR="007D5BBD" w:rsidRPr="006B3F59" w:rsidRDefault="007D5BBD" w:rsidP="002F612A">
            <w:r w:rsidRPr="006B3F59">
              <w:t>Řešené území na jihu navazuje na stávající tramvajovou smyčku v Podbabě a dále pokračuje Podbabskou a Roztockou ulicí až ke křižovatce s Kamýckou ulicí. Zde se rozšiřuje a umožňuje návrh zástavby v okolí nové tramvajové trati. Jedná se o lokalitu zvanou Nový Sedlec – jednu ze dvou oblastí, kde je předmětnou studií navržena nová zástavba. Jde o plochy vymezené ze severu Kamýckou ulicí, z východu železnicí, z jihu a jihovýchodu hranou Podbabských skal a Lysolajského údolí a na západě stávající zástavbou rodinných domů při ulici Nad Podbabskou skálou. Suchdolem prochází řešené území převážně v rozsahu Kamýcké ulice, kde je cílem prověřit možné uliční profily a případně upravit trasování tramvaje tak, aby odpovídalo dnešním standardům pro kvalitní veřejný prostor. Řešené území končí v oblasti nazvané Výhledy, kde se opět mírně rozšiřuje na dnes nezastavěné pozemky v majetku hl. m. Prahy mezi Kamýckou ulicí a zástavbou Starého Suchdola. V těchto místech (oblast označována jako Výhledy) má končit nová tramvajová trať smyčkou, která by měla být doplněna o objekty zejména drobné občanské vybavenosti a kapacitní parkování P+R pro zachycení části IAD ze Středočeského kraje.</w:t>
            </w:r>
          </w:p>
          <w:p w14:paraId="23505BC6" w14:textId="28454BF7" w:rsidR="00B72FE8" w:rsidRPr="006B3F59" w:rsidRDefault="00945CCF" w:rsidP="002F612A">
            <w:r w:rsidRPr="006B3F59">
              <w:rPr>
                <w:noProof/>
              </w:rPr>
              <w:lastRenderedPageBreak/>
              <w:drawing>
                <wp:inline distT="0" distB="0" distL="0" distR="0" wp14:anchorId="5B3F3D4C" wp14:editId="241F7F7A">
                  <wp:extent cx="4652645" cy="3862705"/>
                  <wp:effectExtent l="0" t="0" r="0" b="4445"/>
                  <wp:docPr id="58" name="Obráze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652645" cy="3862705"/>
                          </a:xfrm>
                          <a:prstGeom prst="rect">
                            <a:avLst/>
                          </a:prstGeom>
                        </pic:spPr>
                      </pic:pic>
                    </a:graphicData>
                  </a:graphic>
                </wp:inline>
              </w:drawing>
            </w:r>
          </w:p>
          <w:p w14:paraId="1758E6AA" w14:textId="2C174795" w:rsidR="00945CCF" w:rsidRPr="006B3F59" w:rsidRDefault="00945CCF" w:rsidP="00945CCF">
            <w:pPr>
              <w:pStyle w:val="Obrnadpis"/>
            </w:pPr>
            <w:bookmarkStart w:id="52" w:name="_Toc138848194"/>
            <w:r w:rsidRPr="006B3F59">
              <w:t>Orientační ideální struktura zástavby dle ÚS Nový Sedlec – rozvoj Sedlce v řešeném území, IPR, 11/2021</w:t>
            </w:r>
            <w:bookmarkEnd w:id="52"/>
          </w:p>
          <w:p w14:paraId="6115AB48" w14:textId="058000DA" w:rsidR="00945CCF" w:rsidRPr="006B3F59" w:rsidRDefault="00945CCF" w:rsidP="00945CCF">
            <w:r w:rsidRPr="006B3F59">
              <w:rPr>
                <w:noProof/>
              </w:rPr>
              <w:lastRenderedPageBreak/>
              <w:drawing>
                <wp:inline distT="0" distB="0" distL="0" distR="0" wp14:anchorId="1AAD4E90" wp14:editId="05ABB9F7">
                  <wp:extent cx="4652645" cy="4845685"/>
                  <wp:effectExtent l="0" t="0" r="0" b="0"/>
                  <wp:docPr id="57" name="Obráze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652645" cy="4845685"/>
                          </a:xfrm>
                          <a:prstGeom prst="rect">
                            <a:avLst/>
                          </a:prstGeom>
                        </pic:spPr>
                      </pic:pic>
                    </a:graphicData>
                  </a:graphic>
                </wp:inline>
              </w:drawing>
            </w:r>
          </w:p>
          <w:p w14:paraId="2D063947" w14:textId="6F13AE61" w:rsidR="00B72FE8" w:rsidRPr="006B3F59" w:rsidRDefault="00945CCF" w:rsidP="00B72FE8">
            <w:pPr>
              <w:pStyle w:val="Obrnadpis"/>
            </w:pPr>
            <w:bookmarkStart w:id="53" w:name="_Toc138848195"/>
            <w:r w:rsidRPr="006B3F59">
              <w:t xml:space="preserve">Orientační ideální struktura zástavby dle </w:t>
            </w:r>
            <w:r w:rsidR="00B72FE8" w:rsidRPr="006B3F59">
              <w:t xml:space="preserve">ÚS </w:t>
            </w:r>
            <w:r w:rsidRPr="006B3F59">
              <w:t>Nový Sedlec</w:t>
            </w:r>
            <w:r w:rsidR="00B72FE8" w:rsidRPr="006B3F59">
              <w:t xml:space="preserve"> </w:t>
            </w:r>
            <w:r w:rsidRPr="006B3F59">
              <w:t xml:space="preserve">– Výhledy </w:t>
            </w:r>
            <w:r w:rsidR="00B72FE8" w:rsidRPr="006B3F59">
              <w:t xml:space="preserve">v řešeném území, </w:t>
            </w:r>
            <w:r w:rsidRPr="006B3F59">
              <w:t>IPR, 11/2021</w:t>
            </w:r>
            <w:bookmarkEnd w:id="53"/>
          </w:p>
          <w:p w14:paraId="68F48E22" w14:textId="77777777" w:rsidR="00334F50" w:rsidRPr="006B3F59" w:rsidRDefault="00334F50" w:rsidP="00B53EC6">
            <w:r w:rsidRPr="006B3F59">
              <w:t xml:space="preserve">Řešené území je možno označit jako transformační (oblast Nového Sedlce) či rozvojové (Výhledy) a v budoucnu by mělo navázat na stabilní strukturu okolních sídel a doplnit jejich kompozici. </w:t>
            </w:r>
          </w:p>
          <w:p w14:paraId="7AB150B6" w14:textId="77777777" w:rsidR="00917F14" w:rsidRPr="006B3F59" w:rsidRDefault="00334F50" w:rsidP="00B53EC6">
            <w:r w:rsidRPr="006B3F59">
              <w:t xml:space="preserve">Nový Sedlec </w:t>
            </w:r>
          </w:p>
          <w:p w14:paraId="7D9AC023" w14:textId="1219C498" w:rsidR="00334F50" w:rsidRPr="006B3F59" w:rsidRDefault="00334F50" w:rsidP="00B53EC6">
            <w:r w:rsidRPr="006B3F59">
              <w:t>Dle navržené urbanistické struktury a její výšky byly</w:t>
            </w:r>
            <w:r w:rsidR="00770949" w:rsidRPr="006B3F59">
              <w:t xml:space="preserve"> v podkladové urbanistické studii</w:t>
            </w:r>
            <w:r w:rsidRPr="006B3F59">
              <w:t xml:space="preserve"> odvozeny kapacity nové zástavby v celkovém souhrnu cca 230 000 m</w:t>
            </w:r>
            <w:r w:rsidRPr="006B3F59">
              <w:rPr>
                <w:vertAlign w:val="superscript"/>
              </w:rPr>
              <w:t>2</w:t>
            </w:r>
            <w:r w:rsidRPr="006B3F59">
              <w:t xml:space="preserve"> hrubých podlažních ploch (přibližně 70 % bydlení), z nichž lze odhadnout, že potenciál řešeného území dává reálnou možnost pro přítomnost cca 3 300 obyvatel a cca 1 600 návštěvníků/pracovních míst.</w:t>
            </w:r>
          </w:p>
          <w:p w14:paraId="01F12AE2" w14:textId="77777777" w:rsidR="00334F50" w:rsidRPr="006B3F59" w:rsidRDefault="00334F50" w:rsidP="00B53EC6">
            <w:r w:rsidRPr="006B3F59">
              <w:t xml:space="preserve">Výhledy </w:t>
            </w:r>
          </w:p>
          <w:p w14:paraId="22394B3D" w14:textId="77777777" w:rsidR="00334F50" w:rsidRDefault="00334F50" w:rsidP="00B53EC6">
            <w:r w:rsidRPr="006B3F59">
              <w:t>Dle navrhované výšky a urbanistické struktury byly kapacity nové zástavby v této oblasti odvozeny v celkovém souhrnu cca 63 000 m</w:t>
            </w:r>
            <w:r w:rsidRPr="006B3F59">
              <w:rPr>
                <w:vertAlign w:val="superscript"/>
              </w:rPr>
              <w:t>2</w:t>
            </w:r>
            <w:r w:rsidRPr="006B3F59">
              <w:t xml:space="preserve"> hrubých podlažních ploch (přibližně 50 % bydlení). Z toho lze odhadnout, že potenciál řešeného území dává reálnou možnost pro přítomnost cca 700 obyvatel a cca 900 návštěvníků/pracovních míst.</w:t>
            </w:r>
          </w:p>
          <w:p w14:paraId="5F2FA45D" w14:textId="7947F574" w:rsidR="00A455DE" w:rsidRPr="006B3F59" w:rsidRDefault="00A455DE" w:rsidP="00B53EC6">
            <w:pPr>
              <w:rPr>
                <w:lang w:eastAsia="cs-CZ"/>
              </w:rPr>
            </w:pPr>
            <w:r>
              <w:t xml:space="preserve">Předmětná změna územního plánu, a tedy i její vyhodnocení vlivů na udržitelný rozvoj území promítá navrhované řešení do podrobnosti a metodiky územního plánu způsobem definovaným </w:t>
            </w:r>
            <w:r>
              <w:t>v jejím návrhu</w:t>
            </w:r>
            <w:r>
              <w:t xml:space="preserve">. Podkladová urbanistická stude slouží pouze jako rámec pro navrhované řešení, a jako taková není předmětem vyhodnocení vlivů na udržitelný rozvoj území. </w:t>
            </w:r>
          </w:p>
        </w:tc>
      </w:tr>
    </w:tbl>
    <w:p w14:paraId="732BA4B3" w14:textId="55011A1A" w:rsidR="00822FB1" w:rsidRPr="006B3F59" w:rsidRDefault="00822FB1" w:rsidP="0080128D">
      <w:pPr>
        <w:pStyle w:val="Nadpis3"/>
      </w:pPr>
      <w:bookmarkStart w:id="54" w:name="_Toc531606237"/>
      <w:bookmarkStart w:id="55" w:name="_Toc29298320"/>
      <w:bookmarkStart w:id="56" w:name="_Toc138848100"/>
      <w:r w:rsidRPr="006B3F59">
        <w:lastRenderedPageBreak/>
        <w:t>Hlavní cíle územně plánovací dokumentace</w:t>
      </w:r>
      <w:bookmarkEnd w:id="54"/>
      <w:bookmarkEnd w:id="55"/>
      <w:bookmarkEnd w:id="56"/>
    </w:p>
    <w:p w14:paraId="0525F21B" w14:textId="1C440740" w:rsidR="004B2524" w:rsidRPr="006B3F59" w:rsidRDefault="004B2524" w:rsidP="004B2524">
      <w:bookmarkStart w:id="57" w:name="_Toc531606238"/>
      <w:bookmarkStart w:id="58" w:name="_Toc29298321"/>
      <w:r w:rsidRPr="006B3F59">
        <w:t xml:space="preserve">Jedná se o Vyhodnocení vlivu na udržitelný rozvoj území pro změnu územního plánu Prahy vedenou pod označením Z </w:t>
      </w:r>
      <w:r w:rsidR="001663EA" w:rsidRPr="006B3F59">
        <w:t>3827</w:t>
      </w:r>
      <w:r w:rsidRPr="006B3F59">
        <w:t>/00. Cílem je vytvoření územních předpokladů pro transformaci ploch v</w:t>
      </w:r>
      <w:r w:rsidR="00BA366F" w:rsidRPr="006B3F59">
        <w:t> </w:t>
      </w:r>
      <w:r w:rsidRPr="006B3F59">
        <w:t>podobě</w:t>
      </w:r>
      <w:r w:rsidR="00BA366F" w:rsidRPr="006B3F59">
        <w:t xml:space="preserve"> prověření a přeskupení ploch platného územního plánu, koordinace rozvojových záměrů a vybavení území dopravní a technickou infrastrukturou</w:t>
      </w:r>
      <w:r w:rsidR="008F0489" w:rsidRPr="006B3F59">
        <w:t xml:space="preserve"> a plochami krajinné i sídelní zeleně, veřejných prostranství a vybavenosti.</w:t>
      </w:r>
    </w:p>
    <w:p w14:paraId="1BC5A70A" w14:textId="77777777" w:rsidR="004B2524" w:rsidRPr="006B3F59" w:rsidRDefault="004B2524" w:rsidP="004B2524">
      <w:r w:rsidRPr="006B3F59">
        <w:t xml:space="preserve">Předkládaná změna územního plánu je navržena v souladu s požadavky stavebního zákona s uplatněním §188 odst. 3. Změna zachovává prvky platného územního plánu v zájmu kontinuity a věcné i formální jednoty územního plánu. </w:t>
      </w:r>
      <w:r w:rsidRPr="006B3F59">
        <w:rPr>
          <w:rFonts w:cs="Arial"/>
        </w:rPr>
        <w:t>Regulativy funkčního a prostorového uspořádání území, obsažené v platném územním plánu, se návrhem předkládaných úprav nemění.</w:t>
      </w:r>
    </w:p>
    <w:p w14:paraId="08A5EB13" w14:textId="72431138" w:rsidR="004B2524" w:rsidRPr="006B3F59" w:rsidRDefault="004B2524" w:rsidP="004B2524">
      <w:r w:rsidRPr="006B3F59">
        <w:t xml:space="preserve">Jedná se tedy převážně o věcné úpravy platného územního plánu Hlavního města Prahy bez dopadu do systémových složek územního plánu, tj. regulativů funkčního využití ploch a cílů územního plánování obsažených </w:t>
      </w:r>
      <w:r w:rsidR="00BD79EE" w:rsidRPr="006B3F59">
        <w:t>v platné ÚPD</w:t>
      </w:r>
      <w:r w:rsidRPr="006B3F59">
        <w:t>.</w:t>
      </w:r>
    </w:p>
    <w:p w14:paraId="66003E4A" w14:textId="7C176F6D" w:rsidR="007862C2" w:rsidRPr="006B3F59" w:rsidRDefault="007862C2" w:rsidP="007862C2">
      <w:r w:rsidRPr="006B3F59">
        <w:t xml:space="preserve">Platný Územní plán </w:t>
      </w:r>
      <w:r w:rsidR="00182BFF" w:rsidRPr="006B3F59">
        <w:t>sídelního útvaru</w:t>
      </w:r>
      <w:r w:rsidRPr="006B3F59">
        <w:t xml:space="preserve"> hlavního města Prahy řeší funkční využití a uspořádání ploch na území hlavního města Prahy jako celku, stanoví základní zásady organizace území a postup při jeho využití při naplňování cílů a daností, obsažených v územních a hospodářských zásadách. Hlavní cíle územně plánovací dokumentace se navrhovanou změnou územního plánu, nijak nemění. Jedná se o následující cíle</w:t>
      </w:r>
      <w:r w:rsidR="00A455DE">
        <w:t xml:space="preserve"> dle textov</w:t>
      </w:r>
      <w:r w:rsidR="00641288">
        <w:t xml:space="preserve">é </w:t>
      </w:r>
      <w:r w:rsidR="00A455DE">
        <w:t xml:space="preserve">části </w:t>
      </w:r>
      <w:r w:rsidR="00641288">
        <w:t>Ú</w:t>
      </w:r>
      <w:r w:rsidR="00A455DE">
        <w:t>zemního plánu</w:t>
      </w:r>
      <w:r w:rsidR="00641288">
        <w:t xml:space="preserve"> sídelního útvaru hlavního města</w:t>
      </w:r>
      <w:r w:rsidR="00A455DE">
        <w:t xml:space="preserve"> Prahy</w:t>
      </w:r>
      <w:r w:rsidR="00641288">
        <w:t xml:space="preserve"> (úplné znění </w:t>
      </w:r>
      <w:r w:rsidR="00641288" w:rsidRPr="00641288">
        <w:t>účinné od 21.02.2023</w:t>
      </w:r>
      <w:proofErr w:type="gramStart"/>
      <w:r w:rsidR="00641288">
        <w:t>)</w:t>
      </w:r>
      <w:r w:rsidR="00A455DE">
        <w:t xml:space="preserve"> </w:t>
      </w:r>
      <w:r w:rsidRPr="006B3F59">
        <w:t>:</w:t>
      </w:r>
      <w:proofErr w:type="gramEnd"/>
      <w:r w:rsidRPr="006B3F59">
        <w:t xml:space="preserve"> </w:t>
      </w:r>
    </w:p>
    <w:p w14:paraId="32627C6B" w14:textId="77777777" w:rsidR="007862C2" w:rsidRPr="006B3F59" w:rsidRDefault="007862C2">
      <w:pPr>
        <w:pStyle w:val="Odstavecseseznamem"/>
        <w:numPr>
          <w:ilvl w:val="0"/>
          <w:numId w:val="21"/>
        </w:numPr>
      </w:pPr>
      <w:r w:rsidRPr="006B3F59">
        <w:t>ÚP řeší město s jeho 1 200 000 obyvateli jako politické, ekonomické a hospodářské centrum státu, centrum kultury, vzdělanosti, turismu, dopravní křižovatku evropského významu a centrum pracovních příležitostí a vybavenosti pražského regionu,</w:t>
      </w:r>
    </w:p>
    <w:p w14:paraId="074BDF0E" w14:textId="77777777" w:rsidR="007862C2" w:rsidRPr="006B3F59" w:rsidRDefault="007862C2">
      <w:pPr>
        <w:pStyle w:val="Odstavecseseznamem"/>
        <w:numPr>
          <w:ilvl w:val="0"/>
          <w:numId w:val="21"/>
        </w:numPr>
      </w:pPr>
      <w:r w:rsidRPr="006B3F59">
        <w:t>ÚP rozvíjí hlavní město Prahu jako harmonický celek zastavitelných a nezastavitelných území při respektování a ochraně přírodních, historických, architektonických a urbanistických hodnot,</w:t>
      </w:r>
    </w:p>
    <w:p w14:paraId="04B8C8D2" w14:textId="03B00883" w:rsidR="007862C2" w:rsidRPr="006B3F59" w:rsidRDefault="007862C2">
      <w:pPr>
        <w:pStyle w:val="Odstavecseseznamem"/>
        <w:numPr>
          <w:ilvl w:val="0"/>
          <w:numId w:val="21"/>
        </w:numPr>
      </w:pPr>
      <w:r w:rsidRPr="006B3F59">
        <w:t>ÚP respektuje jedinečný obraz města, který nelze dalším vývojem a výstavbou narušit a který je dán spolupůsobením konfigurace terénu, významného fenoménu řeky Vltavy s jejími ostrovy, přítoky a navazující krajinou a dochovanými kulturně historickými hodnotami, které se postupně po staletí utvářely,</w:t>
      </w:r>
    </w:p>
    <w:p w14:paraId="3FFCE4A0" w14:textId="77777777" w:rsidR="007862C2" w:rsidRPr="006B3F59" w:rsidRDefault="007862C2">
      <w:pPr>
        <w:pStyle w:val="Odstavecseseznamem"/>
        <w:numPr>
          <w:ilvl w:val="0"/>
          <w:numId w:val="21"/>
        </w:numPr>
      </w:pPr>
      <w:r w:rsidRPr="006B3F59">
        <w:t xml:space="preserve">ÚP respektuje především historické jádro města, vyhlášené jako Památková rezervace v hlavním městě Praze, zapsané v seznamu světového kulturního dědictví UNESCO, </w:t>
      </w:r>
    </w:p>
    <w:p w14:paraId="63DB9AC6" w14:textId="77777777" w:rsidR="007862C2" w:rsidRPr="006B3F59" w:rsidRDefault="007862C2">
      <w:pPr>
        <w:pStyle w:val="Odstavecseseznamem"/>
        <w:numPr>
          <w:ilvl w:val="0"/>
          <w:numId w:val="21"/>
        </w:numPr>
      </w:pPr>
      <w:r w:rsidRPr="006B3F59">
        <w:t>ÚP organizuje území, zejména decentralizuje komerční aktivity do soustavy sekundárních center a rozvíjí radiálně okružní systém komunikací s cílem snížit dopravní zatížení centrální části a zajistit podmínky pro udržitelný rozvoj.</w:t>
      </w:r>
    </w:p>
    <w:p w14:paraId="7ACD9729" w14:textId="13E7DA9D" w:rsidR="007862C2" w:rsidRPr="006B3F59" w:rsidRDefault="007862C2" w:rsidP="007862C2">
      <w:r w:rsidRPr="006B3F59">
        <w:t xml:space="preserve">Všechny tyto cíle zůstávají řešením </w:t>
      </w:r>
      <w:r w:rsidR="00B9398C" w:rsidRPr="006B3F59">
        <w:t>předkládané změny</w:t>
      </w:r>
      <w:r w:rsidR="00654469" w:rsidRPr="006B3F59">
        <w:t xml:space="preserve"> územního plánu</w:t>
      </w:r>
      <w:r w:rsidRPr="006B3F59">
        <w:t xml:space="preserve"> v platnosti a jsou v návrhu změny respektovány. </w:t>
      </w:r>
    </w:p>
    <w:p w14:paraId="2F52FFBC" w14:textId="77777777" w:rsidR="00794578" w:rsidRPr="006B3F59" w:rsidRDefault="00794578" w:rsidP="00A67277">
      <w:pPr>
        <w:pStyle w:val="Nadpis3"/>
      </w:pPr>
      <w:bookmarkStart w:id="59" w:name="_Toc138848101"/>
      <w:r w:rsidRPr="006B3F59">
        <w:t>Vztah k jiným koncepcím</w:t>
      </w:r>
      <w:bookmarkEnd w:id="57"/>
      <w:bookmarkEnd w:id="58"/>
      <w:bookmarkEnd w:id="59"/>
      <w:r w:rsidRPr="006B3F59">
        <w:t xml:space="preserve"> </w:t>
      </w:r>
    </w:p>
    <w:p w14:paraId="4AB9E7D3" w14:textId="3A98503A" w:rsidR="0006622B" w:rsidRPr="006B3F59" w:rsidRDefault="0006622B" w:rsidP="0006622B">
      <w:r w:rsidRPr="006B3F59">
        <w:t>V následujícím textu je uveden přehled nejdůležitějších relevantních strategických dokumentů – určení a vyhodnocení hlavních vazeb koncepce k těmto dokumentům bude předmětem dalšího postupu hodnocení.</w:t>
      </w:r>
    </w:p>
    <w:p w14:paraId="10744C28" w14:textId="77777777" w:rsidR="0006622B" w:rsidRPr="006B3F59" w:rsidRDefault="0006622B" w:rsidP="00B34C98">
      <w:r w:rsidRPr="006B3F59">
        <w:t xml:space="preserve">Cílem této kapitoly je zejména identifikace relevantních strategických dokumentů významných z hlediska životního prostředí majících vazbu k hodnocenému území. </w:t>
      </w:r>
    </w:p>
    <w:p w14:paraId="589A5DE4" w14:textId="77777777" w:rsidR="0006622B" w:rsidRPr="006B3F59" w:rsidRDefault="0006622B" w:rsidP="00B34C98">
      <w:r w:rsidRPr="006B3F59">
        <w:t>Vybrané dokumenty lze rozlišit dle rozsahu jejich územního působení na dokumenty na úrovni národních a regionálních koncepcí a plánů a dokumenty na úrovni lokálních koncepcí vztahující se přímo k řešenému území.</w:t>
      </w:r>
    </w:p>
    <w:p w14:paraId="3510D8FB" w14:textId="1A5EE5AD" w:rsidR="0006622B" w:rsidRPr="006B3F59" w:rsidRDefault="0006622B" w:rsidP="00B34C98">
      <w:pPr>
        <w:spacing w:after="120"/>
      </w:pPr>
      <w:r w:rsidRPr="006B3F59">
        <w:rPr>
          <w:rFonts w:cs="Arial"/>
          <w:szCs w:val="20"/>
        </w:rPr>
        <w:t xml:space="preserve">Vztah předkládané ÚPD vůči jiným koncepcím </w:t>
      </w:r>
      <w:r w:rsidRPr="006B3F59">
        <w:t xml:space="preserve">přijatým na vnitrostátní úrovni, které se vztahují k zájmovému území je možné charakterizovat dle následující stupnice: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2"/>
        <w:gridCol w:w="2385"/>
        <w:gridCol w:w="6293"/>
      </w:tblGrid>
      <w:tr w:rsidR="0006622B" w:rsidRPr="006B3F59" w14:paraId="318B0D06" w14:textId="77777777" w:rsidTr="0006622B">
        <w:tc>
          <w:tcPr>
            <w:tcW w:w="842" w:type="dxa"/>
            <w:shd w:val="clear" w:color="auto" w:fill="auto"/>
          </w:tcPr>
          <w:p w14:paraId="6260F743" w14:textId="77777777" w:rsidR="0006622B" w:rsidRPr="006B3F59" w:rsidRDefault="0006622B" w:rsidP="0006622B">
            <w:pPr>
              <w:pStyle w:val="Texttabulky"/>
              <w:spacing w:before="40" w:after="40"/>
              <w:rPr>
                <w:sz w:val="20"/>
              </w:rPr>
            </w:pPr>
            <w:r w:rsidRPr="006B3F59">
              <w:rPr>
                <w:sz w:val="20"/>
              </w:rPr>
              <w:t>3</w:t>
            </w:r>
          </w:p>
        </w:tc>
        <w:tc>
          <w:tcPr>
            <w:tcW w:w="2385" w:type="dxa"/>
            <w:shd w:val="clear" w:color="auto" w:fill="auto"/>
          </w:tcPr>
          <w:p w14:paraId="3CFABCA0" w14:textId="77777777" w:rsidR="0006622B" w:rsidRPr="006B3F59" w:rsidRDefault="0006622B" w:rsidP="0006622B">
            <w:pPr>
              <w:pStyle w:val="Texttabulky"/>
              <w:spacing w:before="40" w:after="40"/>
              <w:rPr>
                <w:sz w:val="20"/>
              </w:rPr>
            </w:pPr>
            <w:r w:rsidRPr="006B3F59">
              <w:rPr>
                <w:rFonts w:cs="Arial"/>
                <w:sz w:val="20"/>
              </w:rPr>
              <w:t>Velmi silný (přímý) vztah</w:t>
            </w:r>
          </w:p>
        </w:tc>
        <w:tc>
          <w:tcPr>
            <w:tcW w:w="6293" w:type="dxa"/>
            <w:shd w:val="clear" w:color="auto" w:fill="auto"/>
          </w:tcPr>
          <w:p w14:paraId="7A23268E" w14:textId="77777777" w:rsidR="0006622B" w:rsidRPr="006B3F59" w:rsidRDefault="0006622B" w:rsidP="0006622B">
            <w:pPr>
              <w:pStyle w:val="Texttabulky"/>
              <w:spacing w:before="40" w:after="40"/>
              <w:jc w:val="both"/>
              <w:rPr>
                <w:rFonts w:cs="Arial"/>
                <w:sz w:val="20"/>
              </w:rPr>
            </w:pPr>
            <w:r w:rsidRPr="006B3F59">
              <w:rPr>
                <w:rFonts w:cs="Arial"/>
                <w:sz w:val="20"/>
              </w:rPr>
              <w:t xml:space="preserve">Strategický dokument obsahuje podněty, požadavky nebo záměry </w:t>
            </w:r>
            <w:r w:rsidRPr="006B3F59">
              <w:rPr>
                <w:rFonts w:cs="Arial"/>
                <w:bCs/>
                <w:iCs/>
                <w:sz w:val="20"/>
              </w:rPr>
              <w:t>s konkrétně definovaným nárokem na změnu využití území, které se přímo promítají do posuzované ÚPD.</w:t>
            </w:r>
            <w:r w:rsidRPr="006B3F59">
              <w:rPr>
                <w:rFonts w:cs="Arial"/>
                <w:sz w:val="20"/>
              </w:rPr>
              <w:t xml:space="preserve"> Zahrnutí do platné ÚPD je </w:t>
            </w:r>
            <w:r w:rsidRPr="006B3F59">
              <w:rPr>
                <w:rFonts w:cs="Arial"/>
                <w:bCs/>
                <w:iCs/>
                <w:sz w:val="20"/>
              </w:rPr>
              <w:t xml:space="preserve">nezbytnou podmínkou </w:t>
            </w:r>
            <w:r w:rsidRPr="006B3F59">
              <w:rPr>
                <w:rFonts w:cs="Arial"/>
                <w:sz w:val="20"/>
              </w:rPr>
              <w:t>vyplývající z přijatého strategického dokumentu.</w:t>
            </w:r>
          </w:p>
        </w:tc>
      </w:tr>
      <w:tr w:rsidR="0006622B" w:rsidRPr="006B3F59" w14:paraId="15FB90D9" w14:textId="77777777" w:rsidTr="0006622B">
        <w:tc>
          <w:tcPr>
            <w:tcW w:w="842" w:type="dxa"/>
            <w:shd w:val="clear" w:color="auto" w:fill="auto"/>
          </w:tcPr>
          <w:p w14:paraId="3E7F6756" w14:textId="77777777" w:rsidR="0006622B" w:rsidRPr="006B3F59" w:rsidRDefault="0006622B" w:rsidP="0006622B">
            <w:pPr>
              <w:pStyle w:val="Texttabulky"/>
              <w:spacing w:before="40" w:after="40"/>
              <w:rPr>
                <w:sz w:val="20"/>
              </w:rPr>
            </w:pPr>
            <w:r w:rsidRPr="006B3F59">
              <w:rPr>
                <w:sz w:val="20"/>
              </w:rPr>
              <w:t>2</w:t>
            </w:r>
          </w:p>
        </w:tc>
        <w:tc>
          <w:tcPr>
            <w:tcW w:w="2385" w:type="dxa"/>
            <w:shd w:val="clear" w:color="auto" w:fill="auto"/>
          </w:tcPr>
          <w:p w14:paraId="38AC2503" w14:textId="77777777" w:rsidR="0006622B" w:rsidRPr="006B3F59" w:rsidRDefault="0006622B" w:rsidP="0006622B">
            <w:pPr>
              <w:pStyle w:val="Texttabulky"/>
              <w:spacing w:before="40" w:after="40"/>
              <w:rPr>
                <w:sz w:val="20"/>
              </w:rPr>
            </w:pPr>
            <w:r w:rsidRPr="006B3F59">
              <w:rPr>
                <w:rFonts w:cs="Arial"/>
                <w:sz w:val="20"/>
              </w:rPr>
              <w:t>Silný (přímý) vztah</w:t>
            </w:r>
          </w:p>
        </w:tc>
        <w:tc>
          <w:tcPr>
            <w:tcW w:w="6293" w:type="dxa"/>
            <w:shd w:val="clear" w:color="auto" w:fill="auto"/>
          </w:tcPr>
          <w:p w14:paraId="3F14A49A" w14:textId="77777777" w:rsidR="0006622B" w:rsidRPr="006B3F59" w:rsidRDefault="0006622B" w:rsidP="0006622B">
            <w:pPr>
              <w:pStyle w:val="Texttabulky"/>
              <w:spacing w:before="40" w:after="40"/>
              <w:jc w:val="both"/>
              <w:rPr>
                <w:rFonts w:cs="Arial"/>
                <w:sz w:val="20"/>
              </w:rPr>
            </w:pPr>
            <w:r w:rsidRPr="006B3F59">
              <w:rPr>
                <w:rFonts w:cs="Arial"/>
                <w:sz w:val="20"/>
              </w:rPr>
              <w:t xml:space="preserve">Strategický dokument </w:t>
            </w:r>
            <w:r w:rsidRPr="006B3F59">
              <w:rPr>
                <w:rFonts w:cs="Arial"/>
                <w:bCs/>
                <w:iCs/>
                <w:sz w:val="20"/>
              </w:rPr>
              <w:t xml:space="preserve">bez </w:t>
            </w:r>
            <w:r w:rsidRPr="006B3F59">
              <w:rPr>
                <w:rFonts w:cs="Arial"/>
                <w:sz w:val="20"/>
              </w:rPr>
              <w:t xml:space="preserve">konkrétně definovaných </w:t>
            </w:r>
            <w:r w:rsidRPr="006B3F59">
              <w:rPr>
                <w:rFonts w:cs="Arial"/>
                <w:bCs/>
                <w:iCs/>
                <w:sz w:val="20"/>
              </w:rPr>
              <w:t>nároků na změnu využití území</w:t>
            </w:r>
            <w:r w:rsidRPr="006B3F59">
              <w:rPr>
                <w:rFonts w:cs="Arial"/>
                <w:sz w:val="20"/>
              </w:rPr>
              <w:t xml:space="preserve">. </w:t>
            </w:r>
            <w:r w:rsidRPr="006B3F59">
              <w:rPr>
                <w:rFonts w:cs="Arial"/>
                <w:bCs/>
                <w:iCs/>
                <w:sz w:val="20"/>
              </w:rPr>
              <w:t xml:space="preserve">Do řešené ÚPD se promítají ve formě priorit, požadavků nebo podmínek (verbální výroky). </w:t>
            </w:r>
            <w:r w:rsidRPr="006B3F59">
              <w:rPr>
                <w:rFonts w:cs="Arial"/>
                <w:sz w:val="20"/>
              </w:rPr>
              <w:t>Realizace návrhu ÚPD není přímo závislá na přijatém strategickém dokumentu.</w:t>
            </w:r>
          </w:p>
        </w:tc>
      </w:tr>
      <w:tr w:rsidR="0006622B" w:rsidRPr="006B3F59" w14:paraId="6DCFFBB4" w14:textId="77777777" w:rsidTr="0006622B">
        <w:tc>
          <w:tcPr>
            <w:tcW w:w="842" w:type="dxa"/>
            <w:shd w:val="clear" w:color="auto" w:fill="auto"/>
          </w:tcPr>
          <w:p w14:paraId="6EF093B2" w14:textId="77777777" w:rsidR="0006622B" w:rsidRPr="006B3F59" w:rsidRDefault="0006622B" w:rsidP="0006622B">
            <w:pPr>
              <w:pStyle w:val="Texttabulky"/>
              <w:spacing w:before="40" w:after="40"/>
              <w:rPr>
                <w:sz w:val="20"/>
              </w:rPr>
            </w:pPr>
            <w:r w:rsidRPr="006B3F59">
              <w:rPr>
                <w:sz w:val="20"/>
              </w:rPr>
              <w:lastRenderedPageBreak/>
              <w:t>1</w:t>
            </w:r>
          </w:p>
        </w:tc>
        <w:tc>
          <w:tcPr>
            <w:tcW w:w="2385" w:type="dxa"/>
            <w:shd w:val="clear" w:color="auto" w:fill="auto"/>
          </w:tcPr>
          <w:p w14:paraId="1E5EFCB7" w14:textId="77777777" w:rsidR="0006622B" w:rsidRPr="006B3F59" w:rsidRDefault="0006622B" w:rsidP="0006622B">
            <w:pPr>
              <w:pStyle w:val="Texttabulky"/>
              <w:spacing w:before="40" w:after="40"/>
              <w:rPr>
                <w:sz w:val="20"/>
              </w:rPr>
            </w:pPr>
            <w:r w:rsidRPr="006B3F59">
              <w:rPr>
                <w:rFonts w:cs="Arial"/>
                <w:sz w:val="20"/>
              </w:rPr>
              <w:t>Slabý nebo nepřímý vztah</w:t>
            </w:r>
          </w:p>
        </w:tc>
        <w:tc>
          <w:tcPr>
            <w:tcW w:w="6293" w:type="dxa"/>
            <w:shd w:val="clear" w:color="auto" w:fill="auto"/>
          </w:tcPr>
          <w:p w14:paraId="3D11C56F" w14:textId="77777777" w:rsidR="0006622B" w:rsidRPr="006B3F59" w:rsidRDefault="0006622B" w:rsidP="0006622B">
            <w:pPr>
              <w:pStyle w:val="Texttabulky"/>
              <w:spacing w:before="40" w:after="40"/>
              <w:jc w:val="both"/>
              <w:rPr>
                <w:rFonts w:cs="Arial"/>
                <w:bCs/>
                <w:iCs/>
                <w:sz w:val="20"/>
              </w:rPr>
            </w:pPr>
            <w:r w:rsidRPr="006B3F59">
              <w:rPr>
                <w:rFonts w:cs="Arial"/>
                <w:sz w:val="20"/>
              </w:rPr>
              <w:t xml:space="preserve">Strategický dokument neobsahuje podněty, požadavky nebo záměry s přímou vazbou na „návrhovou“ ÚPD, je však </w:t>
            </w:r>
            <w:r w:rsidRPr="006B3F59">
              <w:rPr>
                <w:rFonts w:cs="Arial"/>
                <w:bCs/>
                <w:iCs/>
                <w:sz w:val="20"/>
              </w:rPr>
              <w:t>podkladem pro odůvodnění konkrétních návrhů.</w:t>
            </w:r>
          </w:p>
        </w:tc>
      </w:tr>
      <w:tr w:rsidR="0006622B" w:rsidRPr="006B3F59" w14:paraId="0C9D58E8" w14:textId="77777777" w:rsidTr="0006622B">
        <w:tc>
          <w:tcPr>
            <w:tcW w:w="842" w:type="dxa"/>
            <w:shd w:val="clear" w:color="auto" w:fill="auto"/>
          </w:tcPr>
          <w:p w14:paraId="5EF81410" w14:textId="77777777" w:rsidR="0006622B" w:rsidRPr="006B3F59" w:rsidRDefault="0006622B" w:rsidP="0006622B">
            <w:pPr>
              <w:pStyle w:val="Texttabulky"/>
              <w:spacing w:before="40" w:after="40"/>
              <w:rPr>
                <w:sz w:val="20"/>
              </w:rPr>
            </w:pPr>
            <w:r w:rsidRPr="006B3F59">
              <w:rPr>
                <w:sz w:val="20"/>
              </w:rPr>
              <w:t>0</w:t>
            </w:r>
          </w:p>
        </w:tc>
        <w:tc>
          <w:tcPr>
            <w:tcW w:w="2385" w:type="dxa"/>
            <w:shd w:val="clear" w:color="auto" w:fill="auto"/>
          </w:tcPr>
          <w:p w14:paraId="6E268466" w14:textId="77777777" w:rsidR="0006622B" w:rsidRPr="006B3F59" w:rsidRDefault="0006622B" w:rsidP="0006622B">
            <w:pPr>
              <w:pStyle w:val="Texttabulky"/>
              <w:spacing w:before="40" w:after="40"/>
              <w:rPr>
                <w:sz w:val="20"/>
              </w:rPr>
            </w:pPr>
            <w:r w:rsidRPr="006B3F59">
              <w:rPr>
                <w:rFonts w:cs="Arial"/>
                <w:sz w:val="20"/>
              </w:rPr>
              <w:t>Bez vztahu</w:t>
            </w:r>
          </w:p>
        </w:tc>
        <w:tc>
          <w:tcPr>
            <w:tcW w:w="6293" w:type="dxa"/>
            <w:shd w:val="clear" w:color="auto" w:fill="auto"/>
          </w:tcPr>
          <w:p w14:paraId="56B22E0C" w14:textId="77777777" w:rsidR="0006622B" w:rsidRPr="006B3F59" w:rsidRDefault="0006622B" w:rsidP="0006622B">
            <w:pPr>
              <w:pStyle w:val="Texttabulky"/>
              <w:spacing w:before="40" w:after="40"/>
              <w:jc w:val="both"/>
              <w:rPr>
                <w:sz w:val="20"/>
              </w:rPr>
            </w:pPr>
            <w:r w:rsidRPr="006B3F59">
              <w:rPr>
                <w:rFonts w:cs="Arial"/>
                <w:sz w:val="20"/>
              </w:rPr>
              <w:t>Strategický dokument neobsahuje podněty, požadavky nebo záměry, které vyžadují řešení v rámci řešené ÚPD.</w:t>
            </w:r>
          </w:p>
        </w:tc>
      </w:tr>
    </w:tbl>
    <w:p w14:paraId="5BBDC281" w14:textId="19DBC51A" w:rsidR="0006622B" w:rsidRPr="006B3F59" w:rsidRDefault="0006622B" w:rsidP="0006622B">
      <w:pPr>
        <w:rPr>
          <w:rFonts w:cs="Arial"/>
        </w:rPr>
      </w:pPr>
      <w:r w:rsidRPr="006B3F59">
        <w:rPr>
          <w:rFonts w:cs="Arial"/>
        </w:rPr>
        <w:t>Níže uvedené koncepční dokumenty, které jsou ve vztahu k řešené ÚPD klíčové, byly zpracovatelem SEA využity pro stanovení hodnotícího rámce, tj. pro výběr sady referenčních cílů životního prostředí viz kapitola A.VI.1. Podrobná charakteristika vybraných, z hlediska SEA nejdůležitějších koncepcí, je uvedena v kapitole A.II.1.</w:t>
      </w:r>
    </w:p>
    <w:p w14:paraId="3F6664BA" w14:textId="4D3F8844" w:rsidR="0006622B" w:rsidRPr="006B3F59" w:rsidRDefault="0006622B" w:rsidP="0006622B">
      <w:r w:rsidRPr="006B3F59">
        <w:rPr>
          <w:rFonts w:cs="Arial"/>
        </w:rPr>
        <w:t>V</w:t>
      </w:r>
      <w:r w:rsidRPr="006B3F59">
        <w:t>ztah přijatých strategických dokumentů na vnitrostátní úrovni vůči řešení posuzované ÚPD je možné charakterizovat následovně:</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0"/>
        <w:gridCol w:w="1134"/>
        <w:gridCol w:w="5384"/>
      </w:tblGrid>
      <w:tr w:rsidR="0006622B" w:rsidRPr="006B3F59" w14:paraId="19370938" w14:textId="77777777" w:rsidTr="00B34C98">
        <w:trPr>
          <w:trHeight w:val="295"/>
          <w:tblHeader/>
        </w:trPr>
        <w:tc>
          <w:tcPr>
            <w:tcW w:w="1615" w:type="pct"/>
            <w:vMerge w:val="restart"/>
            <w:shd w:val="clear" w:color="auto" w:fill="595959" w:themeFill="text1" w:themeFillTint="A6"/>
            <w:noWrap/>
            <w:vAlign w:val="center"/>
            <w:hideMark/>
          </w:tcPr>
          <w:p w14:paraId="1ECDDD9D" w14:textId="77777777" w:rsidR="0006622B" w:rsidRPr="006B3F59" w:rsidRDefault="0006622B" w:rsidP="00B34C98">
            <w:pPr>
              <w:pStyle w:val="Texttabulky"/>
              <w:spacing w:before="40" w:after="40"/>
              <w:rPr>
                <w:b/>
                <w:color w:val="FFFFFF" w:themeColor="background1"/>
                <w:szCs w:val="16"/>
              </w:rPr>
            </w:pPr>
            <w:r w:rsidRPr="006B3F59">
              <w:rPr>
                <w:b/>
                <w:color w:val="FFFFFF" w:themeColor="background1"/>
                <w:szCs w:val="16"/>
              </w:rPr>
              <w:t>Strategický dokument</w:t>
            </w:r>
          </w:p>
        </w:tc>
        <w:tc>
          <w:tcPr>
            <w:tcW w:w="589" w:type="pct"/>
            <w:shd w:val="clear" w:color="auto" w:fill="595959" w:themeFill="text1" w:themeFillTint="A6"/>
            <w:noWrap/>
            <w:hideMark/>
          </w:tcPr>
          <w:p w14:paraId="5ABB853C" w14:textId="77777777" w:rsidR="0006622B" w:rsidRPr="006B3F59" w:rsidRDefault="0006622B" w:rsidP="00B34C98">
            <w:pPr>
              <w:pStyle w:val="Texttabulky"/>
              <w:spacing w:before="40" w:after="40"/>
              <w:jc w:val="center"/>
              <w:rPr>
                <w:b/>
                <w:color w:val="FFFFFF" w:themeColor="background1"/>
                <w:szCs w:val="16"/>
              </w:rPr>
            </w:pPr>
            <w:r w:rsidRPr="006B3F59">
              <w:rPr>
                <w:b/>
                <w:color w:val="FFFFFF" w:themeColor="background1"/>
                <w:szCs w:val="16"/>
              </w:rPr>
              <w:t>Vyjádření vztahu vůči hodnocené ÚPD</w:t>
            </w:r>
          </w:p>
        </w:tc>
        <w:tc>
          <w:tcPr>
            <w:tcW w:w="2796" w:type="pct"/>
            <w:vMerge w:val="restart"/>
            <w:shd w:val="clear" w:color="auto" w:fill="595959" w:themeFill="text1" w:themeFillTint="A6"/>
            <w:vAlign w:val="center"/>
          </w:tcPr>
          <w:p w14:paraId="66F32749" w14:textId="77777777" w:rsidR="0006622B" w:rsidRPr="006B3F59" w:rsidRDefault="0006622B" w:rsidP="00B34C98">
            <w:pPr>
              <w:pStyle w:val="Texttabulky"/>
              <w:spacing w:before="40" w:after="40"/>
              <w:jc w:val="center"/>
              <w:rPr>
                <w:b/>
                <w:color w:val="FFFFFF" w:themeColor="background1"/>
                <w:szCs w:val="16"/>
              </w:rPr>
            </w:pPr>
            <w:r w:rsidRPr="006B3F59">
              <w:rPr>
                <w:b/>
                <w:color w:val="FFFFFF" w:themeColor="background1"/>
                <w:szCs w:val="16"/>
              </w:rPr>
              <w:t>Komentář</w:t>
            </w:r>
          </w:p>
        </w:tc>
      </w:tr>
      <w:tr w:rsidR="0006622B" w:rsidRPr="006B3F59" w14:paraId="28EF5356" w14:textId="77777777" w:rsidTr="00B34C98">
        <w:trPr>
          <w:trHeight w:val="294"/>
          <w:tblHeader/>
        </w:trPr>
        <w:tc>
          <w:tcPr>
            <w:tcW w:w="1615" w:type="pct"/>
            <w:vMerge/>
            <w:shd w:val="clear" w:color="auto" w:fill="595959" w:themeFill="text1" w:themeFillTint="A6"/>
            <w:noWrap/>
            <w:vAlign w:val="center"/>
          </w:tcPr>
          <w:p w14:paraId="6F6959D2" w14:textId="77777777" w:rsidR="0006622B" w:rsidRPr="006B3F59" w:rsidRDefault="0006622B" w:rsidP="00B34C98">
            <w:pPr>
              <w:pStyle w:val="Texttabulky"/>
              <w:spacing w:before="40" w:after="40"/>
              <w:rPr>
                <w:b/>
                <w:color w:val="FFFFFF" w:themeColor="background1"/>
                <w:szCs w:val="16"/>
              </w:rPr>
            </w:pPr>
          </w:p>
        </w:tc>
        <w:tc>
          <w:tcPr>
            <w:tcW w:w="589" w:type="pct"/>
            <w:shd w:val="clear" w:color="auto" w:fill="595959" w:themeFill="text1" w:themeFillTint="A6"/>
            <w:noWrap/>
          </w:tcPr>
          <w:p w14:paraId="37A7BB23" w14:textId="0BDA8846" w:rsidR="0006622B" w:rsidRPr="006B3F59" w:rsidRDefault="0006622B" w:rsidP="00B34C98">
            <w:pPr>
              <w:pStyle w:val="Texttabulky"/>
              <w:spacing w:before="40" w:after="40"/>
              <w:jc w:val="center"/>
              <w:rPr>
                <w:b/>
                <w:color w:val="FFFFFF" w:themeColor="background1"/>
                <w:szCs w:val="16"/>
              </w:rPr>
            </w:pPr>
            <w:r w:rsidRPr="006B3F59">
              <w:rPr>
                <w:b/>
                <w:color w:val="FFFFFF" w:themeColor="background1"/>
                <w:szCs w:val="16"/>
              </w:rPr>
              <w:t xml:space="preserve">Z </w:t>
            </w:r>
            <w:r w:rsidR="001663EA" w:rsidRPr="006B3F59">
              <w:rPr>
                <w:b/>
                <w:color w:val="FFFFFF" w:themeColor="background1"/>
                <w:szCs w:val="16"/>
              </w:rPr>
              <w:t>3827</w:t>
            </w:r>
            <w:r w:rsidRPr="006B3F59">
              <w:rPr>
                <w:b/>
                <w:color w:val="FFFFFF" w:themeColor="background1"/>
                <w:szCs w:val="16"/>
              </w:rPr>
              <w:t>/00</w:t>
            </w:r>
          </w:p>
        </w:tc>
        <w:tc>
          <w:tcPr>
            <w:tcW w:w="2796" w:type="pct"/>
            <w:vMerge/>
            <w:shd w:val="clear" w:color="auto" w:fill="595959" w:themeFill="text1" w:themeFillTint="A6"/>
          </w:tcPr>
          <w:p w14:paraId="38C2EC48" w14:textId="77777777" w:rsidR="0006622B" w:rsidRPr="006B3F59" w:rsidRDefault="0006622B" w:rsidP="00B34C98">
            <w:pPr>
              <w:pStyle w:val="Texttabulky"/>
              <w:spacing w:before="40" w:after="40"/>
              <w:jc w:val="center"/>
              <w:rPr>
                <w:b/>
                <w:color w:val="FFFFFF" w:themeColor="background1"/>
                <w:szCs w:val="16"/>
              </w:rPr>
            </w:pPr>
          </w:p>
        </w:tc>
      </w:tr>
      <w:tr w:rsidR="0006622B" w:rsidRPr="006B3F59" w14:paraId="016B4792" w14:textId="77777777" w:rsidTr="00B34C98">
        <w:trPr>
          <w:trHeight w:val="149"/>
        </w:trPr>
        <w:tc>
          <w:tcPr>
            <w:tcW w:w="5000" w:type="pct"/>
            <w:gridSpan w:val="3"/>
            <w:shd w:val="clear" w:color="auto" w:fill="CFE7B2"/>
            <w:noWrap/>
            <w:vAlign w:val="center"/>
          </w:tcPr>
          <w:p w14:paraId="005CC12B" w14:textId="77777777" w:rsidR="0006622B" w:rsidRPr="006B3F59" w:rsidRDefault="0006622B" w:rsidP="00B34C98">
            <w:pPr>
              <w:pStyle w:val="Texttabulky"/>
              <w:spacing w:before="20" w:after="20"/>
              <w:jc w:val="center"/>
              <w:rPr>
                <w:rFonts w:cs="Arial"/>
                <w:b/>
                <w:szCs w:val="16"/>
              </w:rPr>
            </w:pPr>
            <w:r w:rsidRPr="006B3F59">
              <w:rPr>
                <w:rFonts w:cs="Arial"/>
                <w:b/>
                <w:szCs w:val="16"/>
              </w:rPr>
              <w:t>Národní úroveň</w:t>
            </w:r>
          </w:p>
        </w:tc>
      </w:tr>
      <w:tr w:rsidR="006B1923" w:rsidRPr="006B3F59" w14:paraId="1DD6035B" w14:textId="77777777" w:rsidTr="00B34C98">
        <w:trPr>
          <w:trHeight w:val="149"/>
        </w:trPr>
        <w:tc>
          <w:tcPr>
            <w:tcW w:w="1615" w:type="pct"/>
            <w:shd w:val="clear" w:color="auto" w:fill="auto"/>
            <w:noWrap/>
            <w:vAlign w:val="center"/>
            <w:hideMark/>
          </w:tcPr>
          <w:p w14:paraId="0BA56151" w14:textId="77777777" w:rsidR="006B1923" w:rsidRPr="006B3F59" w:rsidRDefault="006B1923" w:rsidP="006B1923">
            <w:pPr>
              <w:pStyle w:val="Odrky1"/>
              <w:rPr>
                <w:sz w:val="16"/>
                <w:szCs w:val="16"/>
              </w:rPr>
            </w:pPr>
            <w:r w:rsidRPr="006B3F59">
              <w:rPr>
                <w:sz w:val="16"/>
                <w:szCs w:val="16"/>
              </w:rPr>
              <w:t>Politika územního rozvoje ČR ve znění závazném od 1.9.2021</w:t>
            </w:r>
          </w:p>
        </w:tc>
        <w:tc>
          <w:tcPr>
            <w:tcW w:w="589" w:type="pct"/>
            <w:shd w:val="clear" w:color="auto" w:fill="auto"/>
            <w:noWrap/>
            <w:vAlign w:val="center"/>
            <w:hideMark/>
          </w:tcPr>
          <w:p w14:paraId="629327E5" w14:textId="4F1E9123" w:rsidR="006B1923" w:rsidRPr="006B3F59" w:rsidRDefault="006B1923" w:rsidP="006B1923">
            <w:pPr>
              <w:pStyle w:val="Texttabulky"/>
              <w:jc w:val="center"/>
              <w:rPr>
                <w:rFonts w:cs="Arial"/>
                <w:color w:val="auto"/>
                <w:szCs w:val="16"/>
              </w:rPr>
            </w:pPr>
            <w:r w:rsidRPr="006B3F59">
              <w:rPr>
                <w:rFonts w:cs="Arial"/>
                <w:color w:val="auto"/>
                <w:szCs w:val="16"/>
              </w:rPr>
              <w:t>2</w:t>
            </w:r>
          </w:p>
        </w:tc>
        <w:tc>
          <w:tcPr>
            <w:tcW w:w="2796" w:type="pct"/>
          </w:tcPr>
          <w:p w14:paraId="426E5595" w14:textId="627346A2" w:rsidR="006B1923" w:rsidRPr="006B3F59" w:rsidRDefault="006B1923" w:rsidP="006B1923">
            <w:pPr>
              <w:pStyle w:val="Texttabulky"/>
              <w:jc w:val="center"/>
              <w:rPr>
                <w:rFonts w:cs="Arial"/>
                <w:color w:val="auto"/>
                <w:szCs w:val="16"/>
              </w:rPr>
            </w:pPr>
            <w:r w:rsidRPr="006B3F59">
              <w:rPr>
                <w:rFonts w:cs="Arial"/>
                <w:color w:val="auto"/>
                <w:szCs w:val="16"/>
              </w:rPr>
              <w:t>Přímá silná vazba mezi posuzovanou koncepcí a Politikou územního rozvoje ČR. Posuzovaná koncepce přímo rozvíjí cíle PÚR v oblasti územního plánování z hlediska rozvoje transformačních území jako prevence suburbanizace.</w:t>
            </w:r>
          </w:p>
        </w:tc>
      </w:tr>
      <w:tr w:rsidR="006B1923" w:rsidRPr="006B3F59" w14:paraId="33B9E8F9" w14:textId="77777777" w:rsidTr="00B34C98">
        <w:trPr>
          <w:trHeight w:val="237"/>
        </w:trPr>
        <w:tc>
          <w:tcPr>
            <w:tcW w:w="1615" w:type="pct"/>
            <w:shd w:val="clear" w:color="auto" w:fill="auto"/>
            <w:noWrap/>
            <w:vAlign w:val="center"/>
            <w:hideMark/>
          </w:tcPr>
          <w:p w14:paraId="364B85D0" w14:textId="0CE72416" w:rsidR="006B1923" w:rsidRPr="006B3F59" w:rsidRDefault="006B1923" w:rsidP="006B1923">
            <w:pPr>
              <w:pStyle w:val="Odrky1"/>
              <w:rPr>
                <w:sz w:val="16"/>
                <w:szCs w:val="16"/>
              </w:rPr>
            </w:pPr>
            <w:r w:rsidRPr="006B3F59">
              <w:rPr>
                <w:sz w:val="16"/>
                <w:szCs w:val="16"/>
              </w:rPr>
              <w:t xml:space="preserve">Strategický </w:t>
            </w:r>
            <w:r w:rsidR="003577E4" w:rsidRPr="006B3F59">
              <w:rPr>
                <w:sz w:val="16"/>
                <w:szCs w:val="16"/>
              </w:rPr>
              <w:t>rámec – Česká</w:t>
            </w:r>
            <w:r w:rsidRPr="006B3F59">
              <w:rPr>
                <w:sz w:val="16"/>
                <w:szCs w:val="16"/>
              </w:rPr>
              <w:t xml:space="preserve"> republika 2030</w:t>
            </w:r>
          </w:p>
        </w:tc>
        <w:tc>
          <w:tcPr>
            <w:tcW w:w="589" w:type="pct"/>
            <w:shd w:val="clear" w:color="auto" w:fill="auto"/>
            <w:noWrap/>
            <w:vAlign w:val="center"/>
            <w:hideMark/>
          </w:tcPr>
          <w:p w14:paraId="0A59488B" w14:textId="078FA08A" w:rsidR="006B1923" w:rsidRPr="006B3F59" w:rsidRDefault="006B1923" w:rsidP="006B1923">
            <w:pPr>
              <w:pStyle w:val="Texttabulky"/>
              <w:jc w:val="center"/>
              <w:rPr>
                <w:rFonts w:cs="Arial"/>
                <w:color w:val="auto"/>
                <w:szCs w:val="16"/>
              </w:rPr>
            </w:pPr>
            <w:r w:rsidRPr="006B3F59">
              <w:rPr>
                <w:rFonts w:cs="Arial"/>
                <w:color w:val="auto"/>
                <w:szCs w:val="16"/>
              </w:rPr>
              <w:t>2</w:t>
            </w:r>
          </w:p>
        </w:tc>
        <w:tc>
          <w:tcPr>
            <w:tcW w:w="2796" w:type="pct"/>
          </w:tcPr>
          <w:p w14:paraId="1E40B704" w14:textId="4549BB6D" w:rsidR="006B1923" w:rsidRPr="006B3F59" w:rsidRDefault="006B1923" w:rsidP="006B1923">
            <w:pPr>
              <w:pStyle w:val="Texttabulky"/>
              <w:jc w:val="center"/>
              <w:rPr>
                <w:rFonts w:cs="Arial"/>
                <w:color w:val="auto"/>
                <w:szCs w:val="16"/>
              </w:rPr>
            </w:pPr>
            <w:r w:rsidRPr="006B3F59">
              <w:rPr>
                <w:rFonts w:cs="Arial"/>
                <w:color w:val="auto"/>
                <w:szCs w:val="16"/>
              </w:rPr>
              <w:t>Koncepce má přímý vztah především k prioritní oblasti infrastruktura</w:t>
            </w:r>
            <w:r w:rsidRPr="006B3F59">
              <w:rPr>
                <w:rFonts w:cs="Arial"/>
                <w:szCs w:val="16"/>
              </w:rPr>
              <w:t xml:space="preserve"> a v oblastech prevence suburbanizace a dostupnosti veřejných služeb a komunitního života v místě bydliště. </w:t>
            </w:r>
            <w:r w:rsidRPr="006B3F59">
              <w:t>Nepřímo negativně se projeví vazba vůči tématu 4.5 Adaptace na změnu klimatu – 1 snižuje se počet a intenzita městských tepelných ostrovů.</w:t>
            </w:r>
          </w:p>
        </w:tc>
      </w:tr>
      <w:tr w:rsidR="006B1923" w:rsidRPr="006B3F59" w14:paraId="4A4A0B78" w14:textId="77777777" w:rsidTr="00B34C98">
        <w:trPr>
          <w:trHeight w:val="269"/>
        </w:trPr>
        <w:tc>
          <w:tcPr>
            <w:tcW w:w="1615" w:type="pct"/>
            <w:shd w:val="clear" w:color="auto" w:fill="auto"/>
            <w:noWrap/>
            <w:vAlign w:val="center"/>
            <w:hideMark/>
          </w:tcPr>
          <w:p w14:paraId="7E2B6E19" w14:textId="77777777" w:rsidR="006B1923" w:rsidRPr="006B3F59" w:rsidRDefault="006B1923" w:rsidP="006B1923">
            <w:pPr>
              <w:pStyle w:val="Odrky1"/>
              <w:rPr>
                <w:sz w:val="16"/>
                <w:szCs w:val="16"/>
              </w:rPr>
            </w:pPr>
            <w:r w:rsidRPr="006B3F59">
              <w:rPr>
                <w:sz w:val="16"/>
                <w:szCs w:val="16"/>
              </w:rPr>
              <w:t xml:space="preserve">Strategie regionálního rozvoje ČR 2021+ </w:t>
            </w:r>
          </w:p>
        </w:tc>
        <w:tc>
          <w:tcPr>
            <w:tcW w:w="589" w:type="pct"/>
            <w:shd w:val="clear" w:color="auto" w:fill="auto"/>
            <w:noWrap/>
            <w:vAlign w:val="center"/>
            <w:hideMark/>
          </w:tcPr>
          <w:p w14:paraId="632BA686" w14:textId="2733E2E0" w:rsidR="006B1923" w:rsidRPr="006B3F59" w:rsidRDefault="006B1923" w:rsidP="006B1923">
            <w:pPr>
              <w:pStyle w:val="Texttabulky"/>
              <w:jc w:val="center"/>
              <w:rPr>
                <w:rFonts w:cs="Arial"/>
                <w:color w:val="auto"/>
                <w:szCs w:val="16"/>
              </w:rPr>
            </w:pPr>
            <w:r w:rsidRPr="006B3F59">
              <w:rPr>
                <w:rFonts w:cs="Arial"/>
                <w:color w:val="auto"/>
                <w:szCs w:val="16"/>
              </w:rPr>
              <w:t>1</w:t>
            </w:r>
          </w:p>
        </w:tc>
        <w:tc>
          <w:tcPr>
            <w:tcW w:w="2796" w:type="pct"/>
          </w:tcPr>
          <w:p w14:paraId="1CA03CD2" w14:textId="0F84C206" w:rsidR="006B1923" w:rsidRPr="006B3F59" w:rsidRDefault="006B1923" w:rsidP="006B1923">
            <w:pPr>
              <w:pStyle w:val="Texttabulky"/>
              <w:jc w:val="center"/>
              <w:rPr>
                <w:rFonts w:cs="Arial"/>
                <w:color w:val="auto"/>
                <w:szCs w:val="16"/>
              </w:rPr>
            </w:pPr>
            <w:r w:rsidRPr="006B3F59">
              <w:t>Posuzovaná koncepce má zprostředkovanou vazbu na cíl č. 10 Zajistit koordinovaný prostorový rozvoj.</w:t>
            </w:r>
          </w:p>
        </w:tc>
      </w:tr>
      <w:tr w:rsidR="006B1923" w:rsidRPr="006B3F59" w14:paraId="1324B3C3" w14:textId="77777777" w:rsidTr="00B34C98">
        <w:trPr>
          <w:trHeight w:val="287"/>
        </w:trPr>
        <w:tc>
          <w:tcPr>
            <w:tcW w:w="1615" w:type="pct"/>
            <w:shd w:val="clear" w:color="auto" w:fill="auto"/>
            <w:noWrap/>
            <w:vAlign w:val="center"/>
            <w:hideMark/>
          </w:tcPr>
          <w:p w14:paraId="15A6E9DD" w14:textId="77777777" w:rsidR="006B1923" w:rsidRPr="006B3F59" w:rsidRDefault="006B1923" w:rsidP="006B1923">
            <w:pPr>
              <w:pStyle w:val="Odrky1"/>
              <w:rPr>
                <w:sz w:val="16"/>
                <w:szCs w:val="16"/>
              </w:rPr>
            </w:pPr>
            <w:r w:rsidRPr="006B3F59">
              <w:rPr>
                <w:sz w:val="16"/>
                <w:szCs w:val="16"/>
              </w:rPr>
              <w:t>Zásady urbánní politiky ČR, aktualizace 2017</w:t>
            </w:r>
          </w:p>
        </w:tc>
        <w:tc>
          <w:tcPr>
            <w:tcW w:w="589" w:type="pct"/>
            <w:shd w:val="clear" w:color="auto" w:fill="auto"/>
            <w:noWrap/>
            <w:vAlign w:val="center"/>
            <w:hideMark/>
          </w:tcPr>
          <w:p w14:paraId="3F669302" w14:textId="628DF95C" w:rsidR="006B1923" w:rsidRPr="006B3F59" w:rsidRDefault="006B1923" w:rsidP="006B1923">
            <w:pPr>
              <w:pStyle w:val="Texttabulky"/>
              <w:jc w:val="center"/>
              <w:rPr>
                <w:rFonts w:cs="Arial"/>
                <w:color w:val="auto"/>
                <w:szCs w:val="16"/>
              </w:rPr>
            </w:pPr>
            <w:r w:rsidRPr="006B3F59">
              <w:rPr>
                <w:rFonts w:cs="Arial"/>
                <w:color w:val="auto"/>
                <w:szCs w:val="16"/>
              </w:rPr>
              <w:t>1</w:t>
            </w:r>
          </w:p>
        </w:tc>
        <w:tc>
          <w:tcPr>
            <w:tcW w:w="2796" w:type="pct"/>
          </w:tcPr>
          <w:p w14:paraId="5D2297C1" w14:textId="7B699847" w:rsidR="006B1923" w:rsidRPr="006B3F59" w:rsidRDefault="006B1923" w:rsidP="006B1923">
            <w:pPr>
              <w:pStyle w:val="Texttabulky"/>
              <w:jc w:val="center"/>
              <w:rPr>
                <w:rFonts w:cs="Arial"/>
                <w:color w:val="auto"/>
                <w:szCs w:val="16"/>
              </w:rPr>
            </w:pPr>
            <w:r w:rsidRPr="006B3F59">
              <w:rPr>
                <w:rFonts w:cs="Arial"/>
                <w:color w:val="auto"/>
                <w:szCs w:val="16"/>
              </w:rPr>
              <w:t>Zásady urbánní politiky mají nepřímý vztah k posuzovanému dokumentu. Koncepce zprostředkovaně přispěje k podpoře rozvoje města jako pólů rozvoje území. Shodnou prioritou je především strategický a integrovaný přístup k rozvoji měst. Posuzovaná změna má k této koncepci mírně pozitivní nepřímý vztah.</w:t>
            </w:r>
          </w:p>
        </w:tc>
      </w:tr>
      <w:tr w:rsidR="006B1923" w:rsidRPr="006B3F59" w14:paraId="76312285" w14:textId="77777777" w:rsidTr="00B34C98">
        <w:trPr>
          <w:trHeight w:val="263"/>
        </w:trPr>
        <w:tc>
          <w:tcPr>
            <w:tcW w:w="1615" w:type="pct"/>
            <w:shd w:val="clear" w:color="auto" w:fill="auto"/>
            <w:noWrap/>
            <w:vAlign w:val="center"/>
            <w:hideMark/>
          </w:tcPr>
          <w:p w14:paraId="021101DB" w14:textId="7298771C" w:rsidR="006B1923" w:rsidRPr="006B3F59" w:rsidRDefault="006B1923" w:rsidP="006B1923">
            <w:pPr>
              <w:pStyle w:val="Odrky1"/>
              <w:rPr>
                <w:sz w:val="16"/>
                <w:szCs w:val="16"/>
              </w:rPr>
            </w:pPr>
            <w:r w:rsidRPr="006B3F59">
              <w:rPr>
                <w:sz w:val="16"/>
                <w:szCs w:val="16"/>
              </w:rPr>
              <w:t xml:space="preserve">Dopravní politika České republiky pro období </w:t>
            </w:r>
            <w:r w:rsidR="003577E4" w:rsidRPr="006B3F59">
              <w:rPr>
                <w:sz w:val="16"/>
                <w:szCs w:val="16"/>
              </w:rPr>
              <w:t>2021–2027</w:t>
            </w:r>
            <w:r w:rsidRPr="006B3F59">
              <w:rPr>
                <w:sz w:val="16"/>
                <w:szCs w:val="16"/>
              </w:rPr>
              <w:t xml:space="preserve"> s výhledem do roku 2050</w:t>
            </w:r>
          </w:p>
        </w:tc>
        <w:tc>
          <w:tcPr>
            <w:tcW w:w="589" w:type="pct"/>
            <w:shd w:val="clear" w:color="auto" w:fill="auto"/>
            <w:noWrap/>
            <w:vAlign w:val="center"/>
            <w:hideMark/>
          </w:tcPr>
          <w:p w14:paraId="6180E302" w14:textId="62E01A74" w:rsidR="006B1923" w:rsidRPr="006B3F59" w:rsidRDefault="00C908C2" w:rsidP="006B1923">
            <w:pPr>
              <w:pStyle w:val="Texttabulky"/>
              <w:jc w:val="center"/>
              <w:rPr>
                <w:rFonts w:cs="Arial"/>
                <w:color w:val="auto"/>
                <w:szCs w:val="16"/>
              </w:rPr>
            </w:pPr>
            <w:r w:rsidRPr="006B3F59">
              <w:rPr>
                <w:rFonts w:cs="Arial"/>
                <w:color w:val="auto"/>
                <w:szCs w:val="16"/>
              </w:rPr>
              <w:t>1</w:t>
            </w:r>
          </w:p>
        </w:tc>
        <w:tc>
          <w:tcPr>
            <w:tcW w:w="2796" w:type="pct"/>
          </w:tcPr>
          <w:p w14:paraId="2891A344" w14:textId="38D9250D" w:rsidR="006B1923" w:rsidRPr="006B3F59" w:rsidRDefault="00C908C2" w:rsidP="006B1923">
            <w:pPr>
              <w:pStyle w:val="Texttabulky"/>
              <w:jc w:val="center"/>
              <w:rPr>
                <w:rFonts w:cs="Arial"/>
                <w:color w:val="auto"/>
                <w:szCs w:val="16"/>
              </w:rPr>
            </w:pPr>
            <w:r w:rsidRPr="006B3F59">
              <w:rPr>
                <w:rFonts w:cs="Arial"/>
                <w:color w:val="auto"/>
                <w:szCs w:val="16"/>
              </w:rPr>
              <w:t>Posuzovaná změna územního plánu nepřímo vytváří územní předpoklady pro realizaci specifických cílů Dopravní politiky ČR především z hlediska minimalizace negativního vlivu hluku a imisí z dopravy, které mají svůj původ v dopravě, a to vhodnými opatřeními na dopravní infrastruktuře a při přípravě a realizaci projektů rozvoje dopravní infrastruktury minimalizovat dopady na jednotlivé složky životního prostředí a na veřejné zdraví. Změna tak má nepřímo pozitivní vazbu vůči Dopravní politice ČR.</w:t>
            </w:r>
          </w:p>
        </w:tc>
      </w:tr>
      <w:tr w:rsidR="006B1923" w:rsidRPr="006B3F59" w14:paraId="36AD736A" w14:textId="77777777" w:rsidTr="00B34C98">
        <w:trPr>
          <w:trHeight w:val="281"/>
        </w:trPr>
        <w:tc>
          <w:tcPr>
            <w:tcW w:w="1615" w:type="pct"/>
            <w:shd w:val="clear" w:color="auto" w:fill="auto"/>
            <w:noWrap/>
            <w:vAlign w:val="center"/>
            <w:hideMark/>
          </w:tcPr>
          <w:p w14:paraId="560638B5" w14:textId="4C9C788F" w:rsidR="006B1923" w:rsidRPr="006B3F59" w:rsidRDefault="006B1923" w:rsidP="006B1923">
            <w:pPr>
              <w:pStyle w:val="Odrky1"/>
              <w:rPr>
                <w:sz w:val="16"/>
                <w:szCs w:val="16"/>
              </w:rPr>
            </w:pPr>
            <w:r w:rsidRPr="006B3F59">
              <w:rPr>
                <w:sz w:val="16"/>
                <w:szCs w:val="16"/>
              </w:rPr>
              <w:t xml:space="preserve">Koncepce státní politiky cestovního ruchu v ČR na období </w:t>
            </w:r>
            <w:r w:rsidR="003577E4" w:rsidRPr="006B3F59">
              <w:rPr>
                <w:sz w:val="16"/>
                <w:szCs w:val="16"/>
              </w:rPr>
              <w:t>2014–2020</w:t>
            </w:r>
            <w:r w:rsidRPr="006B3F59">
              <w:rPr>
                <w:sz w:val="16"/>
                <w:szCs w:val="16"/>
              </w:rPr>
              <w:t xml:space="preserve"> </w:t>
            </w:r>
          </w:p>
        </w:tc>
        <w:tc>
          <w:tcPr>
            <w:tcW w:w="589" w:type="pct"/>
            <w:shd w:val="clear" w:color="auto" w:fill="auto"/>
            <w:noWrap/>
            <w:vAlign w:val="center"/>
            <w:hideMark/>
          </w:tcPr>
          <w:p w14:paraId="47BA6347" w14:textId="253A251B" w:rsidR="006B1923" w:rsidRPr="006B3F59" w:rsidRDefault="006B1923" w:rsidP="006B1923">
            <w:pPr>
              <w:pStyle w:val="Texttabulky"/>
              <w:jc w:val="center"/>
              <w:rPr>
                <w:rFonts w:cs="Arial"/>
                <w:color w:val="auto"/>
                <w:szCs w:val="16"/>
              </w:rPr>
            </w:pPr>
            <w:r w:rsidRPr="006B3F59">
              <w:rPr>
                <w:rFonts w:cs="Arial"/>
                <w:color w:val="auto"/>
                <w:szCs w:val="16"/>
              </w:rPr>
              <w:t>0</w:t>
            </w:r>
          </w:p>
        </w:tc>
        <w:tc>
          <w:tcPr>
            <w:tcW w:w="2796" w:type="pct"/>
          </w:tcPr>
          <w:p w14:paraId="547F675E" w14:textId="32BB0CF2" w:rsidR="006B1923" w:rsidRPr="006B3F59" w:rsidRDefault="006B1923" w:rsidP="006B1923">
            <w:pPr>
              <w:pStyle w:val="Texttabulky"/>
              <w:jc w:val="center"/>
              <w:rPr>
                <w:rFonts w:cs="Arial"/>
                <w:color w:val="auto"/>
                <w:szCs w:val="16"/>
              </w:rPr>
            </w:pPr>
            <w:r w:rsidRPr="006B3F59">
              <w:rPr>
                <w:rFonts w:cs="Arial"/>
                <w:color w:val="auto"/>
                <w:szCs w:val="16"/>
              </w:rPr>
              <w:t>Nebyla identifikována žádná vazba mezi posuzovanou ÚPD a Koncepcí státní politiky cestovního ruchu v ČR, která neobsahuje cíle, podněty, požadavky nebo záměry, které vyžadují řešení v rámci posuzované koncepce.</w:t>
            </w:r>
          </w:p>
        </w:tc>
      </w:tr>
      <w:tr w:rsidR="006B1923" w:rsidRPr="006B3F59" w14:paraId="0A69A48C" w14:textId="77777777" w:rsidTr="00B34C98">
        <w:trPr>
          <w:trHeight w:val="257"/>
        </w:trPr>
        <w:tc>
          <w:tcPr>
            <w:tcW w:w="1615" w:type="pct"/>
            <w:shd w:val="clear" w:color="auto" w:fill="auto"/>
            <w:noWrap/>
            <w:vAlign w:val="center"/>
            <w:hideMark/>
          </w:tcPr>
          <w:p w14:paraId="3731836C" w14:textId="77777777" w:rsidR="006B1923" w:rsidRPr="006B3F59" w:rsidRDefault="006B1923" w:rsidP="006B1923">
            <w:pPr>
              <w:pStyle w:val="Odrky1"/>
              <w:rPr>
                <w:sz w:val="16"/>
                <w:szCs w:val="16"/>
              </w:rPr>
            </w:pPr>
            <w:r w:rsidRPr="006B3F59">
              <w:rPr>
                <w:sz w:val="16"/>
                <w:szCs w:val="16"/>
              </w:rPr>
              <w:t xml:space="preserve">Státní politika životního prostředí České republiky 2030 s výhledem do roku 2050 </w:t>
            </w:r>
          </w:p>
        </w:tc>
        <w:tc>
          <w:tcPr>
            <w:tcW w:w="589" w:type="pct"/>
            <w:shd w:val="clear" w:color="auto" w:fill="auto"/>
            <w:noWrap/>
            <w:vAlign w:val="center"/>
            <w:hideMark/>
          </w:tcPr>
          <w:p w14:paraId="018B9EE1" w14:textId="02512160" w:rsidR="006B1923" w:rsidRPr="006B3F59" w:rsidRDefault="00BA2708" w:rsidP="006B1923">
            <w:pPr>
              <w:pStyle w:val="Texttabulky"/>
              <w:jc w:val="center"/>
              <w:rPr>
                <w:rFonts w:cs="Arial"/>
                <w:color w:val="auto"/>
                <w:szCs w:val="16"/>
              </w:rPr>
            </w:pPr>
            <w:r w:rsidRPr="006B3F59">
              <w:rPr>
                <w:rFonts w:cs="Arial"/>
                <w:color w:val="auto"/>
                <w:szCs w:val="16"/>
              </w:rPr>
              <w:t>2</w:t>
            </w:r>
          </w:p>
        </w:tc>
        <w:tc>
          <w:tcPr>
            <w:tcW w:w="2796" w:type="pct"/>
          </w:tcPr>
          <w:p w14:paraId="645ACCA4" w14:textId="78831456" w:rsidR="006B1923" w:rsidRPr="006B3F59" w:rsidRDefault="006B1923" w:rsidP="006B1923">
            <w:pPr>
              <w:pStyle w:val="Texttabulky"/>
              <w:jc w:val="center"/>
              <w:rPr>
                <w:rFonts w:cs="Arial"/>
                <w:color w:val="auto"/>
                <w:szCs w:val="16"/>
              </w:rPr>
            </w:pPr>
            <w:r w:rsidRPr="006B3F59">
              <w:rPr>
                <w:rFonts w:cs="Arial"/>
                <w:color w:val="auto"/>
                <w:szCs w:val="16"/>
              </w:rPr>
              <w:t xml:space="preserve">Zaměření posuzované koncepce má přímou silnou vazbu s cíli SPŽP ČR. Shodným sledovaným cílem je především nízkouhlíkové hospodářství, ochrana před hlukem, realizované prostřednictvím upřednostnění rozvoje v územích s dobrou dopravní dostupností bezemisní VHD a přednostní využití transformačních územ jako prevence suburbanizace. </w:t>
            </w:r>
          </w:p>
        </w:tc>
      </w:tr>
      <w:tr w:rsidR="006B1923" w:rsidRPr="006B3F59" w14:paraId="59B406BA" w14:textId="77777777" w:rsidTr="00B34C98">
        <w:trPr>
          <w:trHeight w:val="279"/>
        </w:trPr>
        <w:tc>
          <w:tcPr>
            <w:tcW w:w="1615" w:type="pct"/>
            <w:shd w:val="clear" w:color="auto" w:fill="auto"/>
            <w:noWrap/>
            <w:vAlign w:val="center"/>
            <w:hideMark/>
          </w:tcPr>
          <w:p w14:paraId="11DA3C32" w14:textId="3FA6C50C" w:rsidR="006B1923" w:rsidRPr="006B3F59" w:rsidRDefault="006B1923" w:rsidP="006B1923">
            <w:pPr>
              <w:pStyle w:val="Odrky1"/>
              <w:rPr>
                <w:sz w:val="16"/>
                <w:szCs w:val="16"/>
              </w:rPr>
            </w:pPr>
            <w:r w:rsidRPr="006B3F59">
              <w:rPr>
                <w:sz w:val="16"/>
                <w:szCs w:val="16"/>
              </w:rPr>
              <w:t xml:space="preserve">Program rozvoje venkova ČR na období </w:t>
            </w:r>
            <w:r w:rsidR="003577E4" w:rsidRPr="006B3F59">
              <w:rPr>
                <w:sz w:val="16"/>
                <w:szCs w:val="16"/>
              </w:rPr>
              <w:t>2014–2020</w:t>
            </w:r>
          </w:p>
        </w:tc>
        <w:tc>
          <w:tcPr>
            <w:tcW w:w="589" w:type="pct"/>
            <w:shd w:val="clear" w:color="auto" w:fill="auto"/>
            <w:noWrap/>
            <w:vAlign w:val="center"/>
            <w:hideMark/>
          </w:tcPr>
          <w:p w14:paraId="7C43F984" w14:textId="5A43343F" w:rsidR="006B1923" w:rsidRPr="006B3F59" w:rsidRDefault="006B1923" w:rsidP="006B1923">
            <w:pPr>
              <w:pStyle w:val="Texttabulky"/>
              <w:jc w:val="center"/>
              <w:rPr>
                <w:rFonts w:cs="Arial"/>
                <w:color w:val="auto"/>
                <w:szCs w:val="16"/>
              </w:rPr>
            </w:pPr>
            <w:r w:rsidRPr="006B3F59">
              <w:rPr>
                <w:rFonts w:cs="Arial"/>
                <w:color w:val="auto"/>
                <w:szCs w:val="16"/>
              </w:rPr>
              <w:t>0</w:t>
            </w:r>
          </w:p>
        </w:tc>
        <w:tc>
          <w:tcPr>
            <w:tcW w:w="2796" w:type="pct"/>
          </w:tcPr>
          <w:p w14:paraId="56C8355D" w14:textId="0C00493E" w:rsidR="006B1923" w:rsidRPr="006B3F59" w:rsidRDefault="006B1923" w:rsidP="006B1923">
            <w:pPr>
              <w:pStyle w:val="Texttabulky"/>
              <w:jc w:val="center"/>
              <w:rPr>
                <w:rFonts w:cs="Arial"/>
                <w:color w:val="auto"/>
                <w:szCs w:val="16"/>
              </w:rPr>
            </w:pPr>
            <w:r w:rsidRPr="006B3F59">
              <w:rPr>
                <w:rFonts w:cs="Arial"/>
                <w:color w:val="auto"/>
                <w:szCs w:val="16"/>
              </w:rPr>
              <w:t>Nebyla identifikována žádná vazba vůči posuzované koncepci. Program rozvoje venkova, neobsahuje cíle, podněty, požadavky nebo záměry, které vyžadují řešení v rámci posuzované koncepce.</w:t>
            </w:r>
          </w:p>
        </w:tc>
      </w:tr>
      <w:tr w:rsidR="006B1923" w:rsidRPr="006B3F59" w14:paraId="17EB9C23" w14:textId="77777777" w:rsidTr="00B34C98">
        <w:trPr>
          <w:trHeight w:val="255"/>
        </w:trPr>
        <w:tc>
          <w:tcPr>
            <w:tcW w:w="1615" w:type="pct"/>
            <w:shd w:val="clear" w:color="auto" w:fill="auto"/>
            <w:noWrap/>
            <w:vAlign w:val="center"/>
            <w:hideMark/>
          </w:tcPr>
          <w:p w14:paraId="6A72F485" w14:textId="77777777" w:rsidR="006B1923" w:rsidRPr="006B3F59" w:rsidRDefault="006B1923" w:rsidP="006B1923">
            <w:pPr>
              <w:pStyle w:val="Odrky1"/>
              <w:rPr>
                <w:sz w:val="16"/>
                <w:szCs w:val="16"/>
              </w:rPr>
            </w:pPr>
            <w:r w:rsidRPr="006B3F59">
              <w:rPr>
                <w:sz w:val="16"/>
                <w:szCs w:val="16"/>
              </w:rPr>
              <w:t>Akční plán ČR pro zdraví a životní prostředí – NEHAP (2007)</w:t>
            </w:r>
          </w:p>
        </w:tc>
        <w:tc>
          <w:tcPr>
            <w:tcW w:w="589" w:type="pct"/>
            <w:shd w:val="clear" w:color="auto" w:fill="auto"/>
            <w:noWrap/>
            <w:vAlign w:val="center"/>
            <w:hideMark/>
          </w:tcPr>
          <w:p w14:paraId="571B822F" w14:textId="1DB3DE19" w:rsidR="006B1923" w:rsidRPr="006B3F59" w:rsidRDefault="00B34DA9" w:rsidP="006B1923">
            <w:pPr>
              <w:pStyle w:val="Texttabulky"/>
              <w:jc w:val="center"/>
              <w:rPr>
                <w:rFonts w:cs="Arial"/>
                <w:color w:val="auto"/>
                <w:szCs w:val="16"/>
              </w:rPr>
            </w:pPr>
            <w:r w:rsidRPr="006B3F59">
              <w:rPr>
                <w:rFonts w:cs="Arial"/>
                <w:color w:val="auto"/>
                <w:szCs w:val="16"/>
              </w:rPr>
              <w:t>2</w:t>
            </w:r>
          </w:p>
        </w:tc>
        <w:tc>
          <w:tcPr>
            <w:tcW w:w="2796" w:type="pct"/>
          </w:tcPr>
          <w:p w14:paraId="555E262E" w14:textId="66125B30" w:rsidR="006B1923" w:rsidRPr="006B3F59" w:rsidRDefault="006B1923" w:rsidP="006B1923">
            <w:pPr>
              <w:pStyle w:val="Texttabulky"/>
              <w:jc w:val="center"/>
              <w:rPr>
                <w:rFonts w:cs="Arial"/>
                <w:color w:val="auto"/>
                <w:szCs w:val="16"/>
              </w:rPr>
            </w:pPr>
            <w:r w:rsidRPr="006B3F59">
              <w:rPr>
                <w:rFonts w:cs="Arial"/>
                <w:color w:val="auto"/>
                <w:szCs w:val="16"/>
              </w:rPr>
              <w:t>Potenciální pozitivní vazba z hlediska upřednostnění rozvoje v územích s dobrou dopravní dostupností bezemisní VHD a přednostní</w:t>
            </w:r>
            <w:r w:rsidR="00914B28" w:rsidRPr="006B3F59">
              <w:rPr>
                <w:rFonts w:cs="Arial"/>
                <w:color w:val="auto"/>
                <w:szCs w:val="16"/>
              </w:rPr>
              <w:t>ho</w:t>
            </w:r>
            <w:r w:rsidRPr="006B3F59">
              <w:rPr>
                <w:rFonts w:cs="Arial"/>
                <w:color w:val="auto"/>
                <w:szCs w:val="16"/>
              </w:rPr>
              <w:t xml:space="preserve"> využití transformačních územ</w:t>
            </w:r>
            <w:r w:rsidR="00914B28" w:rsidRPr="006B3F59">
              <w:rPr>
                <w:rFonts w:cs="Arial"/>
                <w:color w:val="auto"/>
                <w:szCs w:val="16"/>
              </w:rPr>
              <w:t>í</w:t>
            </w:r>
            <w:r w:rsidRPr="006B3F59">
              <w:rPr>
                <w:rFonts w:cs="Arial"/>
                <w:color w:val="auto"/>
                <w:szCs w:val="16"/>
              </w:rPr>
              <w:t xml:space="preserve"> jako prevence suburbanizace.</w:t>
            </w:r>
          </w:p>
        </w:tc>
      </w:tr>
      <w:tr w:rsidR="006B1923" w:rsidRPr="006B3F59" w14:paraId="5FFDC590" w14:textId="77777777" w:rsidTr="00B34C98">
        <w:trPr>
          <w:trHeight w:val="287"/>
        </w:trPr>
        <w:tc>
          <w:tcPr>
            <w:tcW w:w="1615" w:type="pct"/>
            <w:shd w:val="clear" w:color="auto" w:fill="auto"/>
            <w:noWrap/>
            <w:vAlign w:val="center"/>
            <w:hideMark/>
          </w:tcPr>
          <w:p w14:paraId="44D1B3FF" w14:textId="77777777" w:rsidR="006B1923" w:rsidRPr="006B3F59" w:rsidRDefault="006B1923" w:rsidP="006B1923">
            <w:pPr>
              <w:pStyle w:val="Odrky1"/>
              <w:rPr>
                <w:sz w:val="16"/>
                <w:szCs w:val="16"/>
              </w:rPr>
            </w:pPr>
            <w:r w:rsidRPr="006B3F59">
              <w:rPr>
                <w:sz w:val="16"/>
                <w:szCs w:val="16"/>
              </w:rPr>
              <w:t xml:space="preserve">Střednědobá strategie (do roku 2020) zlepšení kvality ovzduší v ČR, (2015) </w:t>
            </w:r>
          </w:p>
        </w:tc>
        <w:tc>
          <w:tcPr>
            <w:tcW w:w="589" w:type="pct"/>
            <w:shd w:val="clear" w:color="auto" w:fill="auto"/>
            <w:noWrap/>
            <w:vAlign w:val="center"/>
            <w:hideMark/>
          </w:tcPr>
          <w:p w14:paraId="3BF309D7" w14:textId="63101BAA" w:rsidR="006B1923" w:rsidRPr="006B3F59" w:rsidRDefault="006B1923" w:rsidP="006B1923">
            <w:pPr>
              <w:pStyle w:val="Texttabulky"/>
              <w:jc w:val="center"/>
              <w:rPr>
                <w:rFonts w:cs="Arial"/>
                <w:color w:val="auto"/>
                <w:szCs w:val="16"/>
              </w:rPr>
            </w:pPr>
            <w:r w:rsidRPr="006B3F59">
              <w:rPr>
                <w:rFonts w:cs="Arial"/>
                <w:color w:val="auto"/>
                <w:szCs w:val="16"/>
              </w:rPr>
              <w:t>0</w:t>
            </w:r>
          </w:p>
        </w:tc>
        <w:tc>
          <w:tcPr>
            <w:tcW w:w="2796" w:type="pct"/>
          </w:tcPr>
          <w:p w14:paraId="75CD4C87" w14:textId="311BC950" w:rsidR="006B1923" w:rsidRPr="006B3F59" w:rsidRDefault="006B1923" w:rsidP="006B1923">
            <w:pPr>
              <w:pStyle w:val="Texttabulky"/>
              <w:jc w:val="center"/>
              <w:rPr>
                <w:rFonts w:cs="Arial"/>
                <w:color w:val="auto"/>
                <w:szCs w:val="16"/>
              </w:rPr>
            </w:pPr>
            <w:r w:rsidRPr="006B3F59">
              <w:rPr>
                <w:rFonts w:cs="Arial"/>
                <w:color w:val="auto"/>
                <w:szCs w:val="16"/>
              </w:rPr>
              <w:t xml:space="preserve">Nebyla identifikována žádná relevantní vzájemná vazba vůči posuzovanému dokumentu. </w:t>
            </w:r>
            <w:r w:rsidRPr="006B3F59">
              <w:rPr>
                <w:szCs w:val="16"/>
              </w:rPr>
              <w:t>Střednědobá strategie zlepšení kvality ovzduší v </w:t>
            </w:r>
            <w:r w:rsidR="003577E4" w:rsidRPr="006B3F59">
              <w:rPr>
                <w:szCs w:val="16"/>
              </w:rPr>
              <w:t>ČR,</w:t>
            </w:r>
            <w:r w:rsidRPr="006B3F59">
              <w:rPr>
                <w:rFonts w:cs="Arial"/>
                <w:color w:val="auto"/>
                <w:szCs w:val="16"/>
              </w:rPr>
              <w:t xml:space="preserve"> neobsahuje cíle, podněty, požadavky nebo záměry, které vyžadují řešení v rámci posuzované koncepce.</w:t>
            </w:r>
          </w:p>
        </w:tc>
      </w:tr>
      <w:tr w:rsidR="006B1923" w:rsidRPr="006B3F59" w14:paraId="76912740" w14:textId="77777777" w:rsidTr="00B34C98">
        <w:trPr>
          <w:trHeight w:val="263"/>
        </w:trPr>
        <w:tc>
          <w:tcPr>
            <w:tcW w:w="1615" w:type="pct"/>
            <w:shd w:val="clear" w:color="auto" w:fill="auto"/>
            <w:noWrap/>
            <w:vAlign w:val="center"/>
            <w:hideMark/>
          </w:tcPr>
          <w:p w14:paraId="2590FC28" w14:textId="77777777" w:rsidR="006B1923" w:rsidRPr="006B3F59" w:rsidRDefault="006B1923" w:rsidP="006B1923">
            <w:pPr>
              <w:pStyle w:val="Odrky1"/>
              <w:rPr>
                <w:sz w:val="16"/>
                <w:szCs w:val="16"/>
              </w:rPr>
            </w:pPr>
            <w:r w:rsidRPr="006B3F59">
              <w:rPr>
                <w:sz w:val="16"/>
                <w:szCs w:val="16"/>
              </w:rPr>
              <w:t>Politika ochrany klimatu v České republice 2017</w:t>
            </w:r>
          </w:p>
        </w:tc>
        <w:tc>
          <w:tcPr>
            <w:tcW w:w="589" w:type="pct"/>
            <w:shd w:val="clear" w:color="auto" w:fill="auto"/>
            <w:noWrap/>
            <w:vAlign w:val="center"/>
            <w:hideMark/>
          </w:tcPr>
          <w:p w14:paraId="46265203" w14:textId="3917C10D" w:rsidR="006B1923" w:rsidRPr="006B3F59" w:rsidRDefault="006B1923" w:rsidP="006B1923">
            <w:pPr>
              <w:pStyle w:val="Texttabulky"/>
              <w:jc w:val="center"/>
              <w:rPr>
                <w:rFonts w:cs="Arial"/>
                <w:color w:val="auto"/>
                <w:szCs w:val="16"/>
              </w:rPr>
            </w:pPr>
            <w:r w:rsidRPr="006B3F59">
              <w:rPr>
                <w:rFonts w:cs="Arial"/>
                <w:color w:val="auto"/>
                <w:szCs w:val="16"/>
              </w:rPr>
              <w:t>0</w:t>
            </w:r>
          </w:p>
        </w:tc>
        <w:tc>
          <w:tcPr>
            <w:tcW w:w="2796" w:type="pct"/>
          </w:tcPr>
          <w:p w14:paraId="472521DE" w14:textId="28F323D6" w:rsidR="006B1923" w:rsidRPr="006B3F59" w:rsidRDefault="006B1923" w:rsidP="006B1923">
            <w:pPr>
              <w:pStyle w:val="Texttabulky"/>
              <w:jc w:val="center"/>
              <w:rPr>
                <w:rFonts w:cs="Arial"/>
                <w:color w:val="auto"/>
                <w:szCs w:val="16"/>
              </w:rPr>
            </w:pPr>
            <w:r w:rsidRPr="006B3F59">
              <w:rPr>
                <w:rFonts w:cs="Arial"/>
                <w:color w:val="auto"/>
                <w:szCs w:val="16"/>
              </w:rPr>
              <w:t xml:space="preserve">Nebyla identifikována žádná relevantní vzájemná vazba vůči posuzovanému dokumentu. </w:t>
            </w:r>
            <w:r w:rsidRPr="006B3F59">
              <w:rPr>
                <w:szCs w:val="16"/>
              </w:rPr>
              <w:t xml:space="preserve">Politika ochrany klimatu v </w:t>
            </w:r>
            <w:r w:rsidR="003577E4" w:rsidRPr="006B3F59">
              <w:rPr>
                <w:szCs w:val="16"/>
              </w:rPr>
              <w:t>ČR,</w:t>
            </w:r>
            <w:r w:rsidRPr="006B3F59">
              <w:rPr>
                <w:rFonts w:cs="Arial"/>
                <w:color w:val="auto"/>
                <w:szCs w:val="16"/>
              </w:rPr>
              <w:t xml:space="preserve"> neobsahuje cíle, podněty, požadavky nebo záměry, které vyžadují řešení v rámci posuzované koncepce.</w:t>
            </w:r>
          </w:p>
        </w:tc>
      </w:tr>
      <w:tr w:rsidR="006B1923" w:rsidRPr="006B3F59" w14:paraId="33E58993" w14:textId="77777777" w:rsidTr="00B34C98">
        <w:trPr>
          <w:trHeight w:val="263"/>
        </w:trPr>
        <w:tc>
          <w:tcPr>
            <w:tcW w:w="1615" w:type="pct"/>
            <w:shd w:val="clear" w:color="auto" w:fill="auto"/>
            <w:noWrap/>
            <w:vAlign w:val="center"/>
          </w:tcPr>
          <w:p w14:paraId="399BA7C7" w14:textId="77777777" w:rsidR="006B1923" w:rsidRPr="006B3F59" w:rsidRDefault="006B1923" w:rsidP="006B1923">
            <w:pPr>
              <w:pStyle w:val="Odrky1"/>
              <w:rPr>
                <w:rFonts w:cs="Arial"/>
                <w:sz w:val="16"/>
                <w:szCs w:val="16"/>
              </w:rPr>
            </w:pPr>
            <w:bookmarkStart w:id="60" w:name="_Hlk102760397"/>
            <w:r w:rsidRPr="006B3F59">
              <w:rPr>
                <w:sz w:val="16"/>
                <w:szCs w:val="16"/>
              </w:rPr>
              <w:t>Strategický rámec rozvoje péče o zdraví v ČR do roku – Zdraví 2030</w:t>
            </w:r>
            <w:bookmarkEnd w:id="60"/>
          </w:p>
        </w:tc>
        <w:tc>
          <w:tcPr>
            <w:tcW w:w="589" w:type="pct"/>
            <w:shd w:val="clear" w:color="auto" w:fill="auto"/>
            <w:noWrap/>
            <w:vAlign w:val="center"/>
          </w:tcPr>
          <w:p w14:paraId="23805BEE" w14:textId="601AF986" w:rsidR="006B1923" w:rsidRPr="006B3F59" w:rsidRDefault="00B34DA9" w:rsidP="006B1923">
            <w:pPr>
              <w:pStyle w:val="Texttabulky"/>
              <w:jc w:val="center"/>
              <w:rPr>
                <w:rFonts w:cs="Arial"/>
                <w:color w:val="auto"/>
                <w:szCs w:val="16"/>
              </w:rPr>
            </w:pPr>
            <w:r w:rsidRPr="006B3F59">
              <w:rPr>
                <w:rFonts w:cs="Arial"/>
                <w:color w:val="auto"/>
                <w:szCs w:val="16"/>
              </w:rPr>
              <w:t>2</w:t>
            </w:r>
          </w:p>
        </w:tc>
        <w:tc>
          <w:tcPr>
            <w:tcW w:w="2796" w:type="pct"/>
          </w:tcPr>
          <w:p w14:paraId="0E537CC0" w14:textId="5BCFA6A2" w:rsidR="006B1923" w:rsidRPr="006B3F59" w:rsidRDefault="00B34DA9" w:rsidP="006B1923">
            <w:pPr>
              <w:pStyle w:val="Texttabulky"/>
              <w:jc w:val="center"/>
              <w:rPr>
                <w:rFonts w:cs="Arial"/>
                <w:color w:val="auto"/>
                <w:szCs w:val="16"/>
              </w:rPr>
            </w:pPr>
            <w:r w:rsidRPr="006B3F59">
              <w:rPr>
                <w:rFonts w:cs="Arial"/>
                <w:color w:val="auto"/>
                <w:szCs w:val="16"/>
              </w:rPr>
              <w:t>Potenciální přímá</w:t>
            </w:r>
            <w:r w:rsidR="006B1923" w:rsidRPr="006B3F59">
              <w:rPr>
                <w:rFonts w:cs="Arial"/>
                <w:color w:val="auto"/>
                <w:szCs w:val="16"/>
              </w:rPr>
              <w:t xml:space="preserve"> vazba posuzovaného dokumentu vůči Zdraví 2030 ve vztahu k ochraně zdraví před působením hluku. </w:t>
            </w:r>
          </w:p>
        </w:tc>
      </w:tr>
      <w:tr w:rsidR="006B1923" w:rsidRPr="006B3F59" w14:paraId="0C013474" w14:textId="77777777" w:rsidTr="00B34C98">
        <w:trPr>
          <w:trHeight w:val="263"/>
        </w:trPr>
        <w:tc>
          <w:tcPr>
            <w:tcW w:w="1615" w:type="pct"/>
            <w:shd w:val="clear" w:color="auto" w:fill="auto"/>
            <w:noWrap/>
            <w:vAlign w:val="center"/>
          </w:tcPr>
          <w:p w14:paraId="07DB8C3F" w14:textId="69A6C4B7" w:rsidR="006B1923" w:rsidRPr="006B3F59" w:rsidRDefault="006B1923" w:rsidP="006B1923">
            <w:pPr>
              <w:pStyle w:val="Odrky1"/>
              <w:rPr>
                <w:rFonts w:cs="Arial"/>
                <w:sz w:val="16"/>
                <w:szCs w:val="16"/>
              </w:rPr>
            </w:pPr>
            <w:r w:rsidRPr="006B3F59">
              <w:rPr>
                <w:sz w:val="16"/>
                <w:szCs w:val="16"/>
              </w:rPr>
              <w:lastRenderedPageBreak/>
              <w:t xml:space="preserve">Strategie sociálního začleňování </w:t>
            </w:r>
            <w:r w:rsidR="003577E4" w:rsidRPr="006B3F59">
              <w:rPr>
                <w:sz w:val="16"/>
                <w:szCs w:val="16"/>
              </w:rPr>
              <w:t>2014–2020</w:t>
            </w:r>
          </w:p>
        </w:tc>
        <w:tc>
          <w:tcPr>
            <w:tcW w:w="589" w:type="pct"/>
            <w:shd w:val="clear" w:color="auto" w:fill="auto"/>
            <w:noWrap/>
            <w:vAlign w:val="center"/>
          </w:tcPr>
          <w:p w14:paraId="0C9FF713" w14:textId="0DC42378" w:rsidR="006B1923" w:rsidRPr="006B3F59" w:rsidRDefault="006B1923" w:rsidP="006B1923">
            <w:pPr>
              <w:pStyle w:val="Texttabulky"/>
              <w:jc w:val="center"/>
              <w:rPr>
                <w:rFonts w:cs="Arial"/>
                <w:color w:val="auto"/>
                <w:szCs w:val="16"/>
              </w:rPr>
            </w:pPr>
            <w:r w:rsidRPr="006B3F59">
              <w:rPr>
                <w:rFonts w:cs="Arial"/>
                <w:color w:val="auto"/>
                <w:szCs w:val="16"/>
              </w:rPr>
              <w:t>0</w:t>
            </w:r>
          </w:p>
        </w:tc>
        <w:tc>
          <w:tcPr>
            <w:tcW w:w="2796" w:type="pct"/>
          </w:tcPr>
          <w:p w14:paraId="6FD6517E" w14:textId="40108F2A" w:rsidR="006B1923" w:rsidRPr="006B3F59" w:rsidRDefault="006B1923" w:rsidP="006B1923">
            <w:pPr>
              <w:pStyle w:val="Texttabulky"/>
              <w:jc w:val="center"/>
              <w:rPr>
                <w:rFonts w:cs="Arial"/>
                <w:color w:val="auto"/>
                <w:szCs w:val="16"/>
              </w:rPr>
            </w:pPr>
            <w:r w:rsidRPr="006B3F59">
              <w:rPr>
                <w:rFonts w:cs="Arial"/>
                <w:color w:val="auto"/>
                <w:szCs w:val="16"/>
              </w:rPr>
              <w:t>Nebyla identifikována žádná vazba vůči posuzovanému dokumentu. Strategie sociálního začleňování, neobsahuje cíle, podněty, požadavky nebo záměry, které vyžadují řešení v rámci posuzované koncepce.</w:t>
            </w:r>
          </w:p>
        </w:tc>
      </w:tr>
      <w:tr w:rsidR="001964D3" w:rsidRPr="006B3F59" w14:paraId="194EDE61" w14:textId="77777777" w:rsidTr="00B34C98">
        <w:trPr>
          <w:trHeight w:val="239"/>
        </w:trPr>
        <w:tc>
          <w:tcPr>
            <w:tcW w:w="1615" w:type="pct"/>
            <w:shd w:val="clear" w:color="auto" w:fill="auto"/>
            <w:noWrap/>
            <w:vAlign w:val="center"/>
            <w:hideMark/>
          </w:tcPr>
          <w:p w14:paraId="25460C5A" w14:textId="77777777" w:rsidR="001964D3" w:rsidRPr="006B3F59" w:rsidRDefault="001964D3" w:rsidP="001964D3">
            <w:pPr>
              <w:pStyle w:val="Odrky1"/>
              <w:rPr>
                <w:sz w:val="16"/>
                <w:szCs w:val="16"/>
              </w:rPr>
            </w:pPr>
            <w:r w:rsidRPr="006B3F59">
              <w:rPr>
                <w:sz w:val="16"/>
                <w:szCs w:val="16"/>
              </w:rPr>
              <w:t>Aktualizace Národního programu snižování emisí České republiky 2019</w:t>
            </w:r>
          </w:p>
        </w:tc>
        <w:tc>
          <w:tcPr>
            <w:tcW w:w="589" w:type="pct"/>
            <w:shd w:val="clear" w:color="auto" w:fill="auto"/>
            <w:noWrap/>
            <w:vAlign w:val="center"/>
            <w:hideMark/>
          </w:tcPr>
          <w:p w14:paraId="0B5493BE" w14:textId="3DBC3CF3" w:rsidR="001964D3" w:rsidRPr="006B3F59" w:rsidRDefault="00C908C2" w:rsidP="001964D3">
            <w:pPr>
              <w:pStyle w:val="Texttabulky"/>
              <w:jc w:val="center"/>
              <w:rPr>
                <w:rFonts w:cs="Arial"/>
                <w:color w:val="auto"/>
                <w:szCs w:val="16"/>
              </w:rPr>
            </w:pPr>
            <w:r w:rsidRPr="006B3F59">
              <w:rPr>
                <w:rFonts w:cs="Arial"/>
                <w:color w:val="auto"/>
                <w:szCs w:val="16"/>
              </w:rPr>
              <w:t>1</w:t>
            </w:r>
          </w:p>
        </w:tc>
        <w:tc>
          <w:tcPr>
            <w:tcW w:w="2796" w:type="pct"/>
          </w:tcPr>
          <w:p w14:paraId="46B49898" w14:textId="7A1A80F2" w:rsidR="001964D3" w:rsidRPr="006B3F59" w:rsidRDefault="00C908C2" w:rsidP="001964D3">
            <w:pPr>
              <w:pStyle w:val="Texttabulky"/>
              <w:jc w:val="center"/>
              <w:rPr>
                <w:rFonts w:cs="Arial"/>
                <w:color w:val="auto"/>
                <w:szCs w:val="16"/>
              </w:rPr>
            </w:pPr>
            <w:r w:rsidRPr="006B3F59">
              <w:rPr>
                <w:rFonts w:cs="Arial"/>
                <w:color w:val="auto"/>
                <w:szCs w:val="16"/>
              </w:rPr>
              <w:t>Posuzovaná změna n</w:t>
            </w:r>
            <w:r w:rsidR="001964D3" w:rsidRPr="006B3F59">
              <w:rPr>
                <w:rFonts w:cs="Arial"/>
                <w:color w:val="auto"/>
                <w:szCs w:val="16"/>
              </w:rPr>
              <w:t>eobsahuje cíle, podněty, požadavky nebo záměry, které vyžadují řešení v rámci posuzované koncepce</w:t>
            </w:r>
            <w:r w:rsidRPr="006B3F59">
              <w:rPr>
                <w:rFonts w:cs="Arial"/>
                <w:color w:val="auto"/>
                <w:szCs w:val="16"/>
              </w:rPr>
              <w:t>, s výjimkou obecné podpory bezemisní veřejné hromadné dopravy.</w:t>
            </w:r>
            <w:r w:rsidRPr="006B3F59">
              <w:t xml:space="preserve"> </w:t>
            </w:r>
            <w:r w:rsidRPr="006B3F59">
              <w:rPr>
                <w:rFonts w:cs="Arial"/>
                <w:color w:val="auto"/>
                <w:szCs w:val="16"/>
              </w:rPr>
              <w:t>Předkládaná změna územního plánu vytváří územní předpoklady pro koordinaci územního rozvoje Nového Sedlce, včetně přerozdělení dopravních zátěží a vybavení území kapacitní bezemisní VHD, a má tak vůči NPSE převážně zprostředkovaně pozitivní vztah prostřednictvím vytvoření územních předpokladů pro realizaci dopravního systému na přerozdělení dopravních zátěží v území.</w:t>
            </w:r>
          </w:p>
        </w:tc>
      </w:tr>
      <w:tr w:rsidR="006B1923" w:rsidRPr="006B3F59" w14:paraId="6B045F25" w14:textId="77777777" w:rsidTr="00B34C98">
        <w:trPr>
          <w:trHeight w:val="285"/>
        </w:trPr>
        <w:tc>
          <w:tcPr>
            <w:tcW w:w="1615" w:type="pct"/>
            <w:shd w:val="clear" w:color="auto" w:fill="auto"/>
            <w:noWrap/>
            <w:vAlign w:val="center"/>
            <w:hideMark/>
          </w:tcPr>
          <w:p w14:paraId="01B5FCF1" w14:textId="7339F680" w:rsidR="006B1923" w:rsidRPr="006B3F59" w:rsidRDefault="006B1923" w:rsidP="006B1923">
            <w:pPr>
              <w:pStyle w:val="Odrky1"/>
              <w:rPr>
                <w:sz w:val="16"/>
                <w:szCs w:val="16"/>
              </w:rPr>
            </w:pPr>
            <w:r w:rsidRPr="006B3F59">
              <w:rPr>
                <w:sz w:val="16"/>
                <w:szCs w:val="16"/>
              </w:rPr>
              <w:t xml:space="preserve">Plán odpadového hospodářství České republiky </w:t>
            </w:r>
            <w:r w:rsidR="003577E4" w:rsidRPr="006B3F59">
              <w:rPr>
                <w:sz w:val="16"/>
                <w:szCs w:val="16"/>
              </w:rPr>
              <w:t>2015–2024</w:t>
            </w:r>
          </w:p>
        </w:tc>
        <w:tc>
          <w:tcPr>
            <w:tcW w:w="589" w:type="pct"/>
            <w:shd w:val="clear" w:color="auto" w:fill="auto"/>
            <w:noWrap/>
            <w:vAlign w:val="center"/>
            <w:hideMark/>
          </w:tcPr>
          <w:p w14:paraId="3DB56AE4" w14:textId="1981FCD4" w:rsidR="006B1923" w:rsidRPr="006B3F59" w:rsidRDefault="006B1923" w:rsidP="006B1923">
            <w:pPr>
              <w:pStyle w:val="Texttabulky"/>
              <w:jc w:val="center"/>
              <w:rPr>
                <w:rFonts w:cs="Arial"/>
                <w:color w:val="auto"/>
                <w:szCs w:val="16"/>
              </w:rPr>
            </w:pPr>
            <w:r w:rsidRPr="006B3F59">
              <w:rPr>
                <w:rFonts w:cs="Arial"/>
                <w:color w:val="auto"/>
                <w:szCs w:val="16"/>
              </w:rPr>
              <w:t>0</w:t>
            </w:r>
          </w:p>
        </w:tc>
        <w:tc>
          <w:tcPr>
            <w:tcW w:w="2796" w:type="pct"/>
          </w:tcPr>
          <w:p w14:paraId="73D26F4A" w14:textId="16EFDEEA" w:rsidR="006B1923" w:rsidRPr="006B3F59" w:rsidRDefault="006B1923" w:rsidP="006B1923">
            <w:pPr>
              <w:pStyle w:val="Texttabulky"/>
              <w:jc w:val="center"/>
              <w:rPr>
                <w:rFonts w:cs="Arial"/>
                <w:color w:val="auto"/>
                <w:szCs w:val="16"/>
              </w:rPr>
            </w:pPr>
            <w:r w:rsidRPr="006B3F59">
              <w:rPr>
                <w:rFonts w:cs="Arial"/>
                <w:color w:val="auto"/>
                <w:szCs w:val="16"/>
              </w:rPr>
              <w:t>Nebyla identifikována žádná vazba vůči posuzovanému dokumentu. POH neobsahuje podněty, požadavky nebo záměry, které vyžadují řešení v rámci posuzované koncepce.</w:t>
            </w:r>
          </w:p>
        </w:tc>
      </w:tr>
      <w:tr w:rsidR="006B1923" w:rsidRPr="006B3F59" w14:paraId="4D35AAE1" w14:textId="77777777" w:rsidTr="00B34C98">
        <w:trPr>
          <w:trHeight w:val="611"/>
        </w:trPr>
        <w:tc>
          <w:tcPr>
            <w:tcW w:w="1615" w:type="pct"/>
            <w:shd w:val="clear" w:color="auto" w:fill="auto"/>
            <w:noWrap/>
            <w:vAlign w:val="center"/>
          </w:tcPr>
          <w:p w14:paraId="21C2F29F" w14:textId="77777777" w:rsidR="006B1923" w:rsidRPr="006B3F59" w:rsidRDefault="006B1923" w:rsidP="006B1923">
            <w:pPr>
              <w:pStyle w:val="Odrky1"/>
              <w:rPr>
                <w:sz w:val="16"/>
                <w:szCs w:val="16"/>
              </w:rPr>
            </w:pPr>
            <w:r w:rsidRPr="006B3F59">
              <w:rPr>
                <w:sz w:val="16"/>
                <w:szCs w:val="16"/>
              </w:rPr>
              <w:t>Program předcházení vzniku odpadů (2014)</w:t>
            </w:r>
          </w:p>
        </w:tc>
        <w:tc>
          <w:tcPr>
            <w:tcW w:w="589" w:type="pct"/>
            <w:shd w:val="clear" w:color="auto" w:fill="auto"/>
            <w:noWrap/>
            <w:vAlign w:val="center"/>
          </w:tcPr>
          <w:p w14:paraId="4EE2920E" w14:textId="4D376F71" w:rsidR="006B1923" w:rsidRPr="006B3F59" w:rsidRDefault="006B1923" w:rsidP="006B1923">
            <w:pPr>
              <w:pStyle w:val="Texttabulky"/>
              <w:jc w:val="center"/>
              <w:rPr>
                <w:rFonts w:cs="Arial"/>
                <w:color w:val="auto"/>
                <w:szCs w:val="16"/>
              </w:rPr>
            </w:pPr>
            <w:r w:rsidRPr="006B3F59">
              <w:rPr>
                <w:rFonts w:cs="Arial"/>
                <w:color w:val="auto"/>
                <w:szCs w:val="16"/>
              </w:rPr>
              <w:t>1</w:t>
            </w:r>
          </w:p>
        </w:tc>
        <w:tc>
          <w:tcPr>
            <w:tcW w:w="2796" w:type="pct"/>
          </w:tcPr>
          <w:p w14:paraId="650A0A2F" w14:textId="491D70FD" w:rsidR="006B1923" w:rsidRPr="006B3F59" w:rsidRDefault="006B1923" w:rsidP="006B1923">
            <w:pPr>
              <w:pStyle w:val="Texttabulky"/>
              <w:jc w:val="center"/>
              <w:rPr>
                <w:rFonts w:cs="Arial"/>
                <w:color w:val="auto"/>
                <w:szCs w:val="16"/>
              </w:rPr>
            </w:pPr>
            <w:r w:rsidRPr="006B3F59">
              <w:rPr>
                <w:rFonts w:cs="Arial"/>
                <w:color w:val="auto"/>
                <w:szCs w:val="16"/>
              </w:rPr>
              <w:t xml:space="preserve">Potenciální nepřímá a velmi omezená vazba vytvořením územních předpokladů pro </w:t>
            </w:r>
            <w:r w:rsidR="001964D3" w:rsidRPr="006B3F59">
              <w:rPr>
                <w:rFonts w:cs="Arial"/>
                <w:color w:val="auto"/>
                <w:szCs w:val="16"/>
              </w:rPr>
              <w:t>zvýšení intenzity využití území</w:t>
            </w:r>
            <w:r w:rsidRPr="006B3F59">
              <w:rPr>
                <w:rFonts w:cs="Arial"/>
                <w:color w:val="auto"/>
                <w:szCs w:val="16"/>
              </w:rPr>
              <w:t xml:space="preserve"> a zprostředkovaně i vznik stavebních odpadů</w:t>
            </w:r>
            <w:r w:rsidR="00445EBD">
              <w:rPr>
                <w:rFonts w:cs="Arial"/>
                <w:color w:val="auto"/>
                <w:szCs w:val="16"/>
              </w:rPr>
              <w:t xml:space="preserve"> a zrušení skládky stavebních odpadů</w:t>
            </w:r>
            <w:r w:rsidRPr="006B3F59">
              <w:rPr>
                <w:rFonts w:cs="Arial"/>
                <w:color w:val="auto"/>
                <w:szCs w:val="16"/>
              </w:rPr>
              <w:t>.</w:t>
            </w:r>
          </w:p>
        </w:tc>
      </w:tr>
      <w:tr w:rsidR="006B1923" w:rsidRPr="006B3F59" w14:paraId="62236ADA" w14:textId="77777777" w:rsidTr="00B34C98">
        <w:trPr>
          <w:trHeight w:val="211"/>
        </w:trPr>
        <w:tc>
          <w:tcPr>
            <w:tcW w:w="1615" w:type="pct"/>
            <w:shd w:val="clear" w:color="auto" w:fill="auto"/>
            <w:noWrap/>
            <w:vAlign w:val="center"/>
            <w:hideMark/>
          </w:tcPr>
          <w:p w14:paraId="1EE9529B" w14:textId="77777777" w:rsidR="006B1923" w:rsidRPr="006B3F59" w:rsidRDefault="006B1923" w:rsidP="006B1923">
            <w:pPr>
              <w:pStyle w:val="Odrky1"/>
              <w:rPr>
                <w:sz w:val="16"/>
                <w:szCs w:val="16"/>
              </w:rPr>
            </w:pPr>
            <w:r w:rsidRPr="006B3F59">
              <w:rPr>
                <w:sz w:val="16"/>
                <w:szCs w:val="16"/>
              </w:rPr>
              <w:t>Národní plán povodí Labe do roku 2027</w:t>
            </w:r>
          </w:p>
        </w:tc>
        <w:tc>
          <w:tcPr>
            <w:tcW w:w="589" w:type="pct"/>
            <w:shd w:val="clear" w:color="auto" w:fill="auto"/>
            <w:noWrap/>
            <w:vAlign w:val="center"/>
            <w:hideMark/>
          </w:tcPr>
          <w:p w14:paraId="7812C81E" w14:textId="682F02AA" w:rsidR="006B1923" w:rsidRPr="006B3F59" w:rsidRDefault="006B1923" w:rsidP="006B1923">
            <w:pPr>
              <w:pStyle w:val="Texttabulky"/>
              <w:jc w:val="center"/>
              <w:rPr>
                <w:rFonts w:cs="Arial"/>
                <w:color w:val="auto"/>
                <w:szCs w:val="16"/>
              </w:rPr>
            </w:pPr>
            <w:r w:rsidRPr="006B3F59">
              <w:rPr>
                <w:rFonts w:cs="Arial"/>
                <w:color w:val="auto"/>
                <w:szCs w:val="16"/>
              </w:rPr>
              <w:t>0</w:t>
            </w:r>
          </w:p>
        </w:tc>
        <w:tc>
          <w:tcPr>
            <w:tcW w:w="2796" w:type="pct"/>
          </w:tcPr>
          <w:p w14:paraId="03940F81" w14:textId="2B790D94" w:rsidR="006B1923" w:rsidRPr="006B3F59" w:rsidRDefault="006B1923" w:rsidP="006B1923">
            <w:pPr>
              <w:pStyle w:val="Texttabulky"/>
              <w:jc w:val="center"/>
              <w:rPr>
                <w:rFonts w:cs="Arial"/>
                <w:color w:val="auto"/>
                <w:szCs w:val="16"/>
              </w:rPr>
            </w:pPr>
            <w:r w:rsidRPr="006B3F59">
              <w:rPr>
                <w:rFonts w:cs="Arial"/>
                <w:color w:val="auto"/>
                <w:szCs w:val="16"/>
              </w:rPr>
              <w:t>Nebyla identifikována žádná vazba vůči posuzovanému dokumentu. Národní plán povodí Labe, neobsahuje cíle, podněty, požadavky nebo záměry, které vyžadují řešení v rámci posuzované koncepce.</w:t>
            </w:r>
          </w:p>
        </w:tc>
      </w:tr>
      <w:tr w:rsidR="006B1923" w:rsidRPr="006B3F59" w14:paraId="1212EC8D" w14:textId="77777777" w:rsidTr="00B34C98">
        <w:trPr>
          <w:trHeight w:val="271"/>
        </w:trPr>
        <w:tc>
          <w:tcPr>
            <w:tcW w:w="1615" w:type="pct"/>
            <w:shd w:val="clear" w:color="auto" w:fill="auto"/>
            <w:noWrap/>
            <w:vAlign w:val="center"/>
            <w:hideMark/>
          </w:tcPr>
          <w:p w14:paraId="03C726BC" w14:textId="05EFD3A1" w:rsidR="006B1923" w:rsidRPr="006B3F59" w:rsidRDefault="006B1923" w:rsidP="006B1923">
            <w:pPr>
              <w:pStyle w:val="Odrky1"/>
              <w:rPr>
                <w:sz w:val="16"/>
                <w:szCs w:val="16"/>
              </w:rPr>
            </w:pPr>
            <w:r w:rsidRPr="006B3F59">
              <w:rPr>
                <w:sz w:val="16"/>
                <w:szCs w:val="16"/>
              </w:rPr>
              <w:t xml:space="preserve">Státní program ochrany přírody a krajiny České republiky pro období </w:t>
            </w:r>
            <w:r w:rsidR="003577E4" w:rsidRPr="006B3F59">
              <w:rPr>
                <w:sz w:val="16"/>
                <w:szCs w:val="16"/>
              </w:rPr>
              <w:t>2020–2025</w:t>
            </w:r>
          </w:p>
        </w:tc>
        <w:tc>
          <w:tcPr>
            <w:tcW w:w="589" w:type="pct"/>
            <w:shd w:val="clear" w:color="auto" w:fill="auto"/>
            <w:noWrap/>
            <w:vAlign w:val="center"/>
            <w:hideMark/>
          </w:tcPr>
          <w:p w14:paraId="0A259F3D" w14:textId="23B6A7A4" w:rsidR="006B1923" w:rsidRPr="006B3F59" w:rsidRDefault="00831F6A" w:rsidP="006B1923">
            <w:pPr>
              <w:pStyle w:val="Texttabulky"/>
              <w:jc w:val="center"/>
              <w:rPr>
                <w:rFonts w:cs="Arial"/>
                <w:color w:val="auto"/>
                <w:szCs w:val="16"/>
              </w:rPr>
            </w:pPr>
            <w:r w:rsidRPr="006B3F59">
              <w:rPr>
                <w:rFonts w:cs="Arial"/>
                <w:color w:val="auto"/>
                <w:szCs w:val="16"/>
              </w:rPr>
              <w:t>2</w:t>
            </w:r>
          </w:p>
        </w:tc>
        <w:tc>
          <w:tcPr>
            <w:tcW w:w="2796" w:type="pct"/>
          </w:tcPr>
          <w:p w14:paraId="605AAFB0" w14:textId="66D89862" w:rsidR="006B1923" w:rsidRPr="006B3F59" w:rsidRDefault="002E006D" w:rsidP="00831F6A">
            <w:pPr>
              <w:pStyle w:val="Texttabulky"/>
              <w:jc w:val="center"/>
              <w:rPr>
                <w:rFonts w:cs="Arial"/>
                <w:color w:val="auto"/>
                <w:szCs w:val="16"/>
              </w:rPr>
            </w:pPr>
            <w:r w:rsidRPr="006B3F59">
              <w:rPr>
                <w:rFonts w:cs="Arial"/>
                <w:color w:val="auto"/>
                <w:szCs w:val="16"/>
              </w:rPr>
              <w:t xml:space="preserve">Potenciální přímá vazba z důvodu vytvoření územních předpokladů pro změny využití území v kontaktu se zvláště chráněnými územími bez přímé vazby na cíle Státního programu ochrany přírody a krajiny.  </w:t>
            </w:r>
            <w:r w:rsidR="00831F6A" w:rsidRPr="006B3F59">
              <w:rPr>
                <w:rFonts w:cs="Arial"/>
                <w:color w:val="auto"/>
                <w:szCs w:val="16"/>
              </w:rPr>
              <w:t>Shodným sledovaným cílem je především zlepšení kvality prostředí v</w:t>
            </w:r>
            <w:r w:rsidR="000F02E4" w:rsidRPr="006B3F59">
              <w:rPr>
                <w:rFonts w:cs="Arial"/>
                <w:color w:val="auto"/>
                <w:szCs w:val="16"/>
              </w:rPr>
              <w:t> </w:t>
            </w:r>
            <w:r w:rsidR="00831F6A" w:rsidRPr="006B3F59">
              <w:rPr>
                <w:rFonts w:cs="Arial"/>
                <w:color w:val="auto"/>
                <w:szCs w:val="16"/>
              </w:rPr>
              <w:t>sídlech</w:t>
            </w:r>
            <w:r w:rsidR="000F02E4" w:rsidRPr="006B3F59">
              <w:rPr>
                <w:rFonts w:cs="Arial"/>
                <w:color w:val="auto"/>
                <w:szCs w:val="16"/>
              </w:rPr>
              <w:t>, zakládání nových parků a vymezení vzájemně provázaného systému sídelní a příměstské zeleně včetně jejich využití pro pěší a cyklisty</w:t>
            </w:r>
            <w:r w:rsidR="00831F6A" w:rsidRPr="006B3F59">
              <w:rPr>
                <w:rFonts w:cs="Arial"/>
                <w:color w:val="auto"/>
                <w:szCs w:val="16"/>
              </w:rPr>
              <w:t xml:space="preserve">. </w:t>
            </w:r>
            <w:r w:rsidR="000F02E4" w:rsidRPr="006B3F59">
              <w:rPr>
                <w:rFonts w:cs="Arial"/>
                <w:color w:val="auto"/>
                <w:szCs w:val="16"/>
              </w:rPr>
              <w:t>Potenciálním d</w:t>
            </w:r>
            <w:r w:rsidR="00831F6A" w:rsidRPr="006B3F59">
              <w:rPr>
                <w:rFonts w:cs="Arial"/>
                <w:color w:val="auto"/>
                <w:szCs w:val="16"/>
              </w:rPr>
              <w:t>ílčím rozporem je vytváření územních předpokladů pro lokálně omezený zásah do ploch stávající vzrostlé zeleně, potenciál zásahu do biotopů nebo životních podmínek chráněných druhů</w:t>
            </w:r>
            <w:r w:rsidR="000F02E4" w:rsidRPr="006B3F59">
              <w:rPr>
                <w:rFonts w:cs="Arial"/>
                <w:color w:val="auto"/>
                <w:szCs w:val="16"/>
              </w:rPr>
              <w:t xml:space="preserve">. </w:t>
            </w:r>
          </w:p>
        </w:tc>
      </w:tr>
      <w:tr w:rsidR="006B1923" w:rsidRPr="006B3F59" w14:paraId="10D9227E" w14:textId="77777777" w:rsidTr="00B34C98">
        <w:trPr>
          <w:trHeight w:val="261"/>
        </w:trPr>
        <w:tc>
          <w:tcPr>
            <w:tcW w:w="1615" w:type="pct"/>
            <w:shd w:val="clear" w:color="auto" w:fill="auto"/>
            <w:noWrap/>
            <w:vAlign w:val="center"/>
            <w:hideMark/>
          </w:tcPr>
          <w:p w14:paraId="7B098921" w14:textId="77777777" w:rsidR="006B1923" w:rsidRPr="006B3F59" w:rsidRDefault="006B1923" w:rsidP="006B1923">
            <w:pPr>
              <w:pStyle w:val="Odrky1"/>
              <w:rPr>
                <w:sz w:val="16"/>
                <w:szCs w:val="16"/>
              </w:rPr>
            </w:pPr>
            <w:r w:rsidRPr="006B3F59">
              <w:rPr>
                <w:sz w:val="16"/>
                <w:szCs w:val="16"/>
              </w:rPr>
              <w:t>Strategie ochrany biologické rozmanitosti České republiky 2016-2025</w:t>
            </w:r>
          </w:p>
        </w:tc>
        <w:tc>
          <w:tcPr>
            <w:tcW w:w="589" w:type="pct"/>
            <w:shd w:val="clear" w:color="auto" w:fill="auto"/>
            <w:noWrap/>
            <w:vAlign w:val="center"/>
            <w:hideMark/>
          </w:tcPr>
          <w:p w14:paraId="37DEA1C3" w14:textId="41A03483" w:rsidR="006B1923" w:rsidRPr="006B3F59" w:rsidRDefault="00AB4563" w:rsidP="006B1923">
            <w:pPr>
              <w:pStyle w:val="Texttabulky"/>
              <w:jc w:val="center"/>
              <w:rPr>
                <w:rFonts w:cs="Arial"/>
                <w:color w:val="auto"/>
                <w:szCs w:val="16"/>
              </w:rPr>
            </w:pPr>
            <w:r w:rsidRPr="006B3F59">
              <w:rPr>
                <w:rFonts w:cs="Arial"/>
                <w:color w:val="auto"/>
                <w:szCs w:val="16"/>
              </w:rPr>
              <w:t>2</w:t>
            </w:r>
          </w:p>
        </w:tc>
        <w:tc>
          <w:tcPr>
            <w:tcW w:w="2796" w:type="pct"/>
          </w:tcPr>
          <w:p w14:paraId="72F08988" w14:textId="3E3CB14D" w:rsidR="006B1923" w:rsidRPr="006B3F59" w:rsidRDefault="00AB4563" w:rsidP="006B1923">
            <w:pPr>
              <w:pStyle w:val="Texttabulky"/>
              <w:jc w:val="center"/>
              <w:rPr>
                <w:rFonts w:cs="Arial"/>
                <w:color w:val="auto"/>
                <w:szCs w:val="16"/>
              </w:rPr>
            </w:pPr>
            <w:r w:rsidRPr="006B3F59">
              <w:t>P</w:t>
            </w:r>
            <w:r w:rsidR="006B1923" w:rsidRPr="006B3F59">
              <w:t>římá vazba vůči principům omezování zastavování volné krajiny a upřednostnění využití transformačních území pro výstavbu. Vazba vůči cílům 2.5.1 Omezit rozšiřování zástavby do volné krajiny</w:t>
            </w:r>
            <w:r w:rsidR="001964D3" w:rsidRPr="006B3F59">
              <w:t xml:space="preserve">, </w:t>
            </w:r>
            <w:r w:rsidR="006B1923" w:rsidRPr="006B3F59">
              <w:t>3.5.1 Omezit negativní vlivy suburbanizace na ekologickou stabilitu krajiny</w:t>
            </w:r>
          </w:p>
        </w:tc>
      </w:tr>
      <w:tr w:rsidR="006B1923" w:rsidRPr="006B3F59" w14:paraId="151D1282" w14:textId="77777777" w:rsidTr="00B34C98">
        <w:trPr>
          <w:trHeight w:val="261"/>
        </w:trPr>
        <w:tc>
          <w:tcPr>
            <w:tcW w:w="1615" w:type="pct"/>
            <w:shd w:val="clear" w:color="auto" w:fill="auto"/>
            <w:noWrap/>
            <w:vAlign w:val="center"/>
          </w:tcPr>
          <w:p w14:paraId="750CE774" w14:textId="77777777" w:rsidR="006B1923" w:rsidRPr="006B3F59" w:rsidRDefault="006B1923" w:rsidP="006B1923">
            <w:pPr>
              <w:pStyle w:val="Odrky1"/>
              <w:rPr>
                <w:sz w:val="16"/>
                <w:szCs w:val="16"/>
              </w:rPr>
            </w:pPr>
            <w:r w:rsidRPr="006B3F59">
              <w:rPr>
                <w:sz w:val="16"/>
                <w:szCs w:val="16"/>
              </w:rPr>
              <w:t>Surovinová politika ČR v oblasti nerostných surovin a jejich zdrojů 2017</w:t>
            </w:r>
          </w:p>
        </w:tc>
        <w:tc>
          <w:tcPr>
            <w:tcW w:w="589" w:type="pct"/>
            <w:shd w:val="clear" w:color="auto" w:fill="auto"/>
            <w:noWrap/>
          </w:tcPr>
          <w:p w14:paraId="0B184960" w14:textId="2B02E82A" w:rsidR="006B1923" w:rsidRPr="006B3F59" w:rsidRDefault="006B1923" w:rsidP="006B1923">
            <w:pPr>
              <w:pStyle w:val="Texttabulky"/>
              <w:jc w:val="center"/>
              <w:rPr>
                <w:rFonts w:cs="Arial"/>
                <w:color w:val="auto"/>
                <w:szCs w:val="16"/>
              </w:rPr>
            </w:pPr>
            <w:r w:rsidRPr="006B3F59">
              <w:rPr>
                <w:rFonts w:cs="Arial"/>
                <w:color w:val="auto"/>
                <w:szCs w:val="16"/>
              </w:rPr>
              <w:t>0</w:t>
            </w:r>
          </w:p>
        </w:tc>
        <w:tc>
          <w:tcPr>
            <w:tcW w:w="2796" w:type="pct"/>
          </w:tcPr>
          <w:p w14:paraId="3DC3A1A5" w14:textId="48CE83E1" w:rsidR="006B1923" w:rsidRPr="006B3F59" w:rsidRDefault="006B1923" w:rsidP="006B1923">
            <w:pPr>
              <w:pStyle w:val="Texttabulky"/>
              <w:jc w:val="center"/>
              <w:rPr>
                <w:rFonts w:cs="Arial"/>
                <w:color w:val="auto"/>
                <w:szCs w:val="16"/>
              </w:rPr>
            </w:pPr>
            <w:r w:rsidRPr="006B3F59">
              <w:rPr>
                <w:rFonts w:cs="Arial"/>
                <w:color w:val="auto"/>
                <w:szCs w:val="16"/>
              </w:rPr>
              <w:t>Nebyla identifikována žádná vazba vůči posuzovanému dokumentu, Surovinová politika, neobsahuje cíle, podněty, požadavky nebo záměry, které vyžadují řešení v rámci posuzované koncepce.</w:t>
            </w:r>
          </w:p>
        </w:tc>
      </w:tr>
      <w:tr w:rsidR="006B1923" w:rsidRPr="006B3F59" w14:paraId="6442D377" w14:textId="77777777" w:rsidTr="00B34C98">
        <w:trPr>
          <w:trHeight w:val="261"/>
        </w:trPr>
        <w:tc>
          <w:tcPr>
            <w:tcW w:w="1615" w:type="pct"/>
            <w:shd w:val="clear" w:color="auto" w:fill="auto"/>
            <w:noWrap/>
            <w:vAlign w:val="center"/>
          </w:tcPr>
          <w:p w14:paraId="175BB75B" w14:textId="77777777" w:rsidR="006B1923" w:rsidRPr="006B3F59" w:rsidRDefault="006B1923" w:rsidP="006B1923">
            <w:pPr>
              <w:pStyle w:val="Odrky1"/>
              <w:rPr>
                <w:sz w:val="16"/>
                <w:szCs w:val="16"/>
              </w:rPr>
            </w:pPr>
            <w:r w:rsidRPr="006B3F59">
              <w:rPr>
                <w:sz w:val="16"/>
                <w:szCs w:val="16"/>
              </w:rPr>
              <w:t>Aktualizace politiky druhotných surovin ČR 2019-2022</w:t>
            </w:r>
          </w:p>
        </w:tc>
        <w:tc>
          <w:tcPr>
            <w:tcW w:w="589" w:type="pct"/>
            <w:shd w:val="clear" w:color="auto" w:fill="auto"/>
            <w:noWrap/>
          </w:tcPr>
          <w:p w14:paraId="3495E564" w14:textId="40A39C21" w:rsidR="006B1923" w:rsidRPr="006B3F59" w:rsidRDefault="006B1923" w:rsidP="006B1923">
            <w:pPr>
              <w:pStyle w:val="Texttabulky"/>
              <w:jc w:val="center"/>
              <w:rPr>
                <w:rFonts w:cs="Arial"/>
                <w:color w:val="auto"/>
                <w:szCs w:val="16"/>
              </w:rPr>
            </w:pPr>
            <w:r w:rsidRPr="006B3F59">
              <w:rPr>
                <w:rFonts w:cs="Arial"/>
                <w:color w:val="auto"/>
                <w:szCs w:val="16"/>
              </w:rPr>
              <w:t>0</w:t>
            </w:r>
          </w:p>
        </w:tc>
        <w:tc>
          <w:tcPr>
            <w:tcW w:w="2796" w:type="pct"/>
          </w:tcPr>
          <w:p w14:paraId="758E042B" w14:textId="0469860D" w:rsidR="006B1923" w:rsidRPr="006B3F59" w:rsidRDefault="006B1923" w:rsidP="006B1923">
            <w:pPr>
              <w:pStyle w:val="Texttabulky"/>
              <w:jc w:val="center"/>
              <w:rPr>
                <w:rFonts w:cs="Arial"/>
                <w:color w:val="auto"/>
                <w:szCs w:val="16"/>
              </w:rPr>
            </w:pPr>
            <w:r w:rsidRPr="006B3F59">
              <w:rPr>
                <w:rFonts w:cs="Arial"/>
                <w:color w:val="auto"/>
                <w:szCs w:val="16"/>
              </w:rPr>
              <w:t>Nebyla identifikována žádná vazba vůči posuzovanému dokumentu, Politika druhotných surovin, neobsahuje cíle, podněty, požadavky nebo záměry, které vyžadují řešení v rámci posuzované koncepce.</w:t>
            </w:r>
          </w:p>
        </w:tc>
      </w:tr>
      <w:tr w:rsidR="006B1923" w:rsidRPr="006B3F59" w14:paraId="7FFA17B3" w14:textId="77777777" w:rsidTr="00B34C98">
        <w:trPr>
          <w:trHeight w:val="261"/>
        </w:trPr>
        <w:tc>
          <w:tcPr>
            <w:tcW w:w="1615" w:type="pct"/>
            <w:shd w:val="clear" w:color="auto" w:fill="auto"/>
            <w:noWrap/>
            <w:vAlign w:val="center"/>
          </w:tcPr>
          <w:p w14:paraId="72B76128" w14:textId="77777777" w:rsidR="006B1923" w:rsidRPr="006B3F59" w:rsidRDefault="006B1923" w:rsidP="006B1923">
            <w:pPr>
              <w:pStyle w:val="Odrky1"/>
              <w:rPr>
                <w:sz w:val="16"/>
                <w:szCs w:val="16"/>
              </w:rPr>
            </w:pPr>
            <w:r w:rsidRPr="006B3F59">
              <w:rPr>
                <w:sz w:val="16"/>
                <w:szCs w:val="16"/>
              </w:rPr>
              <w:t>Aktualizace státní energetické koncepce ČR (2015)</w:t>
            </w:r>
          </w:p>
        </w:tc>
        <w:tc>
          <w:tcPr>
            <w:tcW w:w="589" w:type="pct"/>
            <w:shd w:val="clear" w:color="auto" w:fill="auto"/>
            <w:noWrap/>
          </w:tcPr>
          <w:p w14:paraId="00172F13" w14:textId="76AA64FD" w:rsidR="006B1923" w:rsidRPr="006B3F59" w:rsidRDefault="006B1923" w:rsidP="006B1923">
            <w:pPr>
              <w:pStyle w:val="Texttabulky"/>
              <w:jc w:val="center"/>
              <w:rPr>
                <w:rFonts w:cs="Arial"/>
                <w:color w:val="auto"/>
                <w:szCs w:val="16"/>
              </w:rPr>
            </w:pPr>
            <w:r w:rsidRPr="006B3F59">
              <w:rPr>
                <w:rFonts w:cs="Arial"/>
                <w:color w:val="auto"/>
                <w:szCs w:val="16"/>
              </w:rPr>
              <w:t>1</w:t>
            </w:r>
          </w:p>
        </w:tc>
        <w:tc>
          <w:tcPr>
            <w:tcW w:w="2796" w:type="pct"/>
          </w:tcPr>
          <w:p w14:paraId="1475A2FA" w14:textId="1B4B19ED" w:rsidR="006B1923" w:rsidRPr="006B3F59" w:rsidRDefault="006B1923" w:rsidP="006B1923">
            <w:pPr>
              <w:pStyle w:val="Texttabulky"/>
              <w:jc w:val="center"/>
              <w:rPr>
                <w:rFonts w:cs="Arial"/>
                <w:color w:val="auto"/>
                <w:szCs w:val="16"/>
              </w:rPr>
            </w:pPr>
            <w:r w:rsidRPr="006B3F59">
              <w:rPr>
                <w:rFonts w:cs="Arial"/>
                <w:color w:val="auto"/>
                <w:szCs w:val="16"/>
              </w:rPr>
              <w:t xml:space="preserve">Zprostředkovaně nepřímá vazba vůči dílčímu cíli energetické politiky v oblasti dopravy </w:t>
            </w:r>
            <w:r w:rsidRPr="006B3F59">
              <w:t>E.5. Rozvíjet infrastrukturu pro ekologičtější dopravní prostředky a telematické systémy řízení dopravy směřujících k automatizaci a optimalizaci dopravy. Je nutno na oblast dopravy nahlížet komplexně se zahrnutím všech alternativ, bez přímé vazby na opatření.</w:t>
            </w:r>
          </w:p>
        </w:tc>
      </w:tr>
      <w:tr w:rsidR="006B1923" w:rsidRPr="006B3F59" w14:paraId="71759B93" w14:textId="77777777" w:rsidTr="00B34C98">
        <w:trPr>
          <w:trHeight w:val="261"/>
        </w:trPr>
        <w:tc>
          <w:tcPr>
            <w:tcW w:w="1615" w:type="pct"/>
            <w:shd w:val="clear" w:color="auto" w:fill="auto"/>
            <w:noWrap/>
            <w:vAlign w:val="center"/>
          </w:tcPr>
          <w:p w14:paraId="386C3571" w14:textId="77777777" w:rsidR="006B1923" w:rsidRPr="006B3F59" w:rsidRDefault="006B1923" w:rsidP="006B1923">
            <w:pPr>
              <w:pStyle w:val="Odrky1"/>
              <w:rPr>
                <w:sz w:val="16"/>
                <w:szCs w:val="16"/>
              </w:rPr>
            </w:pPr>
            <w:r w:rsidRPr="006B3F59">
              <w:rPr>
                <w:sz w:val="16"/>
                <w:szCs w:val="16"/>
              </w:rPr>
              <w:t xml:space="preserve">Koncepce bydlení České republiky 2021+ </w:t>
            </w:r>
          </w:p>
        </w:tc>
        <w:tc>
          <w:tcPr>
            <w:tcW w:w="589" w:type="pct"/>
            <w:shd w:val="clear" w:color="auto" w:fill="auto"/>
            <w:noWrap/>
            <w:vAlign w:val="center"/>
          </w:tcPr>
          <w:p w14:paraId="2A4B0ACA" w14:textId="2E9AB9C5" w:rsidR="006B1923" w:rsidRPr="006B3F59" w:rsidRDefault="006B1923" w:rsidP="006B1923">
            <w:pPr>
              <w:pStyle w:val="Texttabulky"/>
              <w:jc w:val="center"/>
              <w:rPr>
                <w:rFonts w:cs="Arial"/>
                <w:color w:val="auto"/>
                <w:szCs w:val="16"/>
              </w:rPr>
            </w:pPr>
            <w:r w:rsidRPr="006B3F59">
              <w:rPr>
                <w:rFonts w:cs="Arial"/>
                <w:color w:val="auto"/>
                <w:szCs w:val="16"/>
              </w:rPr>
              <w:t>1</w:t>
            </w:r>
          </w:p>
        </w:tc>
        <w:tc>
          <w:tcPr>
            <w:tcW w:w="2796" w:type="pct"/>
          </w:tcPr>
          <w:p w14:paraId="1BE9BFF3" w14:textId="1C776DC9" w:rsidR="006B1923" w:rsidRPr="006B3F59" w:rsidRDefault="006B1923" w:rsidP="006B1923">
            <w:pPr>
              <w:pStyle w:val="Texttabulky"/>
              <w:jc w:val="center"/>
              <w:rPr>
                <w:rFonts w:cs="Arial"/>
                <w:color w:val="auto"/>
                <w:szCs w:val="16"/>
              </w:rPr>
            </w:pPr>
            <w:r w:rsidRPr="006B3F59">
              <w:rPr>
                <w:rFonts w:cs="Arial"/>
                <w:color w:val="auto"/>
                <w:szCs w:val="16"/>
              </w:rPr>
              <w:t xml:space="preserve">Nepřímá pozitivní vazba vůči </w:t>
            </w:r>
            <w:r w:rsidRPr="006B3F59">
              <w:t>Opatření 9. Využívání nástrojů územního plánování na podporu cenově dostupného bydlení a zrychlení výstavby</w:t>
            </w:r>
            <w:r w:rsidRPr="006B3F59">
              <w:rPr>
                <w:rFonts w:cs="Arial"/>
                <w:color w:val="auto"/>
                <w:szCs w:val="16"/>
              </w:rPr>
              <w:t>.</w:t>
            </w:r>
          </w:p>
        </w:tc>
      </w:tr>
      <w:tr w:rsidR="006B1923" w:rsidRPr="006B3F59" w14:paraId="5D9D415D" w14:textId="77777777" w:rsidTr="00B34C98">
        <w:trPr>
          <w:trHeight w:val="261"/>
        </w:trPr>
        <w:tc>
          <w:tcPr>
            <w:tcW w:w="1615" w:type="pct"/>
            <w:shd w:val="clear" w:color="auto" w:fill="auto"/>
            <w:noWrap/>
            <w:vAlign w:val="center"/>
          </w:tcPr>
          <w:p w14:paraId="47DE4F7C" w14:textId="77777777" w:rsidR="006B1923" w:rsidRPr="006B3F59" w:rsidRDefault="006B1923" w:rsidP="006B1923">
            <w:pPr>
              <w:pStyle w:val="Odrky1"/>
              <w:rPr>
                <w:sz w:val="16"/>
                <w:szCs w:val="16"/>
              </w:rPr>
            </w:pPr>
            <w:r w:rsidRPr="006B3F59">
              <w:rPr>
                <w:sz w:val="16"/>
                <w:szCs w:val="16"/>
              </w:rPr>
              <w:t>Politika architektury a stavební kultury ČR (2015)</w:t>
            </w:r>
          </w:p>
        </w:tc>
        <w:tc>
          <w:tcPr>
            <w:tcW w:w="589" w:type="pct"/>
            <w:shd w:val="clear" w:color="auto" w:fill="auto"/>
            <w:noWrap/>
            <w:vAlign w:val="center"/>
          </w:tcPr>
          <w:p w14:paraId="369C3644" w14:textId="2CA4C97C" w:rsidR="006B1923" w:rsidRPr="006B3F59" w:rsidRDefault="006B1923" w:rsidP="006B1923">
            <w:pPr>
              <w:pStyle w:val="Texttabulky"/>
              <w:jc w:val="center"/>
              <w:rPr>
                <w:rFonts w:cs="Arial"/>
                <w:color w:val="auto"/>
                <w:szCs w:val="16"/>
              </w:rPr>
            </w:pPr>
            <w:r w:rsidRPr="006B3F59">
              <w:rPr>
                <w:rFonts w:cs="Arial"/>
                <w:color w:val="auto"/>
                <w:szCs w:val="16"/>
              </w:rPr>
              <w:t>0</w:t>
            </w:r>
          </w:p>
        </w:tc>
        <w:tc>
          <w:tcPr>
            <w:tcW w:w="2796" w:type="pct"/>
          </w:tcPr>
          <w:p w14:paraId="21DAAFF6" w14:textId="4ACA8330" w:rsidR="006B1923" w:rsidRPr="006B3F59" w:rsidRDefault="006B1923" w:rsidP="006B1923">
            <w:pPr>
              <w:pStyle w:val="Texttabulky"/>
              <w:jc w:val="center"/>
              <w:rPr>
                <w:rFonts w:cs="Arial"/>
                <w:color w:val="auto"/>
                <w:szCs w:val="16"/>
              </w:rPr>
            </w:pPr>
            <w:r w:rsidRPr="006B3F59">
              <w:rPr>
                <w:rFonts w:cs="Arial"/>
                <w:color w:val="auto"/>
                <w:szCs w:val="16"/>
              </w:rPr>
              <w:t>Nebyla identifikována žádná vazba vůči posuzovanému dokumentu, Koncepce bydlení a stavební kultury, neobsahuje cíle, podněty, požadavky nebo záměry, které vyžadují řešení v rámci posuzované koncepce.</w:t>
            </w:r>
          </w:p>
        </w:tc>
      </w:tr>
      <w:tr w:rsidR="006B1923" w:rsidRPr="006B3F59" w14:paraId="2198D14C" w14:textId="77777777" w:rsidTr="00B34C98">
        <w:trPr>
          <w:trHeight w:val="60"/>
        </w:trPr>
        <w:tc>
          <w:tcPr>
            <w:tcW w:w="1615" w:type="pct"/>
            <w:shd w:val="clear" w:color="auto" w:fill="auto"/>
            <w:noWrap/>
            <w:vAlign w:val="center"/>
          </w:tcPr>
          <w:p w14:paraId="74E1742F" w14:textId="77777777" w:rsidR="006B1923" w:rsidRPr="006B3F59" w:rsidRDefault="006B1923" w:rsidP="006B1923">
            <w:pPr>
              <w:pStyle w:val="Odrky1"/>
              <w:rPr>
                <w:sz w:val="16"/>
                <w:szCs w:val="16"/>
              </w:rPr>
            </w:pPr>
            <w:r w:rsidRPr="006B3F59">
              <w:rPr>
                <w:sz w:val="16"/>
                <w:szCs w:val="16"/>
              </w:rPr>
              <w:t>Strategie přizpůsobení se změnám klimatu v podmínkách ČR (Národní adaptační strategie, První aktualizace pro období 2021-2030)</w:t>
            </w:r>
          </w:p>
        </w:tc>
        <w:tc>
          <w:tcPr>
            <w:tcW w:w="589" w:type="pct"/>
            <w:shd w:val="clear" w:color="auto" w:fill="auto"/>
            <w:noWrap/>
            <w:vAlign w:val="center"/>
          </w:tcPr>
          <w:p w14:paraId="08332265" w14:textId="6296FC86" w:rsidR="006B1923" w:rsidRPr="006B3F59" w:rsidRDefault="006B1923" w:rsidP="006B1923">
            <w:pPr>
              <w:pStyle w:val="Texttabulky"/>
              <w:jc w:val="center"/>
              <w:rPr>
                <w:rFonts w:cs="Arial"/>
                <w:color w:val="auto"/>
                <w:szCs w:val="16"/>
              </w:rPr>
            </w:pPr>
            <w:r w:rsidRPr="006B3F59">
              <w:rPr>
                <w:rFonts w:cs="Arial"/>
                <w:color w:val="auto"/>
                <w:szCs w:val="16"/>
              </w:rPr>
              <w:t>1</w:t>
            </w:r>
          </w:p>
        </w:tc>
        <w:tc>
          <w:tcPr>
            <w:tcW w:w="2796" w:type="pct"/>
          </w:tcPr>
          <w:p w14:paraId="2CBB1EC9" w14:textId="233B5C1A" w:rsidR="006B1923" w:rsidRPr="006B3F59" w:rsidRDefault="006B1923" w:rsidP="006B1923">
            <w:pPr>
              <w:pStyle w:val="Texttabulky"/>
              <w:jc w:val="center"/>
              <w:rPr>
                <w:rFonts w:cs="Arial"/>
                <w:color w:val="auto"/>
                <w:szCs w:val="16"/>
              </w:rPr>
            </w:pPr>
            <w:r w:rsidRPr="006B3F59">
              <w:rPr>
                <w:rFonts w:cs="Arial"/>
                <w:color w:val="auto"/>
                <w:szCs w:val="16"/>
              </w:rPr>
              <w:t>Identifikována pouze nepřímá vazba vůči strategickým cílům Adaptační strategie z hlediska rozšiřování zastavěného území bez vazby na hospodaření v krajině a adaptační opatření v sídlech navrhovaná ve strategii.</w:t>
            </w:r>
            <w:r w:rsidR="00C908C2" w:rsidRPr="006B3F59">
              <w:rPr>
                <w:rFonts w:cs="Arial"/>
                <w:color w:val="auto"/>
                <w:szCs w:val="16"/>
              </w:rPr>
              <w:t xml:space="preserve"> </w:t>
            </w:r>
            <w:r w:rsidR="00831F6A" w:rsidRPr="006B3F59">
              <w:rPr>
                <w:rFonts w:cs="Arial"/>
                <w:color w:val="auto"/>
                <w:szCs w:val="16"/>
              </w:rPr>
              <w:t>Nepřímo jsou v</w:t>
            </w:r>
            <w:r w:rsidR="00C908C2" w:rsidRPr="006B3F59">
              <w:rPr>
                <w:rFonts w:cs="Arial"/>
                <w:color w:val="auto"/>
                <w:szCs w:val="16"/>
              </w:rPr>
              <w:t xml:space="preserve">ytvářeny územní předpoklady pro </w:t>
            </w:r>
            <w:r w:rsidR="00831F6A" w:rsidRPr="006B3F59">
              <w:rPr>
                <w:rFonts w:cs="Arial"/>
                <w:color w:val="auto"/>
                <w:szCs w:val="16"/>
              </w:rPr>
              <w:t>zajištění funkčního a ekologicky stabilního systému sídelní zel</w:t>
            </w:r>
            <w:r w:rsidR="00914B28" w:rsidRPr="006B3F59">
              <w:rPr>
                <w:rFonts w:cs="Arial"/>
                <w:color w:val="auto"/>
                <w:szCs w:val="16"/>
              </w:rPr>
              <w:t>e</w:t>
            </w:r>
            <w:r w:rsidR="00831F6A" w:rsidRPr="006B3F59">
              <w:rPr>
                <w:rFonts w:cs="Arial"/>
                <w:color w:val="auto"/>
                <w:szCs w:val="16"/>
              </w:rPr>
              <w:t>ně a variability urbanizovaného území.</w:t>
            </w:r>
          </w:p>
        </w:tc>
      </w:tr>
      <w:tr w:rsidR="006B1923" w:rsidRPr="006B3F59" w14:paraId="49947E85" w14:textId="77777777" w:rsidTr="00B34C98">
        <w:trPr>
          <w:trHeight w:val="60"/>
        </w:trPr>
        <w:tc>
          <w:tcPr>
            <w:tcW w:w="1615" w:type="pct"/>
            <w:shd w:val="clear" w:color="auto" w:fill="auto"/>
            <w:noWrap/>
            <w:vAlign w:val="center"/>
          </w:tcPr>
          <w:p w14:paraId="7EA22700" w14:textId="77777777" w:rsidR="006B1923" w:rsidRPr="006B3F59" w:rsidRDefault="006B1923" w:rsidP="006B1923">
            <w:pPr>
              <w:pStyle w:val="Odrky1"/>
              <w:rPr>
                <w:sz w:val="16"/>
                <w:szCs w:val="16"/>
              </w:rPr>
            </w:pPr>
            <w:r w:rsidRPr="006B3F59">
              <w:rPr>
                <w:sz w:val="16"/>
                <w:szCs w:val="16"/>
              </w:rPr>
              <w:t>Plán pro zvládání povodňových rizik v povodí Labe pro období 2021-2027</w:t>
            </w:r>
          </w:p>
        </w:tc>
        <w:tc>
          <w:tcPr>
            <w:tcW w:w="589" w:type="pct"/>
            <w:shd w:val="clear" w:color="auto" w:fill="auto"/>
            <w:noWrap/>
          </w:tcPr>
          <w:p w14:paraId="2DBF1566" w14:textId="2F52EF30" w:rsidR="006B1923" w:rsidRPr="006B3F59" w:rsidRDefault="006B1923" w:rsidP="006B1923">
            <w:pPr>
              <w:pStyle w:val="Texttabulky"/>
              <w:jc w:val="center"/>
              <w:rPr>
                <w:rFonts w:cs="Arial"/>
                <w:color w:val="auto"/>
                <w:szCs w:val="16"/>
              </w:rPr>
            </w:pPr>
            <w:r w:rsidRPr="006B3F59">
              <w:rPr>
                <w:rFonts w:cs="Arial"/>
                <w:color w:val="auto"/>
                <w:szCs w:val="16"/>
              </w:rPr>
              <w:t>0</w:t>
            </w:r>
          </w:p>
        </w:tc>
        <w:tc>
          <w:tcPr>
            <w:tcW w:w="2796" w:type="pct"/>
          </w:tcPr>
          <w:p w14:paraId="16A4C133" w14:textId="1A452D00" w:rsidR="006B1923" w:rsidRPr="006B3F59" w:rsidRDefault="006B1923" w:rsidP="006B1923">
            <w:pPr>
              <w:pStyle w:val="Texttabulky"/>
              <w:jc w:val="center"/>
              <w:rPr>
                <w:rFonts w:cs="Arial"/>
                <w:color w:val="auto"/>
                <w:szCs w:val="16"/>
              </w:rPr>
            </w:pPr>
            <w:r w:rsidRPr="006B3F59">
              <w:rPr>
                <w:rFonts w:cs="Arial"/>
                <w:color w:val="auto"/>
                <w:szCs w:val="16"/>
              </w:rPr>
              <w:t>Nebyla identifikována žádná vazba vůči posuzovanému dokumentu. Plán pro zvládání povodňových rizik v povodí Labe, neobsahuje cíle, podněty, požadavky nebo záměry, které vyžadují řešení v rámci posuzované koncepce</w:t>
            </w:r>
          </w:p>
        </w:tc>
      </w:tr>
      <w:tr w:rsidR="006B1923" w:rsidRPr="006B3F59" w14:paraId="70061360" w14:textId="77777777" w:rsidTr="00B34C98">
        <w:trPr>
          <w:trHeight w:val="60"/>
        </w:trPr>
        <w:tc>
          <w:tcPr>
            <w:tcW w:w="1615" w:type="pct"/>
            <w:shd w:val="clear" w:color="auto" w:fill="auto"/>
            <w:noWrap/>
            <w:vAlign w:val="center"/>
          </w:tcPr>
          <w:p w14:paraId="60C6889C" w14:textId="77777777" w:rsidR="006B1923" w:rsidRPr="006B3F59" w:rsidRDefault="006B1923" w:rsidP="006B1923">
            <w:pPr>
              <w:pStyle w:val="Odrky1"/>
              <w:rPr>
                <w:sz w:val="16"/>
                <w:szCs w:val="16"/>
              </w:rPr>
            </w:pPr>
            <w:r w:rsidRPr="006B3F59">
              <w:rPr>
                <w:sz w:val="16"/>
                <w:szCs w:val="16"/>
              </w:rPr>
              <w:t>Aktualizace Národního akčního plánu čisté mobility (2020)</w:t>
            </w:r>
          </w:p>
        </w:tc>
        <w:tc>
          <w:tcPr>
            <w:tcW w:w="589" w:type="pct"/>
            <w:shd w:val="clear" w:color="auto" w:fill="auto"/>
            <w:noWrap/>
          </w:tcPr>
          <w:p w14:paraId="3B73AFC6" w14:textId="7D31E8F9" w:rsidR="006B1923" w:rsidRPr="006B3F59" w:rsidRDefault="00831F6A" w:rsidP="006B1923">
            <w:pPr>
              <w:pStyle w:val="Texttabulky"/>
              <w:jc w:val="center"/>
              <w:rPr>
                <w:rFonts w:cs="Arial"/>
                <w:color w:val="auto"/>
                <w:szCs w:val="16"/>
              </w:rPr>
            </w:pPr>
            <w:r w:rsidRPr="006B3F59">
              <w:rPr>
                <w:rFonts w:cs="Arial"/>
                <w:color w:val="auto"/>
                <w:szCs w:val="16"/>
              </w:rPr>
              <w:t>1</w:t>
            </w:r>
          </w:p>
        </w:tc>
        <w:tc>
          <w:tcPr>
            <w:tcW w:w="2796" w:type="pct"/>
          </w:tcPr>
          <w:p w14:paraId="602B165F" w14:textId="43962149" w:rsidR="006B1923" w:rsidRPr="006B3F59" w:rsidRDefault="00831F6A" w:rsidP="006B1923">
            <w:pPr>
              <w:pStyle w:val="Texttabulky"/>
              <w:jc w:val="center"/>
              <w:rPr>
                <w:rFonts w:cs="Arial"/>
                <w:color w:val="auto"/>
                <w:szCs w:val="16"/>
              </w:rPr>
            </w:pPr>
            <w:r w:rsidRPr="006B3F59">
              <w:rPr>
                <w:rFonts w:cs="Arial"/>
                <w:color w:val="auto"/>
                <w:szCs w:val="16"/>
              </w:rPr>
              <w:t>Posuzovaná změna územního plánu má vůči této koncepcí nepřímo pozitivní vazbu v otázce zlepšení dopravní obslužnosti území VHD a vytvoření územních předpokladů pro novou tramvajovou trať, nepřímo pozitivně se projeví zlepšení kvality veřejných prostranství a dopravní obslužnosti území včetně bezpečnosti dopravy</w:t>
            </w:r>
            <w:r w:rsidR="006B1923" w:rsidRPr="006B3F59">
              <w:rPr>
                <w:rFonts w:cs="Arial"/>
                <w:color w:val="auto"/>
                <w:szCs w:val="16"/>
              </w:rPr>
              <w:t xml:space="preserve">. Aktualizace národního </w:t>
            </w:r>
            <w:r w:rsidR="006B1923" w:rsidRPr="006B3F59">
              <w:rPr>
                <w:rFonts w:cs="Arial"/>
                <w:color w:val="auto"/>
                <w:szCs w:val="16"/>
              </w:rPr>
              <w:lastRenderedPageBreak/>
              <w:t>akčního plánu čisté mobility, neobsahuje cíle, podněty, požadavky nebo záměry, které vyžadují řešení v rámci posuzované koncepce s výjimkou obecného principu podpory nízkoemisní veřejné dopravy.</w:t>
            </w:r>
          </w:p>
        </w:tc>
      </w:tr>
      <w:tr w:rsidR="006B1923" w:rsidRPr="006B3F59" w14:paraId="1982BE98" w14:textId="77777777" w:rsidTr="00B34C98">
        <w:trPr>
          <w:trHeight w:val="207"/>
        </w:trPr>
        <w:tc>
          <w:tcPr>
            <w:tcW w:w="2204" w:type="pct"/>
            <w:gridSpan w:val="2"/>
            <w:shd w:val="clear" w:color="auto" w:fill="C2D69B" w:themeFill="accent3" w:themeFillTint="99"/>
            <w:noWrap/>
          </w:tcPr>
          <w:p w14:paraId="3422340D" w14:textId="77777777" w:rsidR="006B1923" w:rsidRPr="006B3F59" w:rsidRDefault="006B1923" w:rsidP="006B1923">
            <w:pPr>
              <w:pStyle w:val="Texttabulky"/>
              <w:jc w:val="center"/>
              <w:rPr>
                <w:rFonts w:cs="Arial"/>
                <w:b/>
                <w:bCs/>
                <w:color w:val="auto"/>
                <w:szCs w:val="16"/>
              </w:rPr>
            </w:pPr>
            <w:r w:rsidRPr="006B3F59">
              <w:rPr>
                <w:rFonts w:cs="Arial"/>
                <w:b/>
                <w:bCs/>
                <w:color w:val="auto"/>
                <w:szCs w:val="16"/>
              </w:rPr>
              <w:t>Regionální úroveň</w:t>
            </w:r>
          </w:p>
        </w:tc>
        <w:tc>
          <w:tcPr>
            <w:tcW w:w="2796" w:type="pct"/>
            <w:shd w:val="clear" w:color="auto" w:fill="C2D69B" w:themeFill="accent3" w:themeFillTint="99"/>
          </w:tcPr>
          <w:p w14:paraId="1F339909" w14:textId="4D9E5BEA" w:rsidR="006B1923" w:rsidRPr="006B3F59" w:rsidRDefault="006B1923" w:rsidP="006B1923">
            <w:pPr>
              <w:pStyle w:val="Texttabulky"/>
              <w:jc w:val="center"/>
              <w:rPr>
                <w:rFonts w:cs="Arial"/>
                <w:b/>
                <w:bCs/>
                <w:color w:val="auto"/>
                <w:szCs w:val="16"/>
              </w:rPr>
            </w:pPr>
            <w:r w:rsidRPr="006B3F59">
              <w:rPr>
                <w:rFonts w:cs="Arial"/>
                <w:b/>
                <w:bCs/>
                <w:color w:val="auto"/>
                <w:szCs w:val="16"/>
              </w:rPr>
              <w:t>Regionální úroveň</w:t>
            </w:r>
          </w:p>
        </w:tc>
      </w:tr>
      <w:tr w:rsidR="006B1923" w:rsidRPr="006B3F59" w14:paraId="7A5219B1" w14:textId="77777777" w:rsidTr="00BD7256">
        <w:trPr>
          <w:trHeight w:val="207"/>
        </w:trPr>
        <w:tc>
          <w:tcPr>
            <w:tcW w:w="1615" w:type="pct"/>
            <w:shd w:val="clear" w:color="auto" w:fill="auto"/>
            <w:noWrap/>
            <w:vAlign w:val="center"/>
          </w:tcPr>
          <w:p w14:paraId="47D69C45" w14:textId="77777777" w:rsidR="006B1923" w:rsidRPr="006B3F59" w:rsidRDefault="006B1923" w:rsidP="006B1923">
            <w:pPr>
              <w:pStyle w:val="Odrky1"/>
              <w:jc w:val="left"/>
              <w:rPr>
                <w:rFonts w:cs="Arial"/>
                <w:sz w:val="16"/>
                <w:szCs w:val="16"/>
              </w:rPr>
            </w:pPr>
            <w:r w:rsidRPr="006B3F59">
              <w:rPr>
                <w:sz w:val="16"/>
                <w:szCs w:val="16"/>
              </w:rPr>
              <w:t>Zásady územního rozvoje Hlavního města Prahy, ve znění účinném od 28. 7. 2022</w:t>
            </w:r>
          </w:p>
        </w:tc>
        <w:tc>
          <w:tcPr>
            <w:tcW w:w="589" w:type="pct"/>
            <w:shd w:val="clear" w:color="auto" w:fill="auto"/>
            <w:noWrap/>
            <w:vAlign w:val="center"/>
          </w:tcPr>
          <w:p w14:paraId="0F35CEBF" w14:textId="1E84436A" w:rsidR="006B1923" w:rsidRPr="006B3F59" w:rsidRDefault="00586478" w:rsidP="006B1923">
            <w:pPr>
              <w:pStyle w:val="Texttabulky"/>
              <w:jc w:val="center"/>
              <w:rPr>
                <w:rFonts w:cs="Arial"/>
                <w:color w:val="auto"/>
                <w:szCs w:val="16"/>
              </w:rPr>
            </w:pPr>
            <w:r w:rsidRPr="006B3F59">
              <w:rPr>
                <w:rFonts w:cs="Arial"/>
                <w:color w:val="auto"/>
                <w:szCs w:val="16"/>
              </w:rPr>
              <w:t>2</w:t>
            </w:r>
          </w:p>
        </w:tc>
        <w:tc>
          <w:tcPr>
            <w:tcW w:w="2796" w:type="pct"/>
            <w:vAlign w:val="center"/>
          </w:tcPr>
          <w:p w14:paraId="1E493A66" w14:textId="45DA17F9" w:rsidR="006B1923" w:rsidRPr="006B3F59" w:rsidRDefault="00586478" w:rsidP="002A41DE">
            <w:pPr>
              <w:pStyle w:val="Texttabulky"/>
              <w:jc w:val="center"/>
              <w:rPr>
                <w:rFonts w:cs="Arial"/>
                <w:color w:val="auto"/>
                <w:szCs w:val="16"/>
              </w:rPr>
            </w:pPr>
            <w:r w:rsidRPr="006B3F59">
              <w:rPr>
                <w:rFonts w:cs="Arial"/>
                <w:color w:val="auto"/>
                <w:szCs w:val="16"/>
              </w:rPr>
              <w:t>Přímá</w:t>
            </w:r>
            <w:r w:rsidR="006B1923" w:rsidRPr="006B3F59">
              <w:rPr>
                <w:rFonts w:cs="Arial"/>
                <w:color w:val="auto"/>
                <w:szCs w:val="16"/>
              </w:rPr>
              <w:t xml:space="preserve"> vazba mezi posuzovanou ÚPD a Platnou ZÚR HMP. Posuzovaná koncepce rozvíjí cíle územního plánování ZÚR HMP v oblasti využití transformačních</w:t>
            </w:r>
            <w:r w:rsidRPr="006B3F59">
              <w:rPr>
                <w:rFonts w:cs="Arial"/>
                <w:color w:val="auto"/>
                <w:szCs w:val="16"/>
              </w:rPr>
              <w:t xml:space="preserve"> území</w:t>
            </w:r>
            <w:r w:rsidR="006B1923" w:rsidRPr="006B3F59">
              <w:rPr>
                <w:rFonts w:cs="Arial"/>
                <w:color w:val="auto"/>
                <w:szCs w:val="16"/>
              </w:rPr>
              <w:t>.</w:t>
            </w:r>
          </w:p>
        </w:tc>
      </w:tr>
      <w:tr w:rsidR="006B1923" w:rsidRPr="006B3F59" w14:paraId="200EA79A" w14:textId="77777777" w:rsidTr="00BD7256">
        <w:trPr>
          <w:trHeight w:val="207"/>
        </w:trPr>
        <w:tc>
          <w:tcPr>
            <w:tcW w:w="1615" w:type="pct"/>
            <w:shd w:val="clear" w:color="auto" w:fill="auto"/>
            <w:noWrap/>
            <w:vAlign w:val="center"/>
          </w:tcPr>
          <w:p w14:paraId="3AB095CF" w14:textId="77777777" w:rsidR="006B1923" w:rsidRPr="006B3F59" w:rsidRDefault="006B1923" w:rsidP="006B1923">
            <w:pPr>
              <w:pStyle w:val="Odrky1"/>
              <w:rPr>
                <w:rFonts w:cs="Arial"/>
                <w:sz w:val="16"/>
                <w:szCs w:val="16"/>
              </w:rPr>
            </w:pPr>
            <w:r w:rsidRPr="006B3F59">
              <w:rPr>
                <w:rFonts w:cs="Arial"/>
                <w:sz w:val="16"/>
                <w:szCs w:val="16"/>
              </w:rPr>
              <w:t>Strategický plán hl. m. Prahy, aktualizace 2016</w:t>
            </w:r>
          </w:p>
        </w:tc>
        <w:tc>
          <w:tcPr>
            <w:tcW w:w="589" w:type="pct"/>
            <w:shd w:val="clear" w:color="auto" w:fill="auto"/>
            <w:noWrap/>
            <w:vAlign w:val="center"/>
          </w:tcPr>
          <w:p w14:paraId="236FFF71" w14:textId="09F96817" w:rsidR="006B1923" w:rsidRPr="006B3F59" w:rsidRDefault="006B1923" w:rsidP="006B1923">
            <w:pPr>
              <w:pStyle w:val="Texttabulky"/>
              <w:jc w:val="center"/>
              <w:rPr>
                <w:rFonts w:cs="Arial"/>
                <w:color w:val="auto"/>
                <w:szCs w:val="16"/>
              </w:rPr>
            </w:pPr>
            <w:r w:rsidRPr="006B3F59">
              <w:rPr>
                <w:rFonts w:cs="Arial"/>
                <w:color w:val="auto"/>
                <w:szCs w:val="16"/>
              </w:rPr>
              <w:t>2</w:t>
            </w:r>
          </w:p>
        </w:tc>
        <w:tc>
          <w:tcPr>
            <w:tcW w:w="2796" w:type="pct"/>
            <w:vAlign w:val="center"/>
          </w:tcPr>
          <w:p w14:paraId="1AA75258" w14:textId="45FD628D" w:rsidR="006B1923" w:rsidRPr="006B3F59" w:rsidRDefault="006B1923" w:rsidP="002A41DE">
            <w:pPr>
              <w:pStyle w:val="Texttabulky"/>
              <w:tabs>
                <w:tab w:val="left" w:pos="3133"/>
              </w:tabs>
              <w:jc w:val="center"/>
              <w:rPr>
                <w:rFonts w:cs="Arial"/>
                <w:color w:val="auto"/>
                <w:szCs w:val="16"/>
              </w:rPr>
            </w:pPr>
            <w:r w:rsidRPr="006B3F59">
              <w:rPr>
                <w:rFonts w:cs="Arial"/>
                <w:color w:val="auto"/>
                <w:szCs w:val="16"/>
              </w:rPr>
              <w:t>Přímá vazba na Strategický plán hl. m. Prahy především ve vazbě na cíle sledující kvalitu životního prostředí jako primární podmínku pro život obyvatel v něm, kdy design prostředí má být determinován požadavky na jeho městotvorný charakter, schopnost motivovat ke sdílení veřejného prostoru a udržitelnost bydlení, mobility a ekonomiky ve městě</w:t>
            </w:r>
            <w:r w:rsidR="00586478" w:rsidRPr="006B3F59">
              <w:rPr>
                <w:rFonts w:cs="Arial"/>
                <w:color w:val="auto"/>
                <w:szCs w:val="16"/>
              </w:rPr>
              <w:t>.</w:t>
            </w:r>
          </w:p>
        </w:tc>
      </w:tr>
      <w:tr w:rsidR="006B1923" w:rsidRPr="006B3F59" w14:paraId="465A07DB" w14:textId="77777777" w:rsidTr="00BD7256">
        <w:trPr>
          <w:trHeight w:val="569"/>
        </w:trPr>
        <w:tc>
          <w:tcPr>
            <w:tcW w:w="1615" w:type="pct"/>
            <w:shd w:val="clear" w:color="auto" w:fill="auto"/>
            <w:noWrap/>
            <w:vAlign w:val="center"/>
            <w:hideMark/>
          </w:tcPr>
          <w:p w14:paraId="6D408A2C" w14:textId="77777777" w:rsidR="006B1923" w:rsidRPr="006B3F59" w:rsidRDefault="006B1923" w:rsidP="006B1923">
            <w:pPr>
              <w:pStyle w:val="Odrky1"/>
              <w:rPr>
                <w:rFonts w:cs="Arial"/>
                <w:sz w:val="16"/>
                <w:szCs w:val="16"/>
              </w:rPr>
            </w:pPr>
            <w:r w:rsidRPr="006B3F59">
              <w:rPr>
                <w:rFonts w:cs="Arial"/>
                <w:sz w:val="16"/>
                <w:szCs w:val="16"/>
              </w:rPr>
              <w:t>Prognóza, koncepce a strategie ochrany přírody a krajiny hl. m. Prahy, 2008</w:t>
            </w:r>
          </w:p>
        </w:tc>
        <w:tc>
          <w:tcPr>
            <w:tcW w:w="589" w:type="pct"/>
            <w:shd w:val="clear" w:color="auto" w:fill="auto"/>
            <w:noWrap/>
            <w:vAlign w:val="center"/>
            <w:hideMark/>
          </w:tcPr>
          <w:p w14:paraId="6001A1E9" w14:textId="65D2FD63" w:rsidR="006B1923" w:rsidRPr="006B3F59" w:rsidRDefault="006B1923" w:rsidP="006B1923">
            <w:pPr>
              <w:pStyle w:val="Texttabulky"/>
              <w:jc w:val="center"/>
              <w:rPr>
                <w:rFonts w:cs="Arial"/>
                <w:color w:val="auto"/>
                <w:szCs w:val="16"/>
              </w:rPr>
            </w:pPr>
            <w:r w:rsidRPr="006B3F59">
              <w:rPr>
                <w:rFonts w:cs="Arial"/>
                <w:color w:val="auto"/>
                <w:szCs w:val="16"/>
              </w:rPr>
              <w:t>0</w:t>
            </w:r>
          </w:p>
        </w:tc>
        <w:tc>
          <w:tcPr>
            <w:tcW w:w="2796" w:type="pct"/>
            <w:vAlign w:val="center"/>
          </w:tcPr>
          <w:p w14:paraId="39AD3F16" w14:textId="5AD6824C" w:rsidR="006B1923" w:rsidRPr="006B3F59" w:rsidRDefault="006B1923" w:rsidP="002A41DE">
            <w:pPr>
              <w:pStyle w:val="Texttabulky"/>
              <w:jc w:val="center"/>
              <w:rPr>
                <w:rFonts w:cs="Arial"/>
                <w:color w:val="auto"/>
                <w:szCs w:val="16"/>
              </w:rPr>
            </w:pPr>
            <w:r w:rsidRPr="006B3F59">
              <w:rPr>
                <w:rFonts w:cs="Arial"/>
                <w:color w:val="auto"/>
                <w:szCs w:val="16"/>
              </w:rPr>
              <w:t>Nebyla identifikována žádná přímá vazba vůči posuzovanému dokumentu, bez přímé vazby na cíle Strategie ochrany přírody a krajiny hl. m. Prahy.</w:t>
            </w:r>
          </w:p>
        </w:tc>
      </w:tr>
      <w:tr w:rsidR="006B1923" w:rsidRPr="006B3F59" w14:paraId="705847CB" w14:textId="77777777" w:rsidTr="00BD7256">
        <w:trPr>
          <w:trHeight w:val="243"/>
        </w:trPr>
        <w:tc>
          <w:tcPr>
            <w:tcW w:w="1615" w:type="pct"/>
            <w:shd w:val="clear" w:color="auto" w:fill="auto"/>
            <w:noWrap/>
            <w:vAlign w:val="center"/>
            <w:hideMark/>
          </w:tcPr>
          <w:p w14:paraId="06EC46BC" w14:textId="77777777" w:rsidR="006B1923" w:rsidRPr="006B3F59" w:rsidRDefault="006B1923" w:rsidP="006B1923">
            <w:pPr>
              <w:pStyle w:val="Odrky1"/>
              <w:rPr>
                <w:rFonts w:cs="Arial"/>
                <w:sz w:val="16"/>
                <w:szCs w:val="16"/>
              </w:rPr>
            </w:pPr>
            <w:r w:rsidRPr="006B3F59">
              <w:rPr>
                <w:rFonts w:cs="Arial"/>
                <w:sz w:val="16"/>
                <w:szCs w:val="16"/>
              </w:rPr>
              <w:t>Plány péče o zvláště chráněná území na území města</w:t>
            </w:r>
          </w:p>
        </w:tc>
        <w:tc>
          <w:tcPr>
            <w:tcW w:w="589" w:type="pct"/>
            <w:shd w:val="clear" w:color="auto" w:fill="auto"/>
            <w:noWrap/>
            <w:vAlign w:val="center"/>
            <w:hideMark/>
          </w:tcPr>
          <w:p w14:paraId="31625C89" w14:textId="34782B63" w:rsidR="006B1923" w:rsidRPr="006B3F59" w:rsidRDefault="00980E5D" w:rsidP="006B1923">
            <w:pPr>
              <w:jc w:val="center"/>
              <w:rPr>
                <w:rFonts w:cs="Arial"/>
                <w:sz w:val="16"/>
                <w:szCs w:val="16"/>
              </w:rPr>
            </w:pPr>
            <w:r w:rsidRPr="006B3F59">
              <w:rPr>
                <w:rFonts w:cs="Arial"/>
                <w:sz w:val="16"/>
                <w:szCs w:val="16"/>
              </w:rPr>
              <w:t>1</w:t>
            </w:r>
          </w:p>
        </w:tc>
        <w:tc>
          <w:tcPr>
            <w:tcW w:w="2796" w:type="pct"/>
            <w:vAlign w:val="center"/>
          </w:tcPr>
          <w:p w14:paraId="2584BD20" w14:textId="731FD51E" w:rsidR="006B1923" w:rsidRPr="006B3F59" w:rsidRDefault="006B1923" w:rsidP="002A41DE">
            <w:pPr>
              <w:jc w:val="center"/>
              <w:rPr>
                <w:rFonts w:cs="Arial"/>
                <w:sz w:val="16"/>
                <w:szCs w:val="16"/>
              </w:rPr>
            </w:pPr>
            <w:r w:rsidRPr="006B3F59">
              <w:rPr>
                <w:rFonts w:cs="Arial"/>
                <w:sz w:val="16"/>
                <w:szCs w:val="12"/>
              </w:rPr>
              <w:t>Nebyla identifikována žádná přímá vazba vůči posuzované ÚPD. Plány péče o ZCHÚ na území Prahy neobsahují cíle, podněty, požadavky nebo záměry, které vyžadují řešení v rámci posuzované koncepce s výjimkou obecného předpokladu</w:t>
            </w:r>
            <w:r w:rsidR="00586478" w:rsidRPr="006B3F59">
              <w:rPr>
                <w:rFonts w:cs="Arial"/>
                <w:sz w:val="16"/>
                <w:szCs w:val="12"/>
              </w:rPr>
              <w:t xml:space="preserve"> zlepšení stavu</w:t>
            </w:r>
            <w:r w:rsidRPr="006B3F59">
              <w:rPr>
                <w:rFonts w:cs="Arial"/>
                <w:sz w:val="16"/>
                <w:szCs w:val="12"/>
              </w:rPr>
              <w:t xml:space="preserve"> veřejných prostranství.</w:t>
            </w:r>
            <w:r w:rsidR="00980E5D" w:rsidRPr="006B3F59">
              <w:rPr>
                <w:rFonts w:cs="Arial"/>
                <w:sz w:val="16"/>
                <w:szCs w:val="12"/>
              </w:rPr>
              <w:t xml:space="preserve"> Potenciální nepřímá vazba z důvodu vytvoření územních předpokladů pro změny využití území v kontaktu se zvláště chráněnými územími bez přímé vazby na cíle Plánu péče o ZCHÚ.</w:t>
            </w:r>
          </w:p>
        </w:tc>
      </w:tr>
      <w:tr w:rsidR="006B1923" w:rsidRPr="006B3F59" w14:paraId="32B9C8E7" w14:textId="77777777" w:rsidTr="00BD7256">
        <w:trPr>
          <w:trHeight w:val="477"/>
        </w:trPr>
        <w:tc>
          <w:tcPr>
            <w:tcW w:w="1615" w:type="pct"/>
            <w:shd w:val="clear" w:color="auto" w:fill="auto"/>
            <w:noWrap/>
            <w:vAlign w:val="center"/>
            <w:hideMark/>
          </w:tcPr>
          <w:p w14:paraId="05C7286B" w14:textId="77777777" w:rsidR="006B1923" w:rsidRPr="006B3F59" w:rsidRDefault="006B1923" w:rsidP="006B1923">
            <w:pPr>
              <w:pStyle w:val="Odrky1"/>
              <w:rPr>
                <w:rFonts w:cs="Arial"/>
                <w:sz w:val="16"/>
                <w:szCs w:val="16"/>
              </w:rPr>
            </w:pPr>
            <w:r w:rsidRPr="006B3F59">
              <w:rPr>
                <w:rFonts w:cs="Arial"/>
                <w:sz w:val="16"/>
                <w:szCs w:val="16"/>
              </w:rPr>
              <w:t>Koncepce péče o zeleň v hl. m. Praze (2010)</w:t>
            </w:r>
          </w:p>
        </w:tc>
        <w:tc>
          <w:tcPr>
            <w:tcW w:w="589" w:type="pct"/>
            <w:shd w:val="clear" w:color="auto" w:fill="auto"/>
            <w:noWrap/>
            <w:vAlign w:val="center"/>
            <w:hideMark/>
          </w:tcPr>
          <w:p w14:paraId="4466331D" w14:textId="26FB2DF6" w:rsidR="006B1923" w:rsidRPr="006B3F59" w:rsidRDefault="006B1923" w:rsidP="006B1923">
            <w:pPr>
              <w:pStyle w:val="Texttabulky"/>
              <w:jc w:val="center"/>
              <w:rPr>
                <w:rFonts w:cs="Arial"/>
                <w:color w:val="auto"/>
                <w:szCs w:val="16"/>
              </w:rPr>
            </w:pPr>
            <w:r w:rsidRPr="006B3F59">
              <w:rPr>
                <w:rFonts w:cs="Arial"/>
                <w:color w:val="auto"/>
                <w:szCs w:val="16"/>
              </w:rPr>
              <w:t>1</w:t>
            </w:r>
          </w:p>
        </w:tc>
        <w:tc>
          <w:tcPr>
            <w:tcW w:w="2796" w:type="pct"/>
            <w:vAlign w:val="center"/>
          </w:tcPr>
          <w:p w14:paraId="1FC3B9C0" w14:textId="7AE5FC9F" w:rsidR="006B1923" w:rsidRPr="006B3F59" w:rsidRDefault="006B1923" w:rsidP="002A41DE">
            <w:pPr>
              <w:pStyle w:val="Texttabulky"/>
              <w:jc w:val="center"/>
              <w:rPr>
                <w:rFonts w:cs="Arial"/>
                <w:color w:val="auto"/>
                <w:szCs w:val="16"/>
              </w:rPr>
            </w:pPr>
            <w:r w:rsidRPr="006B3F59">
              <w:rPr>
                <w:rFonts w:cs="Arial"/>
                <w:color w:val="auto"/>
                <w:szCs w:val="16"/>
              </w:rPr>
              <w:t>Bez přímé vazby na cíle Koncepce péče o zeleň v hl. m. Praze. Dílčí úprava systému CSZ bez vlivu na jeho funkčnost.</w:t>
            </w:r>
          </w:p>
        </w:tc>
      </w:tr>
      <w:tr w:rsidR="006B1923" w:rsidRPr="006B3F59" w14:paraId="4AF06169" w14:textId="77777777" w:rsidTr="00BD7256">
        <w:trPr>
          <w:trHeight w:val="315"/>
        </w:trPr>
        <w:tc>
          <w:tcPr>
            <w:tcW w:w="1615" w:type="pct"/>
            <w:shd w:val="clear" w:color="auto" w:fill="auto"/>
            <w:noWrap/>
            <w:vAlign w:val="center"/>
          </w:tcPr>
          <w:p w14:paraId="1C5D0AB4" w14:textId="77777777" w:rsidR="006B1923" w:rsidRPr="006B3F59" w:rsidRDefault="006B1923" w:rsidP="006B1923">
            <w:pPr>
              <w:pStyle w:val="Odrky1"/>
              <w:rPr>
                <w:rFonts w:cs="Arial"/>
                <w:sz w:val="16"/>
                <w:szCs w:val="16"/>
              </w:rPr>
            </w:pPr>
            <w:r w:rsidRPr="006B3F59">
              <w:rPr>
                <w:rFonts w:cs="Arial"/>
                <w:sz w:val="16"/>
                <w:szCs w:val="16"/>
              </w:rPr>
              <w:t>Strategie rozvoje veřejných prostranství hl. m. Prahy (2014)</w:t>
            </w:r>
          </w:p>
        </w:tc>
        <w:tc>
          <w:tcPr>
            <w:tcW w:w="589" w:type="pct"/>
            <w:shd w:val="clear" w:color="auto" w:fill="auto"/>
            <w:noWrap/>
            <w:vAlign w:val="center"/>
          </w:tcPr>
          <w:p w14:paraId="38706B7D" w14:textId="3CC57594" w:rsidR="006B1923" w:rsidRPr="006B3F59" w:rsidRDefault="006B1923" w:rsidP="006B1923">
            <w:pPr>
              <w:pStyle w:val="Texttabulky"/>
              <w:jc w:val="center"/>
              <w:rPr>
                <w:rFonts w:cs="Arial"/>
                <w:color w:val="auto"/>
                <w:szCs w:val="16"/>
              </w:rPr>
            </w:pPr>
            <w:r w:rsidRPr="006B3F59">
              <w:rPr>
                <w:rFonts w:cs="Arial"/>
                <w:color w:val="auto"/>
                <w:szCs w:val="16"/>
              </w:rPr>
              <w:t>1</w:t>
            </w:r>
          </w:p>
        </w:tc>
        <w:tc>
          <w:tcPr>
            <w:tcW w:w="2796" w:type="pct"/>
            <w:vAlign w:val="center"/>
          </w:tcPr>
          <w:p w14:paraId="4BD87AEB" w14:textId="72A21BDE" w:rsidR="006B1923" w:rsidRPr="006B3F59" w:rsidRDefault="006B1923" w:rsidP="002A41DE">
            <w:pPr>
              <w:pStyle w:val="Texttabulky"/>
              <w:jc w:val="center"/>
              <w:rPr>
                <w:rFonts w:cs="Arial"/>
                <w:color w:val="auto"/>
                <w:szCs w:val="16"/>
              </w:rPr>
            </w:pPr>
            <w:r w:rsidRPr="006B3F59">
              <w:rPr>
                <w:rFonts w:cs="Arial"/>
                <w:color w:val="auto"/>
                <w:szCs w:val="16"/>
              </w:rPr>
              <w:t>Nebyla identifikována žádná přímá vazba vůči posuzovanému dokumentu. Strategie rozvoje veřejných prostranství, neobsahuje cíle, podněty, požadavky nebo záměry, které vyžadují řešení v rámci posuzované koncepce s výjimkou obecného předpokladu adaptace veřejných prostranství na novou zástavbu v území.</w:t>
            </w:r>
          </w:p>
        </w:tc>
      </w:tr>
      <w:tr w:rsidR="006B1923" w:rsidRPr="006B3F59" w14:paraId="792BEDED" w14:textId="77777777" w:rsidTr="00BD7256">
        <w:trPr>
          <w:trHeight w:val="214"/>
        </w:trPr>
        <w:tc>
          <w:tcPr>
            <w:tcW w:w="1615" w:type="pct"/>
            <w:shd w:val="clear" w:color="auto" w:fill="auto"/>
            <w:noWrap/>
            <w:vAlign w:val="center"/>
            <w:hideMark/>
          </w:tcPr>
          <w:p w14:paraId="02D5E366" w14:textId="77777777" w:rsidR="006B1923" w:rsidRPr="006B3F59" w:rsidRDefault="006B1923" w:rsidP="006B1923">
            <w:pPr>
              <w:pStyle w:val="Odrky1"/>
              <w:rPr>
                <w:rFonts w:cs="Arial"/>
                <w:sz w:val="16"/>
                <w:szCs w:val="16"/>
              </w:rPr>
            </w:pPr>
            <w:r w:rsidRPr="006B3F59">
              <w:rPr>
                <w:rFonts w:cs="Arial"/>
                <w:sz w:val="16"/>
                <w:szCs w:val="16"/>
              </w:rPr>
              <w:t>Koncepce rozvoje cyklistické dopravy a rekreační cyklistiky v hl. městě Praze do roku 2020</w:t>
            </w:r>
          </w:p>
        </w:tc>
        <w:tc>
          <w:tcPr>
            <w:tcW w:w="589" w:type="pct"/>
            <w:shd w:val="clear" w:color="auto" w:fill="auto"/>
            <w:noWrap/>
            <w:vAlign w:val="center"/>
            <w:hideMark/>
          </w:tcPr>
          <w:p w14:paraId="628162E5" w14:textId="2AA9C235" w:rsidR="006B1923" w:rsidRPr="006B3F59" w:rsidRDefault="006B1923" w:rsidP="006B1923">
            <w:pPr>
              <w:pStyle w:val="Texttabulky"/>
              <w:jc w:val="center"/>
              <w:rPr>
                <w:rFonts w:cs="Arial"/>
                <w:color w:val="auto"/>
                <w:szCs w:val="16"/>
              </w:rPr>
            </w:pPr>
            <w:r w:rsidRPr="006B3F59">
              <w:rPr>
                <w:rFonts w:cs="Arial"/>
                <w:color w:val="auto"/>
                <w:szCs w:val="16"/>
              </w:rPr>
              <w:t>1</w:t>
            </w:r>
          </w:p>
        </w:tc>
        <w:tc>
          <w:tcPr>
            <w:tcW w:w="2796" w:type="pct"/>
            <w:vAlign w:val="center"/>
          </w:tcPr>
          <w:p w14:paraId="18BBD6CB" w14:textId="548788C2" w:rsidR="006B1923" w:rsidRPr="006B3F59" w:rsidRDefault="006B1923" w:rsidP="002A41DE">
            <w:pPr>
              <w:pStyle w:val="Texttabulky"/>
              <w:jc w:val="center"/>
              <w:rPr>
                <w:rFonts w:cs="Arial"/>
                <w:color w:val="auto"/>
                <w:szCs w:val="16"/>
              </w:rPr>
            </w:pPr>
            <w:r w:rsidRPr="006B3F59">
              <w:rPr>
                <w:rFonts w:cs="Arial"/>
                <w:color w:val="auto"/>
                <w:szCs w:val="16"/>
              </w:rPr>
              <w:t xml:space="preserve">Nebyla identifikována žádná přímá vazba vůči posuzované ÚPD. Koncepce, neobsahuje cíle, podněty, požadavky nebo záměry, které vyžadují řešení v rámci posuzované ÚPD. Nepřímo pozitivní vazba díky předpokladu </w:t>
            </w:r>
            <w:r w:rsidR="00586478" w:rsidRPr="006B3F59">
              <w:rPr>
                <w:rFonts w:cs="Arial"/>
                <w:color w:val="auto"/>
                <w:szCs w:val="16"/>
              </w:rPr>
              <w:t>zlepšení prostupnosti území pro cyklodopravu díky přeřešení veřejných prostranství</w:t>
            </w:r>
            <w:r w:rsidR="000F02E4" w:rsidRPr="006B3F59">
              <w:rPr>
                <w:rFonts w:cs="Arial"/>
                <w:color w:val="auto"/>
                <w:szCs w:val="16"/>
              </w:rPr>
              <w:t xml:space="preserve"> a vytvoření územních předpokladů pro cyklistická propojení v jiných typech ploch</w:t>
            </w:r>
            <w:r w:rsidRPr="006B3F59">
              <w:rPr>
                <w:rFonts w:cs="Arial"/>
                <w:color w:val="auto"/>
                <w:szCs w:val="16"/>
              </w:rPr>
              <w:t>, mimo podrobnost řešené změny.</w:t>
            </w:r>
          </w:p>
        </w:tc>
      </w:tr>
      <w:tr w:rsidR="00831F6A" w:rsidRPr="006B3F59" w14:paraId="2B8C371D" w14:textId="77777777" w:rsidTr="00B34C98">
        <w:trPr>
          <w:trHeight w:val="141"/>
        </w:trPr>
        <w:tc>
          <w:tcPr>
            <w:tcW w:w="1615" w:type="pct"/>
            <w:shd w:val="clear" w:color="auto" w:fill="auto"/>
            <w:noWrap/>
            <w:vAlign w:val="center"/>
            <w:hideMark/>
          </w:tcPr>
          <w:p w14:paraId="2553A88B" w14:textId="77777777" w:rsidR="00831F6A" w:rsidRPr="006B3F59" w:rsidRDefault="00831F6A" w:rsidP="00831F6A">
            <w:pPr>
              <w:pStyle w:val="Odrky1"/>
              <w:rPr>
                <w:rFonts w:cs="Arial"/>
                <w:sz w:val="16"/>
                <w:szCs w:val="16"/>
              </w:rPr>
            </w:pPr>
            <w:r w:rsidRPr="006B3F59">
              <w:rPr>
                <w:rFonts w:cs="Arial"/>
                <w:sz w:val="16"/>
                <w:szCs w:val="16"/>
              </w:rPr>
              <w:t>Plán udržitelné mobility Prahy a okolí</w:t>
            </w:r>
          </w:p>
        </w:tc>
        <w:tc>
          <w:tcPr>
            <w:tcW w:w="589" w:type="pct"/>
            <w:shd w:val="clear" w:color="auto" w:fill="auto"/>
            <w:noWrap/>
            <w:vAlign w:val="center"/>
            <w:hideMark/>
          </w:tcPr>
          <w:p w14:paraId="15759153" w14:textId="364D88CF" w:rsidR="00831F6A" w:rsidRPr="006B3F59" w:rsidRDefault="00831F6A" w:rsidP="00831F6A">
            <w:pPr>
              <w:pStyle w:val="Texttabulky"/>
              <w:spacing w:line="480" w:lineRule="auto"/>
              <w:jc w:val="center"/>
              <w:rPr>
                <w:rFonts w:cs="Arial"/>
                <w:color w:val="auto"/>
                <w:szCs w:val="16"/>
              </w:rPr>
            </w:pPr>
            <w:r w:rsidRPr="006B3F59">
              <w:rPr>
                <w:rFonts w:cs="Arial"/>
                <w:color w:val="auto"/>
                <w:szCs w:val="16"/>
              </w:rPr>
              <w:t>2</w:t>
            </w:r>
          </w:p>
        </w:tc>
        <w:tc>
          <w:tcPr>
            <w:tcW w:w="2796" w:type="pct"/>
          </w:tcPr>
          <w:p w14:paraId="0327DE6A" w14:textId="155C012E" w:rsidR="00831F6A" w:rsidRPr="006B3F59" w:rsidRDefault="00831F6A" w:rsidP="00831F6A">
            <w:pPr>
              <w:pStyle w:val="Texttabulky"/>
              <w:jc w:val="center"/>
              <w:rPr>
                <w:rFonts w:cs="Arial"/>
                <w:color w:val="auto"/>
                <w:szCs w:val="16"/>
              </w:rPr>
            </w:pPr>
            <w:r w:rsidRPr="006B3F59">
              <w:rPr>
                <w:rFonts w:cs="Arial"/>
                <w:color w:val="auto"/>
                <w:szCs w:val="16"/>
              </w:rPr>
              <w:t>Posuzovaná změna územního plánu má vůči této koncepcí přímo pozitivní vazbu v otázce zlepšení dopravní obslužnosti území kolejovou VHD a vytvoření územních předpokladů pro novou tramvajovou trať, nepřímo pozitivně se projeví zlepšení kvality veřejných prostranství a dopravní obslužnosti území včetně bezpečnosti dopravy. Přímo pozitivní vazba z hlediska vytvoření územních předpokladů pro provázanost veřejné dopravy s ostatními druhy dopravy.</w:t>
            </w:r>
          </w:p>
        </w:tc>
      </w:tr>
      <w:tr w:rsidR="00831F6A" w:rsidRPr="006B3F59" w14:paraId="33D9A0D2" w14:textId="77777777" w:rsidTr="00BD7256">
        <w:trPr>
          <w:trHeight w:val="141"/>
        </w:trPr>
        <w:tc>
          <w:tcPr>
            <w:tcW w:w="1615" w:type="pct"/>
            <w:shd w:val="clear" w:color="auto" w:fill="auto"/>
            <w:noWrap/>
            <w:vAlign w:val="center"/>
          </w:tcPr>
          <w:p w14:paraId="5061EA0D" w14:textId="312BC82B" w:rsidR="00831F6A" w:rsidRPr="006B3F59" w:rsidRDefault="00831F6A" w:rsidP="00831F6A">
            <w:pPr>
              <w:pStyle w:val="Odrky1"/>
              <w:rPr>
                <w:rFonts w:cs="Arial"/>
                <w:sz w:val="16"/>
                <w:szCs w:val="16"/>
              </w:rPr>
            </w:pPr>
            <w:r w:rsidRPr="006B3F59">
              <w:rPr>
                <w:rFonts w:cs="Arial"/>
                <w:sz w:val="16"/>
                <w:szCs w:val="16"/>
              </w:rPr>
              <w:t>Zásady dopravní politiky hl. m. Prahy</w:t>
            </w:r>
          </w:p>
        </w:tc>
        <w:tc>
          <w:tcPr>
            <w:tcW w:w="589" w:type="pct"/>
            <w:shd w:val="clear" w:color="auto" w:fill="auto"/>
            <w:noWrap/>
            <w:vAlign w:val="center"/>
          </w:tcPr>
          <w:p w14:paraId="575CE125" w14:textId="22E4CCFC" w:rsidR="00831F6A" w:rsidRPr="006B3F59" w:rsidRDefault="00831F6A" w:rsidP="00831F6A">
            <w:pPr>
              <w:pStyle w:val="Texttabulky"/>
              <w:jc w:val="center"/>
              <w:rPr>
                <w:rFonts w:cs="Arial"/>
                <w:color w:val="auto"/>
                <w:szCs w:val="16"/>
              </w:rPr>
            </w:pPr>
            <w:r w:rsidRPr="006B3F59">
              <w:rPr>
                <w:rFonts w:cs="Arial"/>
                <w:color w:val="auto"/>
                <w:szCs w:val="16"/>
              </w:rPr>
              <w:t>1</w:t>
            </w:r>
          </w:p>
        </w:tc>
        <w:tc>
          <w:tcPr>
            <w:tcW w:w="2796" w:type="pct"/>
            <w:vAlign w:val="center"/>
          </w:tcPr>
          <w:p w14:paraId="21361BEA" w14:textId="4951D12A" w:rsidR="00831F6A" w:rsidRPr="006B3F59" w:rsidRDefault="00831F6A" w:rsidP="00831F6A">
            <w:pPr>
              <w:pStyle w:val="Texttabulky"/>
              <w:jc w:val="center"/>
              <w:rPr>
                <w:rFonts w:cs="Arial"/>
                <w:color w:val="auto"/>
                <w:szCs w:val="16"/>
              </w:rPr>
            </w:pPr>
            <w:r w:rsidRPr="006B3F59">
              <w:rPr>
                <w:rFonts w:cs="Arial"/>
                <w:color w:val="auto"/>
                <w:szCs w:val="16"/>
              </w:rPr>
              <w:t xml:space="preserve">Nepřímá pozitivní vazba posuzovaného dokumentu. Vůči </w:t>
            </w:r>
            <w:r w:rsidR="00980E5D" w:rsidRPr="006B3F59">
              <w:rPr>
                <w:rFonts w:cs="Arial"/>
                <w:color w:val="auto"/>
                <w:szCs w:val="16"/>
              </w:rPr>
              <w:t>Zásadám dopravní politiky hl. m. Prahy</w:t>
            </w:r>
            <w:r w:rsidRPr="006B3F59">
              <w:rPr>
                <w:rFonts w:cs="Arial"/>
                <w:color w:val="auto"/>
                <w:szCs w:val="16"/>
              </w:rPr>
              <w:t xml:space="preserve"> z hlediska cílů v oblasti zlepšení kvality veřejných prostranství.</w:t>
            </w:r>
          </w:p>
        </w:tc>
      </w:tr>
      <w:tr w:rsidR="00831F6A" w:rsidRPr="006B3F59" w14:paraId="470DF8E2" w14:textId="77777777" w:rsidTr="00BD7256">
        <w:trPr>
          <w:trHeight w:val="229"/>
        </w:trPr>
        <w:tc>
          <w:tcPr>
            <w:tcW w:w="1615" w:type="pct"/>
            <w:shd w:val="clear" w:color="auto" w:fill="auto"/>
            <w:noWrap/>
            <w:vAlign w:val="center"/>
            <w:hideMark/>
          </w:tcPr>
          <w:p w14:paraId="3D2B2CA1" w14:textId="77777777" w:rsidR="00831F6A" w:rsidRPr="006B3F59" w:rsidRDefault="00831F6A" w:rsidP="00831F6A">
            <w:pPr>
              <w:pStyle w:val="Odrky1"/>
              <w:rPr>
                <w:rFonts w:cs="Arial"/>
                <w:sz w:val="16"/>
                <w:szCs w:val="16"/>
              </w:rPr>
            </w:pPr>
            <w:r w:rsidRPr="006B3F59">
              <w:rPr>
                <w:rFonts w:cs="Arial"/>
                <w:sz w:val="16"/>
                <w:szCs w:val="16"/>
              </w:rPr>
              <w:t>Akční plán snižování hluku pro aglomeraci Praha (2019)</w:t>
            </w:r>
          </w:p>
        </w:tc>
        <w:tc>
          <w:tcPr>
            <w:tcW w:w="589" w:type="pct"/>
            <w:shd w:val="clear" w:color="auto" w:fill="auto"/>
            <w:noWrap/>
            <w:vAlign w:val="center"/>
            <w:hideMark/>
          </w:tcPr>
          <w:p w14:paraId="3C5BE5D8" w14:textId="009E5E3E" w:rsidR="00831F6A" w:rsidRPr="006B3F59" w:rsidRDefault="00831F6A" w:rsidP="00831F6A">
            <w:pPr>
              <w:pStyle w:val="Texttabulky"/>
              <w:jc w:val="center"/>
              <w:rPr>
                <w:rFonts w:cs="Arial"/>
                <w:color w:val="auto"/>
                <w:szCs w:val="16"/>
              </w:rPr>
            </w:pPr>
            <w:r w:rsidRPr="006B3F59">
              <w:rPr>
                <w:rFonts w:cs="Arial"/>
                <w:color w:val="auto"/>
                <w:szCs w:val="16"/>
              </w:rPr>
              <w:t>0</w:t>
            </w:r>
          </w:p>
        </w:tc>
        <w:tc>
          <w:tcPr>
            <w:tcW w:w="2796" w:type="pct"/>
            <w:vAlign w:val="center"/>
          </w:tcPr>
          <w:p w14:paraId="2C8D62A4" w14:textId="25900653" w:rsidR="00831F6A" w:rsidRPr="006B3F59" w:rsidRDefault="00831F6A" w:rsidP="00831F6A">
            <w:pPr>
              <w:pStyle w:val="Texttabulky"/>
              <w:jc w:val="center"/>
              <w:rPr>
                <w:rFonts w:cs="Arial"/>
                <w:color w:val="auto"/>
                <w:szCs w:val="16"/>
              </w:rPr>
            </w:pPr>
            <w:r w:rsidRPr="006B3F59">
              <w:rPr>
                <w:rFonts w:cs="Arial"/>
                <w:color w:val="auto"/>
                <w:szCs w:val="16"/>
              </w:rPr>
              <w:t>Nebyla identifikována žádná přímá vazba vůči posuzovanému dokumentu. Koncepce, neobsahuje cíle, podněty, požadavky nebo záměry, které vyžadují explicitní řešení v rámci posuzované koncepce.</w:t>
            </w:r>
          </w:p>
        </w:tc>
      </w:tr>
      <w:tr w:rsidR="00831F6A" w:rsidRPr="006B3F59" w14:paraId="6CC41456" w14:textId="77777777" w:rsidTr="00BD7256">
        <w:trPr>
          <w:trHeight w:val="275"/>
        </w:trPr>
        <w:tc>
          <w:tcPr>
            <w:tcW w:w="1615" w:type="pct"/>
            <w:shd w:val="clear" w:color="auto" w:fill="auto"/>
            <w:noWrap/>
            <w:vAlign w:val="center"/>
            <w:hideMark/>
          </w:tcPr>
          <w:p w14:paraId="7E11BEA1" w14:textId="77777777" w:rsidR="00831F6A" w:rsidRPr="006B3F59" w:rsidRDefault="00831F6A" w:rsidP="00831F6A">
            <w:pPr>
              <w:pStyle w:val="Odrky1"/>
              <w:rPr>
                <w:rFonts w:cs="Arial"/>
                <w:sz w:val="16"/>
                <w:szCs w:val="16"/>
              </w:rPr>
            </w:pPr>
            <w:r w:rsidRPr="006B3F59">
              <w:rPr>
                <w:rFonts w:cs="Arial"/>
                <w:sz w:val="16"/>
                <w:szCs w:val="16"/>
              </w:rPr>
              <w:t>Dlouhodobý záměr ochrany ovzduší v hlavním městě Praze, (2003)</w:t>
            </w:r>
          </w:p>
        </w:tc>
        <w:tc>
          <w:tcPr>
            <w:tcW w:w="589" w:type="pct"/>
            <w:shd w:val="clear" w:color="auto" w:fill="auto"/>
            <w:noWrap/>
            <w:vAlign w:val="center"/>
            <w:hideMark/>
          </w:tcPr>
          <w:p w14:paraId="09CB201A" w14:textId="6CB08619" w:rsidR="00831F6A" w:rsidRPr="006B3F59" w:rsidRDefault="00831F6A" w:rsidP="00831F6A">
            <w:pPr>
              <w:pStyle w:val="Texttabulky"/>
              <w:jc w:val="center"/>
              <w:rPr>
                <w:rFonts w:cs="Arial"/>
                <w:color w:val="auto"/>
                <w:szCs w:val="16"/>
              </w:rPr>
            </w:pPr>
            <w:r w:rsidRPr="006B3F59">
              <w:rPr>
                <w:rFonts w:cs="Arial"/>
                <w:color w:val="auto"/>
                <w:szCs w:val="16"/>
              </w:rPr>
              <w:t>0</w:t>
            </w:r>
          </w:p>
        </w:tc>
        <w:tc>
          <w:tcPr>
            <w:tcW w:w="2796" w:type="pct"/>
            <w:vAlign w:val="center"/>
          </w:tcPr>
          <w:p w14:paraId="509B316D" w14:textId="0F00276D" w:rsidR="00831F6A" w:rsidRPr="006B3F59" w:rsidRDefault="00831F6A" w:rsidP="00831F6A">
            <w:pPr>
              <w:pStyle w:val="Texttabulky"/>
              <w:jc w:val="center"/>
              <w:rPr>
                <w:rFonts w:cs="Arial"/>
                <w:color w:val="auto"/>
                <w:szCs w:val="16"/>
              </w:rPr>
            </w:pPr>
            <w:r w:rsidRPr="006B3F59">
              <w:rPr>
                <w:rFonts w:cs="Arial"/>
                <w:color w:val="auto"/>
                <w:szCs w:val="16"/>
              </w:rPr>
              <w:t>Nebyla identifikována žádná přímá vazba vůči posuzovanému dokumentu. Koncepce, neobsahuje cíle, podněty, požadavky nebo záměry, které vyžadují explicitní řešení v rámci posuzované koncepce.</w:t>
            </w:r>
          </w:p>
        </w:tc>
      </w:tr>
      <w:tr w:rsidR="00831F6A" w:rsidRPr="006B3F59" w14:paraId="3D993EBC" w14:textId="77777777" w:rsidTr="00BD7256">
        <w:trPr>
          <w:trHeight w:val="316"/>
        </w:trPr>
        <w:tc>
          <w:tcPr>
            <w:tcW w:w="1615" w:type="pct"/>
            <w:shd w:val="clear" w:color="auto" w:fill="auto"/>
            <w:noWrap/>
            <w:vAlign w:val="center"/>
            <w:hideMark/>
          </w:tcPr>
          <w:p w14:paraId="394D1D1B" w14:textId="77777777" w:rsidR="00831F6A" w:rsidRPr="006B3F59" w:rsidRDefault="00831F6A" w:rsidP="00831F6A">
            <w:pPr>
              <w:pStyle w:val="Odrky1"/>
              <w:rPr>
                <w:rFonts w:cs="Arial"/>
                <w:sz w:val="16"/>
                <w:szCs w:val="16"/>
              </w:rPr>
            </w:pPr>
            <w:r w:rsidRPr="006B3F59">
              <w:rPr>
                <w:rFonts w:cs="Arial"/>
                <w:sz w:val="16"/>
                <w:szCs w:val="16"/>
              </w:rPr>
              <w:t>Plán zlepšení kvality ovzduší aglomerace Praha CZ 01, (2021)</w:t>
            </w:r>
          </w:p>
        </w:tc>
        <w:tc>
          <w:tcPr>
            <w:tcW w:w="589" w:type="pct"/>
            <w:shd w:val="clear" w:color="auto" w:fill="auto"/>
            <w:noWrap/>
            <w:vAlign w:val="center"/>
            <w:hideMark/>
          </w:tcPr>
          <w:p w14:paraId="5E626402" w14:textId="188974F6" w:rsidR="00831F6A" w:rsidRPr="006B3F59" w:rsidRDefault="000F02E4" w:rsidP="00831F6A">
            <w:pPr>
              <w:pStyle w:val="Texttabulky"/>
              <w:jc w:val="center"/>
              <w:rPr>
                <w:rFonts w:cs="Arial"/>
                <w:color w:val="auto"/>
                <w:szCs w:val="16"/>
              </w:rPr>
            </w:pPr>
            <w:r w:rsidRPr="006B3F59">
              <w:rPr>
                <w:rFonts w:cs="Arial"/>
                <w:color w:val="auto"/>
                <w:szCs w:val="16"/>
              </w:rPr>
              <w:t>1</w:t>
            </w:r>
          </w:p>
        </w:tc>
        <w:tc>
          <w:tcPr>
            <w:tcW w:w="2796" w:type="pct"/>
            <w:vAlign w:val="center"/>
          </w:tcPr>
          <w:p w14:paraId="7FA37A56" w14:textId="1CCAFBAE" w:rsidR="00831F6A" w:rsidRPr="006B3F59" w:rsidRDefault="00831F6A" w:rsidP="00831F6A">
            <w:pPr>
              <w:pStyle w:val="Texttabulky"/>
              <w:jc w:val="center"/>
              <w:rPr>
                <w:rFonts w:cs="Arial"/>
                <w:color w:val="auto"/>
                <w:szCs w:val="16"/>
              </w:rPr>
            </w:pPr>
            <w:r w:rsidRPr="006B3F59">
              <w:rPr>
                <w:rFonts w:cs="Arial"/>
                <w:color w:val="auto"/>
                <w:szCs w:val="16"/>
              </w:rPr>
              <w:t>Nebyla identifikována žádná přímá vazba vůči posuzovanému dokumentu. Koncepce, neobsahuje cíle, podněty, požadavky nebo záměry, které vyžadují explicitní řešení v rámci posuzované koncepce</w:t>
            </w:r>
            <w:r w:rsidR="000F02E4" w:rsidRPr="006B3F59">
              <w:rPr>
                <w:rFonts w:cs="Arial"/>
                <w:color w:val="auto"/>
                <w:szCs w:val="16"/>
              </w:rPr>
              <w:t xml:space="preserve"> s výjimkou </w:t>
            </w:r>
            <w:r w:rsidR="00980E5D" w:rsidRPr="006B3F59">
              <w:rPr>
                <w:rFonts w:cs="Arial"/>
                <w:color w:val="auto"/>
                <w:szCs w:val="16"/>
              </w:rPr>
              <w:t xml:space="preserve">nepřímého působení z hlediska </w:t>
            </w:r>
            <w:r w:rsidR="000F02E4" w:rsidRPr="006B3F59">
              <w:rPr>
                <w:rFonts w:cs="Arial"/>
                <w:color w:val="auto"/>
                <w:szCs w:val="16"/>
              </w:rPr>
              <w:t>koordinace dopravního systému včetně SOKP, P+R a kolejové VHD</w:t>
            </w:r>
            <w:r w:rsidRPr="006B3F59">
              <w:rPr>
                <w:rFonts w:cs="Arial"/>
                <w:color w:val="auto"/>
                <w:szCs w:val="16"/>
              </w:rPr>
              <w:t>.</w:t>
            </w:r>
          </w:p>
        </w:tc>
      </w:tr>
      <w:tr w:rsidR="00831F6A" w:rsidRPr="006B3F59" w14:paraId="5F5E70BA" w14:textId="77777777" w:rsidTr="00BD7256">
        <w:trPr>
          <w:trHeight w:val="271"/>
        </w:trPr>
        <w:tc>
          <w:tcPr>
            <w:tcW w:w="1615" w:type="pct"/>
            <w:shd w:val="clear" w:color="auto" w:fill="auto"/>
            <w:noWrap/>
            <w:vAlign w:val="center"/>
            <w:hideMark/>
          </w:tcPr>
          <w:p w14:paraId="3B089820" w14:textId="77777777" w:rsidR="00831F6A" w:rsidRPr="006B3F59" w:rsidRDefault="00831F6A" w:rsidP="00831F6A">
            <w:pPr>
              <w:pStyle w:val="Odrky1"/>
              <w:rPr>
                <w:rFonts w:cs="Arial"/>
                <w:sz w:val="16"/>
                <w:szCs w:val="16"/>
              </w:rPr>
            </w:pPr>
            <w:r w:rsidRPr="006B3F59">
              <w:rPr>
                <w:rFonts w:cs="Arial"/>
                <w:sz w:val="16"/>
                <w:szCs w:val="16"/>
              </w:rPr>
              <w:t>Územní energetická koncepce hlavního města Prahy 2013-2033</w:t>
            </w:r>
          </w:p>
        </w:tc>
        <w:tc>
          <w:tcPr>
            <w:tcW w:w="589" w:type="pct"/>
            <w:shd w:val="clear" w:color="auto" w:fill="auto"/>
            <w:noWrap/>
            <w:vAlign w:val="center"/>
            <w:hideMark/>
          </w:tcPr>
          <w:p w14:paraId="53C0D7B2" w14:textId="3DC1C74A" w:rsidR="00831F6A" w:rsidRPr="006B3F59" w:rsidRDefault="00831F6A" w:rsidP="00831F6A">
            <w:pPr>
              <w:pStyle w:val="Texttabulky"/>
              <w:jc w:val="center"/>
              <w:rPr>
                <w:rFonts w:cs="Arial"/>
                <w:color w:val="auto"/>
                <w:szCs w:val="16"/>
              </w:rPr>
            </w:pPr>
            <w:r w:rsidRPr="006B3F59">
              <w:rPr>
                <w:rFonts w:cs="Arial"/>
                <w:color w:val="auto"/>
                <w:szCs w:val="16"/>
              </w:rPr>
              <w:t>0</w:t>
            </w:r>
          </w:p>
        </w:tc>
        <w:tc>
          <w:tcPr>
            <w:tcW w:w="2796" w:type="pct"/>
            <w:vAlign w:val="center"/>
          </w:tcPr>
          <w:p w14:paraId="281F99DD" w14:textId="03B69A79" w:rsidR="00831F6A" w:rsidRPr="006B3F59" w:rsidRDefault="00831F6A" w:rsidP="00831F6A">
            <w:pPr>
              <w:pStyle w:val="Texttabulky"/>
              <w:jc w:val="center"/>
              <w:rPr>
                <w:rFonts w:cs="Arial"/>
                <w:color w:val="auto"/>
                <w:szCs w:val="16"/>
              </w:rPr>
            </w:pPr>
            <w:r w:rsidRPr="006B3F59">
              <w:rPr>
                <w:rFonts w:cs="Arial"/>
                <w:color w:val="auto"/>
                <w:szCs w:val="16"/>
              </w:rPr>
              <w:t>Nebyla identifikována žádná přímá vazba vůči posuzovanému dokumentu. Koncepce, neobsahuje cíle, podněty, požadavky nebo záměry, které vyžadují explicitní řešení v rámci posuzované koncepce.</w:t>
            </w:r>
          </w:p>
        </w:tc>
      </w:tr>
      <w:tr w:rsidR="00831F6A" w:rsidRPr="006B3F59" w14:paraId="6B2E8CF9" w14:textId="77777777" w:rsidTr="00BD7256">
        <w:trPr>
          <w:trHeight w:val="275"/>
        </w:trPr>
        <w:tc>
          <w:tcPr>
            <w:tcW w:w="1615" w:type="pct"/>
            <w:shd w:val="clear" w:color="auto" w:fill="auto"/>
            <w:noWrap/>
            <w:vAlign w:val="center"/>
            <w:hideMark/>
          </w:tcPr>
          <w:p w14:paraId="45176750" w14:textId="77777777" w:rsidR="00831F6A" w:rsidRPr="006B3F59" w:rsidRDefault="00831F6A" w:rsidP="00831F6A">
            <w:pPr>
              <w:pStyle w:val="Odrky1"/>
              <w:rPr>
                <w:rFonts w:cs="Arial"/>
                <w:sz w:val="16"/>
                <w:szCs w:val="16"/>
              </w:rPr>
            </w:pPr>
            <w:r w:rsidRPr="006B3F59">
              <w:rPr>
                <w:rFonts w:cs="Arial"/>
                <w:sz w:val="16"/>
                <w:szCs w:val="16"/>
              </w:rPr>
              <w:t>Krajský plán odpadového hospodářství hlavního města Prahy 2016-2025</w:t>
            </w:r>
          </w:p>
        </w:tc>
        <w:tc>
          <w:tcPr>
            <w:tcW w:w="589" w:type="pct"/>
            <w:shd w:val="clear" w:color="auto" w:fill="auto"/>
            <w:noWrap/>
            <w:vAlign w:val="center"/>
            <w:hideMark/>
          </w:tcPr>
          <w:p w14:paraId="2DE33670" w14:textId="2955FB1E" w:rsidR="00831F6A" w:rsidRPr="006B3F59" w:rsidRDefault="00831F6A" w:rsidP="00831F6A">
            <w:pPr>
              <w:pStyle w:val="Texttabulky"/>
              <w:jc w:val="center"/>
              <w:rPr>
                <w:rFonts w:cs="Arial"/>
                <w:color w:val="auto"/>
                <w:szCs w:val="16"/>
              </w:rPr>
            </w:pPr>
            <w:r w:rsidRPr="006B3F59">
              <w:rPr>
                <w:rFonts w:cs="Arial"/>
                <w:color w:val="auto"/>
                <w:szCs w:val="16"/>
              </w:rPr>
              <w:t>0</w:t>
            </w:r>
          </w:p>
        </w:tc>
        <w:tc>
          <w:tcPr>
            <w:tcW w:w="2796" w:type="pct"/>
            <w:vAlign w:val="center"/>
          </w:tcPr>
          <w:p w14:paraId="00AC4061" w14:textId="35FE3EDA" w:rsidR="00831F6A" w:rsidRPr="006B3F59" w:rsidRDefault="00831F6A" w:rsidP="00831F6A">
            <w:pPr>
              <w:pStyle w:val="Texttabulky"/>
              <w:jc w:val="center"/>
              <w:rPr>
                <w:rFonts w:cs="Arial"/>
                <w:color w:val="auto"/>
                <w:szCs w:val="16"/>
              </w:rPr>
            </w:pPr>
            <w:r w:rsidRPr="006B3F59">
              <w:rPr>
                <w:rFonts w:cs="Arial"/>
                <w:color w:val="auto"/>
                <w:szCs w:val="16"/>
              </w:rPr>
              <w:t>Nebyla identifikována žádná přímá vazba vůči posuzovanému dokumentu. Koncepce, neobsahuje cíle, podněty, požadavky nebo záměry, které vyžadují explicitní řešení v rámci posuzované koncepce.</w:t>
            </w:r>
          </w:p>
        </w:tc>
      </w:tr>
      <w:tr w:rsidR="00831F6A" w:rsidRPr="006B3F59" w14:paraId="52D14D18" w14:textId="77777777" w:rsidTr="00BD7256">
        <w:trPr>
          <w:trHeight w:val="279"/>
        </w:trPr>
        <w:tc>
          <w:tcPr>
            <w:tcW w:w="1615" w:type="pct"/>
            <w:shd w:val="clear" w:color="auto" w:fill="auto"/>
            <w:noWrap/>
            <w:vAlign w:val="center"/>
            <w:hideMark/>
          </w:tcPr>
          <w:p w14:paraId="73E30E16" w14:textId="77777777" w:rsidR="00831F6A" w:rsidRPr="006B3F59" w:rsidRDefault="00831F6A" w:rsidP="00831F6A">
            <w:pPr>
              <w:pStyle w:val="Odrky1"/>
              <w:rPr>
                <w:rFonts w:cs="Arial"/>
                <w:sz w:val="16"/>
                <w:szCs w:val="16"/>
              </w:rPr>
            </w:pPr>
            <w:r w:rsidRPr="006B3F59">
              <w:rPr>
                <w:rFonts w:cs="Arial"/>
                <w:sz w:val="16"/>
                <w:szCs w:val="16"/>
              </w:rPr>
              <w:lastRenderedPageBreak/>
              <w:t>Plán rozvoje vodovodů a kanalizací na území České republiky, Hlavní město Praha – aktualizace 2016</w:t>
            </w:r>
          </w:p>
        </w:tc>
        <w:tc>
          <w:tcPr>
            <w:tcW w:w="589" w:type="pct"/>
            <w:shd w:val="clear" w:color="auto" w:fill="auto"/>
            <w:noWrap/>
            <w:vAlign w:val="center"/>
            <w:hideMark/>
          </w:tcPr>
          <w:p w14:paraId="68A06171" w14:textId="735E8D40" w:rsidR="00831F6A" w:rsidRPr="006B3F59" w:rsidRDefault="00831F6A" w:rsidP="00831F6A">
            <w:pPr>
              <w:pStyle w:val="Texttabulky"/>
              <w:jc w:val="center"/>
              <w:rPr>
                <w:rFonts w:cs="Arial"/>
                <w:color w:val="auto"/>
                <w:szCs w:val="16"/>
              </w:rPr>
            </w:pPr>
            <w:r w:rsidRPr="006B3F59">
              <w:rPr>
                <w:rFonts w:cs="Arial"/>
                <w:color w:val="auto"/>
                <w:szCs w:val="16"/>
              </w:rPr>
              <w:t>1</w:t>
            </w:r>
          </w:p>
        </w:tc>
        <w:tc>
          <w:tcPr>
            <w:tcW w:w="2796" w:type="pct"/>
            <w:vAlign w:val="center"/>
          </w:tcPr>
          <w:p w14:paraId="6BC72B34" w14:textId="640CD8B6" w:rsidR="00831F6A" w:rsidRPr="006B3F59" w:rsidRDefault="00831F6A" w:rsidP="00831F6A">
            <w:pPr>
              <w:pStyle w:val="Texttabulky"/>
              <w:jc w:val="center"/>
              <w:rPr>
                <w:rFonts w:cs="Arial"/>
                <w:color w:val="auto"/>
                <w:szCs w:val="16"/>
              </w:rPr>
            </w:pPr>
            <w:r w:rsidRPr="006B3F59">
              <w:rPr>
                <w:rFonts w:cs="Arial"/>
                <w:color w:val="auto"/>
                <w:szCs w:val="16"/>
              </w:rPr>
              <w:t>Nebyla identifikována žádná přímá vazba vůči posuzovanému dokumentu. Koncepce, neobsahuje cíle, podněty, požadavky nebo záměry, které vyžadují řešení v rámci posuzované koncepce s výjimkou obecného principu hospodaření s dešťovou vodou a respektování ochranný pásem vedení technických sítí, zajištěného legislativně.</w:t>
            </w:r>
          </w:p>
        </w:tc>
      </w:tr>
      <w:tr w:rsidR="00831F6A" w:rsidRPr="006B3F59" w14:paraId="08D6007E" w14:textId="77777777" w:rsidTr="00BD7256">
        <w:trPr>
          <w:trHeight w:val="300"/>
        </w:trPr>
        <w:tc>
          <w:tcPr>
            <w:tcW w:w="1615" w:type="pct"/>
            <w:shd w:val="clear" w:color="auto" w:fill="auto"/>
            <w:noWrap/>
            <w:hideMark/>
          </w:tcPr>
          <w:p w14:paraId="42877E71" w14:textId="77777777" w:rsidR="00831F6A" w:rsidRPr="006B3F59" w:rsidRDefault="00831F6A" w:rsidP="00831F6A">
            <w:pPr>
              <w:pStyle w:val="Odrky1"/>
              <w:rPr>
                <w:sz w:val="16"/>
                <w:szCs w:val="16"/>
              </w:rPr>
            </w:pPr>
            <w:r w:rsidRPr="006B3F59">
              <w:rPr>
                <w:sz w:val="16"/>
                <w:szCs w:val="16"/>
              </w:rPr>
              <w:t>Plán dílčího povodí Dolní Vltavy</w:t>
            </w:r>
          </w:p>
        </w:tc>
        <w:tc>
          <w:tcPr>
            <w:tcW w:w="589" w:type="pct"/>
            <w:shd w:val="clear" w:color="auto" w:fill="auto"/>
            <w:noWrap/>
            <w:vAlign w:val="center"/>
            <w:hideMark/>
          </w:tcPr>
          <w:p w14:paraId="630A7E07" w14:textId="2EC09424" w:rsidR="00831F6A" w:rsidRPr="006B3F59" w:rsidRDefault="00831F6A" w:rsidP="00831F6A">
            <w:pPr>
              <w:pStyle w:val="Texttabulky"/>
              <w:jc w:val="center"/>
              <w:rPr>
                <w:rFonts w:cs="Arial"/>
                <w:color w:val="auto"/>
                <w:szCs w:val="16"/>
              </w:rPr>
            </w:pPr>
            <w:r w:rsidRPr="006B3F59">
              <w:rPr>
                <w:rFonts w:cs="Arial"/>
                <w:color w:val="auto"/>
                <w:szCs w:val="16"/>
              </w:rPr>
              <w:t>0</w:t>
            </w:r>
          </w:p>
        </w:tc>
        <w:tc>
          <w:tcPr>
            <w:tcW w:w="2796" w:type="pct"/>
            <w:vAlign w:val="center"/>
          </w:tcPr>
          <w:p w14:paraId="2491CF9A" w14:textId="6FA2FAE9" w:rsidR="00831F6A" w:rsidRPr="006B3F59" w:rsidRDefault="00831F6A" w:rsidP="00831F6A">
            <w:pPr>
              <w:pStyle w:val="Texttabulky"/>
              <w:jc w:val="center"/>
              <w:rPr>
                <w:rFonts w:cs="Arial"/>
                <w:color w:val="auto"/>
                <w:szCs w:val="16"/>
              </w:rPr>
            </w:pPr>
            <w:r w:rsidRPr="006B3F59">
              <w:rPr>
                <w:rFonts w:cs="Arial"/>
                <w:color w:val="auto"/>
                <w:szCs w:val="16"/>
              </w:rPr>
              <w:t>Nebyla identifikována žádná přímá vazba vůči posuzovanému dokumentu. Koncepce, neobsahuje cíle, podněty, požadavky nebo záměry, které vyžadují explicitní řešení v rámci posuzované koncepce.</w:t>
            </w:r>
          </w:p>
        </w:tc>
      </w:tr>
      <w:tr w:rsidR="00831F6A" w:rsidRPr="006B3F59" w14:paraId="2B2B59C3" w14:textId="77777777" w:rsidTr="00BD7256">
        <w:trPr>
          <w:trHeight w:val="300"/>
        </w:trPr>
        <w:tc>
          <w:tcPr>
            <w:tcW w:w="1615" w:type="pct"/>
            <w:shd w:val="clear" w:color="auto" w:fill="auto"/>
            <w:noWrap/>
          </w:tcPr>
          <w:p w14:paraId="14DDA86F" w14:textId="77777777" w:rsidR="00831F6A" w:rsidRPr="006B3F59" w:rsidRDefault="00831F6A" w:rsidP="00831F6A">
            <w:pPr>
              <w:pStyle w:val="Odrky1"/>
              <w:rPr>
                <w:sz w:val="16"/>
                <w:szCs w:val="16"/>
              </w:rPr>
            </w:pPr>
            <w:r w:rsidRPr="006B3F59">
              <w:rPr>
                <w:sz w:val="16"/>
                <w:szCs w:val="16"/>
              </w:rPr>
              <w:t>Povodňový plán Hlavního města Prahy 2016</w:t>
            </w:r>
          </w:p>
        </w:tc>
        <w:tc>
          <w:tcPr>
            <w:tcW w:w="589" w:type="pct"/>
            <w:shd w:val="clear" w:color="auto" w:fill="auto"/>
            <w:noWrap/>
            <w:vAlign w:val="center"/>
          </w:tcPr>
          <w:p w14:paraId="169368D1" w14:textId="145E8AAC" w:rsidR="00831F6A" w:rsidRPr="006B3F59" w:rsidRDefault="00831F6A" w:rsidP="00831F6A">
            <w:pPr>
              <w:pStyle w:val="Texttabulky"/>
              <w:jc w:val="center"/>
              <w:rPr>
                <w:rFonts w:cs="Arial"/>
                <w:color w:val="auto"/>
                <w:szCs w:val="16"/>
              </w:rPr>
            </w:pPr>
            <w:r w:rsidRPr="006B3F59">
              <w:rPr>
                <w:rFonts w:cs="Arial"/>
                <w:color w:val="auto"/>
                <w:szCs w:val="16"/>
              </w:rPr>
              <w:t>0</w:t>
            </w:r>
          </w:p>
        </w:tc>
        <w:tc>
          <w:tcPr>
            <w:tcW w:w="2796" w:type="pct"/>
            <w:vAlign w:val="center"/>
          </w:tcPr>
          <w:p w14:paraId="3028E023" w14:textId="70F2BEDE" w:rsidR="00831F6A" w:rsidRPr="006B3F59" w:rsidRDefault="00831F6A" w:rsidP="00831F6A">
            <w:pPr>
              <w:pStyle w:val="Texttabulky"/>
              <w:jc w:val="center"/>
              <w:rPr>
                <w:rFonts w:cs="Arial"/>
                <w:color w:val="auto"/>
                <w:szCs w:val="16"/>
              </w:rPr>
            </w:pPr>
            <w:r w:rsidRPr="006B3F59">
              <w:rPr>
                <w:rFonts w:cs="Arial"/>
                <w:color w:val="auto"/>
                <w:szCs w:val="16"/>
              </w:rPr>
              <w:t>Nebyla identifikována žádná přímá vazba vůči posuzovanému dokumentu. Koncepce, neobsahuje cíle, podněty, požadavky nebo záměry, které vyžadují explicitní řešení v rámci posuzované koncepce.</w:t>
            </w:r>
          </w:p>
        </w:tc>
      </w:tr>
      <w:tr w:rsidR="00831F6A" w:rsidRPr="006B3F59" w14:paraId="60D9180B" w14:textId="77777777" w:rsidTr="00BD7256">
        <w:trPr>
          <w:trHeight w:val="139"/>
        </w:trPr>
        <w:tc>
          <w:tcPr>
            <w:tcW w:w="1615" w:type="pct"/>
            <w:shd w:val="clear" w:color="auto" w:fill="auto"/>
            <w:noWrap/>
          </w:tcPr>
          <w:p w14:paraId="391F4669" w14:textId="77777777" w:rsidR="00831F6A" w:rsidRPr="006B3F59" w:rsidRDefault="00831F6A" w:rsidP="00831F6A">
            <w:pPr>
              <w:pStyle w:val="Odrky1"/>
              <w:rPr>
                <w:sz w:val="16"/>
                <w:szCs w:val="16"/>
              </w:rPr>
            </w:pPr>
            <w:r w:rsidRPr="006B3F59">
              <w:rPr>
                <w:sz w:val="16"/>
                <w:szCs w:val="16"/>
              </w:rPr>
              <w:t>Strategie adaptace hl. m. Prahy na klimatickou změnu (2017), Klimatický lán hl. m. Prahy do roku 2030</w:t>
            </w:r>
          </w:p>
        </w:tc>
        <w:tc>
          <w:tcPr>
            <w:tcW w:w="589" w:type="pct"/>
            <w:shd w:val="clear" w:color="auto" w:fill="auto"/>
            <w:noWrap/>
            <w:vAlign w:val="center"/>
          </w:tcPr>
          <w:p w14:paraId="7FDD094D" w14:textId="49FD9E11" w:rsidR="00831F6A" w:rsidRPr="006B3F59" w:rsidRDefault="000F02E4" w:rsidP="00831F6A">
            <w:pPr>
              <w:pStyle w:val="Texttabulky"/>
              <w:jc w:val="center"/>
              <w:rPr>
                <w:rFonts w:cs="Arial"/>
                <w:color w:val="auto"/>
                <w:szCs w:val="16"/>
              </w:rPr>
            </w:pPr>
            <w:r w:rsidRPr="006B3F59">
              <w:rPr>
                <w:rFonts w:cs="Arial"/>
                <w:color w:val="auto"/>
                <w:szCs w:val="16"/>
              </w:rPr>
              <w:t>1</w:t>
            </w:r>
          </w:p>
        </w:tc>
        <w:tc>
          <w:tcPr>
            <w:tcW w:w="2796" w:type="pct"/>
            <w:vAlign w:val="center"/>
          </w:tcPr>
          <w:p w14:paraId="5DBAC309" w14:textId="3419ECD8" w:rsidR="00831F6A" w:rsidRPr="006B3F59" w:rsidRDefault="00831F6A" w:rsidP="00831F6A">
            <w:pPr>
              <w:pStyle w:val="Texttabulky"/>
              <w:jc w:val="center"/>
              <w:rPr>
                <w:rFonts w:cs="Arial"/>
                <w:color w:val="auto"/>
                <w:szCs w:val="16"/>
              </w:rPr>
            </w:pPr>
            <w:r w:rsidRPr="006B3F59">
              <w:rPr>
                <w:rFonts w:cs="Arial"/>
                <w:color w:val="auto"/>
                <w:szCs w:val="16"/>
              </w:rPr>
              <w:t>Nebyla identifikována žádná přímá vazba vůči posuzovanému dokumentu. Koncepce, neobsahuje cíle, podněty, požadavky nebo záměry, které vyžadují řešení v rámci posuzované koncepce s výjimkou obecného principu hospodaření s dešťovou vodou, zajištěného legislativně</w:t>
            </w:r>
            <w:r w:rsidR="000F02E4" w:rsidRPr="006B3F59">
              <w:rPr>
                <w:rFonts w:cs="Arial"/>
                <w:color w:val="auto"/>
                <w:szCs w:val="16"/>
              </w:rPr>
              <w:t>. Nepřímo jsou vytvářeny územní předpoklady pro zajištění funkčního a ekologicky stabilního systému sídelní zelně a variability urbanizovaného území.</w:t>
            </w:r>
          </w:p>
        </w:tc>
      </w:tr>
    </w:tbl>
    <w:p w14:paraId="0091CBDA" w14:textId="77777777" w:rsidR="00D47D6C" w:rsidRPr="006B3F59" w:rsidRDefault="00D47D6C" w:rsidP="00586478">
      <w:pPr>
        <w:rPr>
          <w:u w:val="single"/>
        </w:rPr>
      </w:pPr>
      <w:bookmarkStart w:id="61" w:name="_Toc531606239"/>
      <w:bookmarkStart w:id="62" w:name="_Toc29298322"/>
    </w:p>
    <w:p w14:paraId="3FBF4EBD" w14:textId="77777777" w:rsidR="00D47D6C" w:rsidRPr="006B3F59" w:rsidRDefault="00D47D6C" w:rsidP="00586478">
      <w:pPr>
        <w:rPr>
          <w:u w:val="single"/>
        </w:rPr>
      </w:pPr>
    </w:p>
    <w:p w14:paraId="27027931" w14:textId="744615CD" w:rsidR="00586478" w:rsidRPr="006B3F59" w:rsidRDefault="00586478" w:rsidP="00586478">
      <w:pPr>
        <w:rPr>
          <w:u w:val="single"/>
        </w:rPr>
      </w:pPr>
      <w:r w:rsidRPr="006B3F59">
        <w:rPr>
          <w:u w:val="single"/>
        </w:rPr>
        <w:t xml:space="preserve">Shrnutí: </w:t>
      </w:r>
    </w:p>
    <w:p w14:paraId="24F01B07" w14:textId="3EADC54D" w:rsidR="00586478" w:rsidRPr="006B3F59" w:rsidRDefault="00586478" w:rsidP="00586478">
      <w:r w:rsidRPr="006B3F59">
        <w:t>Z výše uvedeného přehledu a vyhodnocení vzájemných vazeb byly vybrány strategické dokumenty s identifikovaným velmi silným a silným (přímým) vztahem vůči posuzované změně územního plánu, tj. takové dokumenty, které obsazují cíle, podněty nebo požadavky přímo promítnuté do řešené územně plánovací dokumentace v podobě průmětu do území a takové dokumenty, jejichž strategické cíle jsou přímo dotčeny řešením předkládané ÚPD na strategické úrovni.</w:t>
      </w:r>
    </w:p>
    <w:p w14:paraId="2A49A74C" w14:textId="25779A5B" w:rsidR="00586478" w:rsidRPr="006B3F59" w:rsidRDefault="00586478" w:rsidP="00586478">
      <w:r w:rsidRPr="006B3F59">
        <w:t xml:space="preserve">V rámci vyhodnocení předkládané </w:t>
      </w:r>
      <w:r w:rsidR="0030273F" w:rsidRPr="006B3F59">
        <w:t>Posuzované ÚPD</w:t>
      </w:r>
      <w:r w:rsidRPr="006B3F59">
        <w:t xml:space="preserve"> na životní prostředí jsou dále vyhodnoceny relevantní cíle těchto koncepcí v oblasti ochrany životního prostředí a jejich vztah k posuzovanému dokumentu. </w:t>
      </w:r>
    </w:p>
    <w:p w14:paraId="66A3DA96" w14:textId="77777777" w:rsidR="00586478" w:rsidRPr="006B3F59" w:rsidRDefault="00586478" w:rsidP="00586478">
      <w:r w:rsidRPr="006B3F59">
        <w:t>Jedná se o tyto strategické dokumenty:</w:t>
      </w:r>
    </w:p>
    <w:p w14:paraId="4FD7C58C" w14:textId="6548431F" w:rsidR="009B30D0" w:rsidRPr="006B3F59" w:rsidRDefault="009B30D0">
      <w:pPr>
        <w:pStyle w:val="Odstavecseseznamem"/>
        <w:numPr>
          <w:ilvl w:val="0"/>
          <w:numId w:val="33"/>
        </w:numPr>
      </w:pPr>
      <w:r w:rsidRPr="006B3F59">
        <w:t>Politika územního rozvoje ČR ve znění závazném od 1.9.2021</w:t>
      </w:r>
      <w:r w:rsidR="00BD6C1A" w:rsidRPr="006B3F59">
        <w:t>.</w:t>
      </w:r>
    </w:p>
    <w:p w14:paraId="51BA5FC1" w14:textId="1B319350" w:rsidR="00BA2708" w:rsidRPr="006B3F59" w:rsidRDefault="00BA2708">
      <w:pPr>
        <w:pStyle w:val="Odstavecseseznamem"/>
        <w:numPr>
          <w:ilvl w:val="0"/>
          <w:numId w:val="33"/>
        </w:numPr>
      </w:pPr>
      <w:r w:rsidRPr="006B3F59">
        <w:t>Státní politika životního prostředí ČR 2030 s výhledem do roku 2050</w:t>
      </w:r>
      <w:r w:rsidR="00BD6C1A" w:rsidRPr="006B3F59">
        <w:t>.</w:t>
      </w:r>
    </w:p>
    <w:p w14:paraId="617D0045" w14:textId="5545B930" w:rsidR="009B30D0" w:rsidRPr="006B3F59" w:rsidRDefault="009B30D0">
      <w:pPr>
        <w:pStyle w:val="Odstavecseseznamem"/>
        <w:numPr>
          <w:ilvl w:val="0"/>
          <w:numId w:val="33"/>
        </w:numPr>
      </w:pPr>
      <w:r w:rsidRPr="006B3F59">
        <w:t xml:space="preserve">Strategický </w:t>
      </w:r>
      <w:r w:rsidR="003577E4" w:rsidRPr="006B3F59">
        <w:t>rámec – Česká</w:t>
      </w:r>
      <w:r w:rsidRPr="006B3F59">
        <w:t xml:space="preserve"> republika 2030</w:t>
      </w:r>
      <w:r w:rsidR="00BD6C1A" w:rsidRPr="006B3F59">
        <w:t>.</w:t>
      </w:r>
    </w:p>
    <w:p w14:paraId="6EDE5A0D" w14:textId="396ABB4D" w:rsidR="000F02E4" w:rsidRPr="006B3F59" w:rsidRDefault="000F02E4">
      <w:pPr>
        <w:pStyle w:val="Odstavecseseznamem"/>
        <w:numPr>
          <w:ilvl w:val="0"/>
          <w:numId w:val="33"/>
        </w:numPr>
      </w:pPr>
      <w:r w:rsidRPr="006B3F59">
        <w:t>Státní program ochrany přírody a krajiny pro období 2020-2025</w:t>
      </w:r>
      <w:r w:rsidR="002E006D" w:rsidRPr="006B3F59">
        <w:t>.</w:t>
      </w:r>
    </w:p>
    <w:p w14:paraId="4EA05B21" w14:textId="29FF488F" w:rsidR="00AB4563" w:rsidRPr="006B3F59" w:rsidRDefault="00AB4563">
      <w:pPr>
        <w:pStyle w:val="Odstavecseseznamem"/>
        <w:numPr>
          <w:ilvl w:val="0"/>
          <w:numId w:val="33"/>
        </w:numPr>
      </w:pPr>
      <w:r w:rsidRPr="006B3F59">
        <w:t>Strategie ochrany biologické rozmanitosti ČR 2016-2025.</w:t>
      </w:r>
    </w:p>
    <w:p w14:paraId="39E0AEEF" w14:textId="64BD5E1D" w:rsidR="009B30D0" w:rsidRPr="006B3F59" w:rsidRDefault="009B30D0">
      <w:pPr>
        <w:pStyle w:val="Odstavecseseznamem"/>
        <w:numPr>
          <w:ilvl w:val="0"/>
          <w:numId w:val="33"/>
        </w:numPr>
      </w:pPr>
      <w:r w:rsidRPr="006B3F59">
        <w:t>Akční plán ČR pro zdraví a životní prostředí – NEHAP (2007)</w:t>
      </w:r>
      <w:r w:rsidR="00BD6C1A" w:rsidRPr="006B3F59">
        <w:t>.</w:t>
      </w:r>
    </w:p>
    <w:p w14:paraId="7BA3DB91" w14:textId="00D666B9" w:rsidR="009B30D0" w:rsidRPr="006B3F59" w:rsidRDefault="009B30D0">
      <w:pPr>
        <w:pStyle w:val="Odstavecseseznamem"/>
        <w:numPr>
          <w:ilvl w:val="0"/>
          <w:numId w:val="33"/>
        </w:numPr>
      </w:pPr>
      <w:r w:rsidRPr="006B3F59">
        <w:t>Strategický rámec rozvoje péče o zdraví v ČR do roku – Zdraví 2030</w:t>
      </w:r>
      <w:r w:rsidR="00BD6C1A" w:rsidRPr="006B3F59">
        <w:t>.</w:t>
      </w:r>
    </w:p>
    <w:p w14:paraId="582B3439" w14:textId="344B637D" w:rsidR="009B30D0" w:rsidRPr="006B3F59" w:rsidRDefault="009B30D0">
      <w:pPr>
        <w:pStyle w:val="Odstavecseseznamem"/>
        <w:numPr>
          <w:ilvl w:val="0"/>
          <w:numId w:val="33"/>
        </w:numPr>
      </w:pPr>
      <w:r w:rsidRPr="006B3F59">
        <w:t>Zásady územního rozvoje Hlavního města Prahy, ve znění aktualizace 11, účinné od 28.7.2022</w:t>
      </w:r>
      <w:r w:rsidR="00BD6C1A" w:rsidRPr="006B3F59">
        <w:t>.</w:t>
      </w:r>
    </w:p>
    <w:p w14:paraId="0BC3E0E1" w14:textId="374FE778" w:rsidR="009B30D0" w:rsidRPr="006B3F59" w:rsidRDefault="009B30D0">
      <w:pPr>
        <w:pStyle w:val="Odstavecseseznamem"/>
        <w:numPr>
          <w:ilvl w:val="0"/>
          <w:numId w:val="33"/>
        </w:numPr>
      </w:pPr>
      <w:r w:rsidRPr="006B3F59">
        <w:t>Strategický plán hlavního města Prahy, aktualizace 2016.</w:t>
      </w:r>
    </w:p>
    <w:p w14:paraId="291435ED" w14:textId="36A5BF61" w:rsidR="00560B50" w:rsidRPr="006B3F59" w:rsidRDefault="002E006D" w:rsidP="00FB1599">
      <w:pPr>
        <w:pStyle w:val="Odstavecseseznamem"/>
        <w:numPr>
          <w:ilvl w:val="0"/>
          <w:numId w:val="33"/>
        </w:numPr>
      </w:pPr>
      <w:r w:rsidRPr="006B3F59">
        <w:t xml:space="preserve">Plán udržitelné mobility Prahy a okolí. </w:t>
      </w:r>
    </w:p>
    <w:p w14:paraId="20ECCFFC" w14:textId="77777777" w:rsidR="00586478" w:rsidRPr="006B3F59" w:rsidRDefault="00586478" w:rsidP="00586478">
      <w:r w:rsidRPr="006B3F59">
        <w:t>Mimo výše uvedený seznam nelze zcela vyloučit ani přítomnost dalších koncepcí, resp. programů různých subjektů. Vlivy realizace všech koncepcí budou vzájemně interferovat, při vhodném návrhu aktivit odpovídajících posouzení vlivů na životní prostředí a realizaci odpovídajících opatření nelze očekávat významné riziko kumulace negativních vlivů. V řadě případů lze očekávat, že koncepce se budou překrývat, resp. budou využívat společné finanční zdroje.</w:t>
      </w:r>
    </w:p>
    <w:p w14:paraId="37F3B45D" w14:textId="77777777" w:rsidR="00586478" w:rsidRPr="006B3F59" w:rsidRDefault="00586478" w:rsidP="00586478">
      <w:r w:rsidRPr="006B3F59">
        <w:t>Koncepční dokumenty zaměřené na ochranu životního prostředí s identifikovaným velmi silným (3) nebo silným (2) vztahem vůči hodnocené koncepci jsou podkladem pro hodnocení vztahu územního plánu k cílům ochrany životního prostředí přijatým na vnitrostátní a místní úrovni (kap. A.II.1.).</w:t>
      </w:r>
    </w:p>
    <w:p w14:paraId="1B5B2802" w14:textId="77777777" w:rsidR="00586478" w:rsidRPr="006B3F59" w:rsidRDefault="00586478" w:rsidP="00586478">
      <w:r w:rsidRPr="006B3F59">
        <w:t xml:space="preserve">V následující kapitole uvádíme charakteristiku jednotlivých relevantních strategických dokumentů a jejich vybraných cílů v oblasti ochrany životního prostředí a veřejného zdraví, které byly vzaty jako východiska pro stanovení referenčních cílů ochrany životního prostředí a veřejného zdraví, a stručné komentáře charakterizující vztah návrhu územního plánu k těmto cílům. Podrobné zhodnocení způsobu zapracování cílů ochrany životního prostředí přijatých na mezinárodní nebo vnitrostátní úrovni do územně plánovací dokumentace a jejich zohlednění při výběru variant řešení je uvedeno v kapitole </w:t>
      </w:r>
      <w:proofErr w:type="gramStart"/>
      <w:r w:rsidRPr="006B3F59">
        <w:t>A.IX.</w:t>
      </w:r>
      <w:proofErr w:type="gramEnd"/>
    </w:p>
    <w:p w14:paraId="50DE5C0A" w14:textId="77777777" w:rsidR="00794578" w:rsidRPr="006B3F59" w:rsidRDefault="00794578" w:rsidP="00BA72D5">
      <w:pPr>
        <w:pStyle w:val="Nadpis2"/>
      </w:pPr>
      <w:bookmarkStart w:id="63" w:name="_Toc138848102"/>
      <w:r w:rsidRPr="006B3F59">
        <w:lastRenderedPageBreak/>
        <w:t>Zhodnocení vztahu územně plánovací dokumentace k cílům ochrany životního prostředí přijatým na vnitrostátní úrovni.</w:t>
      </w:r>
      <w:bookmarkEnd w:id="61"/>
      <w:bookmarkEnd w:id="62"/>
      <w:bookmarkEnd w:id="63"/>
    </w:p>
    <w:p w14:paraId="2E9B0FC7" w14:textId="77777777" w:rsidR="00586478" w:rsidRPr="006B3F59" w:rsidRDefault="00586478" w:rsidP="00586478">
      <w:r w:rsidRPr="006B3F59">
        <w:t>Smyslem této kapitoly je identifikovat ty cíle ochrany životního prostředí, jejichž splnění lze dosáhnout nebo k jejichž dosažení lze přispět nástroji územního plánování použitými v rámci návrhu předkládané ÚPD.</w:t>
      </w:r>
    </w:p>
    <w:p w14:paraId="0DB90E34" w14:textId="77777777" w:rsidR="00586478" w:rsidRPr="006B3F59" w:rsidRDefault="00586478" w:rsidP="00586478">
      <w:r w:rsidRPr="006B3F59">
        <w:t>Jedná se o cíle přijaté na vnitrostátní úrovni definované především v celostátních, krajských nebo vnitroměstských dokumentech uvedených v předchozí kapitole (A.I.3.) s tématem ochrany složek životního prostředí, příp. v dalších koncepcích s významnou vazbou na problematiku životního prostředí.</w:t>
      </w:r>
    </w:p>
    <w:p w14:paraId="0F628A41" w14:textId="77777777" w:rsidR="00586478" w:rsidRPr="006B3F59" w:rsidRDefault="00586478" w:rsidP="00586478">
      <w:r w:rsidRPr="006B3F59">
        <w:t>V této souvislosti byly z koncepčních dokumentů specifikovaných v kap. A.I.3. vybrány cíle a priority s jednoznačnou vazbou na problematiku ochrany životního prostředí a zdraví obyvatelstva, které jsou relevantní vůči předkládané územně plánovací dokumentaci. Tabelární vyhodnocení vazby posuzované změny územního plánu a relevantních strategických cílů těchto dokumentů je obsahem kapitoly A.XI. Níže se nachází základní charakteristika identifikovaných relevantních strategických dokumentů a jejich strategických cílů s identifikovanou vazbou vůči posuzované koncepci, vyhodnocení vzájemné vazby a stručné shrnutí jejich vazby vůči posuzované koncepci.</w:t>
      </w:r>
    </w:p>
    <w:p w14:paraId="525E9D47" w14:textId="77777777" w:rsidR="00586478" w:rsidRPr="006B3F59" w:rsidRDefault="00586478" w:rsidP="00586478">
      <w:r w:rsidRPr="006B3F59">
        <w:t xml:space="preserve">V rámci vyhodnocení posuzované koncepce na udržitelný rozvoj území byly vzaty v úvahu relevantní cíle v oblasti ochrany životního prostředí a udržitelného rozvoje níže uvedených koncepcí s identifikovaným velmi silným a silným přímým vztahem k posuzovanému dokumentu a na jejich základě a na základě analýzy životního prostředí, jeho vývojových trendů a problémů v řešeném území, která je předmětem řešení kapitol A.III až A.V byla sestavena sada referenčních cílů ochrany životního prostředí reprezentující jednotlivé složky a problémové okruhy životního prostředí (viz podkapitola A.VI.1), které tvoří základní referenční rámec pro hodnocení. </w:t>
      </w:r>
    </w:p>
    <w:p w14:paraId="12C49971" w14:textId="77777777" w:rsidR="00586478" w:rsidRPr="006B3F59" w:rsidRDefault="00586478" w:rsidP="00586478">
      <w:r w:rsidRPr="006B3F59">
        <w:t>Jedná se o cíle těchto koncepcí:</w:t>
      </w:r>
    </w:p>
    <w:p w14:paraId="5D524748" w14:textId="77777777" w:rsidR="00560B50" w:rsidRPr="006B3F59" w:rsidRDefault="00560B50" w:rsidP="00560B50">
      <w:pPr>
        <w:pStyle w:val="Odstavecseseznamem"/>
        <w:numPr>
          <w:ilvl w:val="0"/>
          <w:numId w:val="33"/>
        </w:numPr>
      </w:pPr>
      <w:r w:rsidRPr="006B3F59">
        <w:t>Politika územního rozvoje ČR ve znění závazném od 1.9.2021.</w:t>
      </w:r>
    </w:p>
    <w:p w14:paraId="3885731E" w14:textId="77777777" w:rsidR="00560B50" w:rsidRPr="006B3F59" w:rsidRDefault="00560B50" w:rsidP="00560B50">
      <w:pPr>
        <w:pStyle w:val="Odstavecseseznamem"/>
        <w:numPr>
          <w:ilvl w:val="0"/>
          <w:numId w:val="33"/>
        </w:numPr>
      </w:pPr>
      <w:r w:rsidRPr="006B3F59">
        <w:t>Státní politika životního prostředí ČR 2030 s výhledem do roku 2050.</w:t>
      </w:r>
    </w:p>
    <w:p w14:paraId="729E1731" w14:textId="77777777" w:rsidR="00560B50" w:rsidRPr="006B3F59" w:rsidRDefault="00560B50" w:rsidP="00560B50">
      <w:pPr>
        <w:pStyle w:val="Odstavecseseznamem"/>
        <w:numPr>
          <w:ilvl w:val="0"/>
          <w:numId w:val="33"/>
        </w:numPr>
      </w:pPr>
      <w:r w:rsidRPr="006B3F59">
        <w:t>Strategický rámec – Česká republika 2030.</w:t>
      </w:r>
    </w:p>
    <w:p w14:paraId="35ECB613" w14:textId="418F59C2" w:rsidR="00560B50" w:rsidRPr="006B3F59" w:rsidRDefault="00560B50" w:rsidP="00560B50">
      <w:pPr>
        <w:pStyle w:val="Odstavecseseznamem"/>
        <w:numPr>
          <w:ilvl w:val="0"/>
          <w:numId w:val="33"/>
        </w:numPr>
      </w:pPr>
      <w:r w:rsidRPr="006B3F59">
        <w:t>Státní program ochrany přírody a krajiny pro období 2020-2025.</w:t>
      </w:r>
    </w:p>
    <w:p w14:paraId="33735014" w14:textId="397C2CFE" w:rsidR="00AB4563" w:rsidRPr="006B3F59" w:rsidRDefault="00AB4563" w:rsidP="00560B50">
      <w:pPr>
        <w:pStyle w:val="Odstavecseseznamem"/>
        <w:numPr>
          <w:ilvl w:val="0"/>
          <w:numId w:val="33"/>
        </w:numPr>
      </w:pPr>
      <w:r w:rsidRPr="006B3F59">
        <w:t>Strategie ochrany biologické rozmanitosti ČR 2016-2025.</w:t>
      </w:r>
    </w:p>
    <w:p w14:paraId="5511D9BB" w14:textId="77777777" w:rsidR="00560B50" w:rsidRPr="006B3F59" w:rsidRDefault="00560B50" w:rsidP="00560B50">
      <w:pPr>
        <w:pStyle w:val="Odstavecseseznamem"/>
        <w:numPr>
          <w:ilvl w:val="0"/>
          <w:numId w:val="33"/>
        </w:numPr>
      </w:pPr>
      <w:r w:rsidRPr="006B3F59">
        <w:t>Akční plán ČR pro zdraví a životní prostředí – NEHAP (2007).</w:t>
      </w:r>
    </w:p>
    <w:p w14:paraId="28DACB2E" w14:textId="77777777" w:rsidR="00560B50" w:rsidRPr="006B3F59" w:rsidRDefault="00560B50" w:rsidP="00560B50">
      <w:pPr>
        <w:pStyle w:val="Odstavecseseznamem"/>
        <w:numPr>
          <w:ilvl w:val="0"/>
          <w:numId w:val="33"/>
        </w:numPr>
      </w:pPr>
      <w:r w:rsidRPr="006B3F59">
        <w:t>Strategický rámec rozvoje péče o zdraví v ČR do roku – Zdraví 2030.</w:t>
      </w:r>
    </w:p>
    <w:p w14:paraId="6CB15AEE" w14:textId="77777777" w:rsidR="00560B50" w:rsidRPr="006B3F59" w:rsidRDefault="00560B50" w:rsidP="00560B50">
      <w:pPr>
        <w:pStyle w:val="Odstavecseseznamem"/>
        <w:numPr>
          <w:ilvl w:val="0"/>
          <w:numId w:val="33"/>
        </w:numPr>
      </w:pPr>
      <w:r w:rsidRPr="006B3F59">
        <w:t>Zásady územního rozvoje Hlavního města Prahy, ve znění aktualizace 11, účinné od 28.7.2022.</w:t>
      </w:r>
    </w:p>
    <w:p w14:paraId="6AFA57A4" w14:textId="77777777" w:rsidR="00560B50" w:rsidRPr="006B3F59" w:rsidRDefault="00560B50" w:rsidP="00560B50">
      <w:pPr>
        <w:pStyle w:val="Odstavecseseznamem"/>
        <w:numPr>
          <w:ilvl w:val="0"/>
          <w:numId w:val="33"/>
        </w:numPr>
      </w:pPr>
      <w:r w:rsidRPr="006B3F59">
        <w:t>Strategický plán hlavního města Prahy, aktualizace 2016.</w:t>
      </w:r>
    </w:p>
    <w:p w14:paraId="21012019" w14:textId="77777777" w:rsidR="00560B50" w:rsidRPr="006B3F59" w:rsidRDefault="00560B50" w:rsidP="00560B50">
      <w:pPr>
        <w:pStyle w:val="Odstavecseseznamem"/>
        <w:numPr>
          <w:ilvl w:val="0"/>
          <w:numId w:val="33"/>
        </w:numPr>
      </w:pPr>
      <w:r w:rsidRPr="006B3F59">
        <w:t xml:space="preserve">Plán udržitelné mobility Prahy a okolí. </w:t>
      </w:r>
    </w:p>
    <w:p w14:paraId="48928DD3" w14:textId="77777777" w:rsidR="00586478" w:rsidRPr="006B3F59" w:rsidRDefault="00586478" w:rsidP="00586478">
      <w:pPr>
        <w:spacing w:after="120"/>
      </w:pPr>
      <w:r w:rsidRPr="006B3F59">
        <w:rPr>
          <w:rFonts w:cs="Arial"/>
          <w:szCs w:val="20"/>
        </w:rPr>
        <w:t xml:space="preserve">Vztah předkládané ÚPD vůči cílům ochrany životního prostředí přijatým v dokumentech s relevantním vztahem k posuzované koncepci </w:t>
      </w:r>
      <w:r w:rsidRPr="006B3F59">
        <w:t xml:space="preserve">a k zájmovému území, a způsob zapracování daných cílů ochrany životního prostředí v řešené koncepce je možné hodnotit dle již výše použité stupnice, komentován je směr působení vazby, tj. zda se jedná o pozitivní nebo negativní vazbu ve vztahu k uplatnění cíle prostřednictvím posuzovaného dokumentu: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2"/>
        <w:gridCol w:w="2385"/>
        <w:gridCol w:w="6293"/>
      </w:tblGrid>
      <w:tr w:rsidR="00586478" w:rsidRPr="006B3F59" w14:paraId="46364D3D" w14:textId="77777777" w:rsidTr="00B34C98">
        <w:tc>
          <w:tcPr>
            <w:tcW w:w="851" w:type="dxa"/>
            <w:shd w:val="clear" w:color="auto" w:fill="auto"/>
          </w:tcPr>
          <w:p w14:paraId="3957A966" w14:textId="77777777" w:rsidR="00586478" w:rsidRPr="006B3F59" w:rsidRDefault="00586478" w:rsidP="00B34C98">
            <w:pPr>
              <w:pStyle w:val="Texttabulky"/>
              <w:spacing w:before="40" w:after="40"/>
              <w:rPr>
                <w:sz w:val="20"/>
              </w:rPr>
            </w:pPr>
            <w:r w:rsidRPr="006B3F59">
              <w:rPr>
                <w:sz w:val="20"/>
              </w:rPr>
              <w:t>3</w:t>
            </w:r>
          </w:p>
        </w:tc>
        <w:tc>
          <w:tcPr>
            <w:tcW w:w="2410" w:type="dxa"/>
            <w:shd w:val="clear" w:color="auto" w:fill="auto"/>
          </w:tcPr>
          <w:p w14:paraId="730A8E69" w14:textId="77777777" w:rsidR="00586478" w:rsidRPr="006B3F59" w:rsidRDefault="00586478" w:rsidP="00B34C98">
            <w:pPr>
              <w:pStyle w:val="Texttabulky"/>
              <w:spacing w:before="40" w:after="40"/>
              <w:rPr>
                <w:sz w:val="20"/>
              </w:rPr>
            </w:pPr>
            <w:r w:rsidRPr="006B3F59">
              <w:rPr>
                <w:rFonts w:cs="Arial"/>
                <w:sz w:val="20"/>
              </w:rPr>
              <w:t>Velmi silný (přímý) vztah</w:t>
            </w:r>
          </w:p>
        </w:tc>
        <w:tc>
          <w:tcPr>
            <w:tcW w:w="6378" w:type="dxa"/>
            <w:shd w:val="clear" w:color="auto" w:fill="auto"/>
          </w:tcPr>
          <w:p w14:paraId="7706429C" w14:textId="77777777" w:rsidR="00586478" w:rsidRPr="006B3F59" w:rsidRDefault="00586478" w:rsidP="00B34C98">
            <w:pPr>
              <w:pStyle w:val="Texttabulky"/>
              <w:spacing w:before="40" w:after="40"/>
              <w:jc w:val="both"/>
              <w:rPr>
                <w:rFonts w:cs="Arial"/>
                <w:sz w:val="20"/>
              </w:rPr>
            </w:pPr>
            <w:r w:rsidRPr="006B3F59">
              <w:rPr>
                <w:rFonts w:cs="Arial"/>
                <w:sz w:val="20"/>
              </w:rPr>
              <w:t xml:space="preserve">Strategický dokument obsahuje podněty, požadavky nebo záměry </w:t>
            </w:r>
            <w:r w:rsidRPr="006B3F59">
              <w:rPr>
                <w:rFonts w:cs="Arial"/>
                <w:bCs/>
                <w:iCs/>
                <w:sz w:val="20"/>
              </w:rPr>
              <w:t>s konkrétně definovaným nárokem na změnu využití území, které se přímo promítají do posuzované ÚPD.</w:t>
            </w:r>
            <w:r w:rsidRPr="006B3F59">
              <w:rPr>
                <w:rFonts w:cs="Arial"/>
                <w:sz w:val="20"/>
              </w:rPr>
              <w:t xml:space="preserve"> Zahrnutí do platné ÚPD je </w:t>
            </w:r>
            <w:r w:rsidRPr="006B3F59">
              <w:rPr>
                <w:rFonts w:cs="Arial"/>
                <w:bCs/>
                <w:iCs/>
                <w:sz w:val="20"/>
              </w:rPr>
              <w:t xml:space="preserve">nezbytnou podmínkou </w:t>
            </w:r>
            <w:r w:rsidRPr="006B3F59">
              <w:rPr>
                <w:rFonts w:cs="Arial"/>
                <w:sz w:val="20"/>
              </w:rPr>
              <w:t>vyplývající z přijatého strategického dokumentu.</w:t>
            </w:r>
          </w:p>
        </w:tc>
      </w:tr>
      <w:tr w:rsidR="00586478" w:rsidRPr="006B3F59" w14:paraId="6A37D29E" w14:textId="77777777" w:rsidTr="00B34C98">
        <w:tc>
          <w:tcPr>
            <w:tcW w:w="851" w:type="dxa"/>
            <w:shd w:val="clear" w:color="auto" w:fill="auto"/>
          </w:tcPr>
          <w:p w14:paraId="2C3DECA9" w14:textId="77777777" w:rsidR="00586478" w:rsidRPr="006B3F59" w:rsidRDefault="00586478" w:rsidP="00B34C98">
            <w:pPr>
              <w:pStyle w:val="Texttabulky"/>
              <w:spacing w:before="40" w:after="40"/>
              <w:rPr>
                <w:sz w:val="20"/>
              </w:rPr>
            </w:pPr>
            <w:r w:rsidRPr="006B3F59">
              <w:rPr>
                <w:sz w:val="20"/>
              </w:rPr>
              <w:t>2</w:t>
            </w:r>
          </w:p>
        </w:tc>
        <w:tc>
          <w:tcPr>
            <w:tcW w:w="2410" w:type="dxa"/>
            <w:shd w:val="clear" w:color="auto" w:fill="auto"/>
          </w:tcPr>
          <w:p w14:paraId="5EACDE84" w14:textId="77777777" w:rsidR="00586478" w:rsidRPr="006B3F59" w:rsidRDefault="00586478" w:rsidP="00B34C98">
            <w:pPr>
              <w:pStyle w:val="Texttabulky"/>
              <w:spacing w:before="40" w:after="40"/>
              <w:rPr>
                <w:sz w:val="20"/>
              </w:rPr>
            </w:pPr>
            <w:r w:rsidRPr="006B3F59">
              <w:rPr>
                <w:rFonts w:cs="Arial"/>
                <w:sz w:val="20"/>
              </w:rPr>
              <w:t>Silný (přímý) vztah</w:t>
            </w:r>
          </w:p>
        </w:tc>
        <w:tc>
          <w:tcPr>
            <w:tcW w:w="6378" w:type="dxa"/>
            <w:shd w:val="clear" w:color="auto" w:fill="auto"/>
          </w:tcPr>
          <w:p w14:paraId="28E166F7" w14:textId="77777777" w:rsidR="00586478" w:rsidRPr="006B3F59" w:rsidRDefault="00586478" w:rsidP="00B34C98">
            <w:pPr>
              <w:pStyle w:val="Texttabulky"/>
              <w:spacing w:before="40" w:after="40"/>
              <w:jc w:val="both"/>
              <w:rPr>
                <w:rFonts w:cs="Arial"/>
                <w:sz w:val="20"/>
              </w:rPr>
            </w:pPr>
            <w:r w:rsidRPr="006B3F59">
              <w:rPr>
                <w:rFonts w:cs="Arial"/>
                <w:sz w:val="20"/>
              </w:rPr>
              <w:t xml:space="preserve">Strategický dokument </w:t>
            </w:r>
            <w:r w:rsidRPr="006B3F59">
              <w:rPr>
                <w:rFonts w:cs="Arial"/>
                <w:bCs/>
                <w:iCs/>
                <w:sz w:val="20"/>
              </w:rPr>
              <w:t xml:space="preserve">bez </w:t>
            </w:r>
            <w:r w:rsidRPr="006B3F59">
              <w:rPr>
                <w:rFonts w:cs="Arial"/>
                <w:sz w:val="20"/>
              </w:rPr>
              <w:t xml:space="preserve">konkrétně definovaných </w:t>
            </w:r>
            <w:r w:rsidRPr="006B3F59">
              <w:rPr>
                <w:rFonts w:cs="Arial"/>
                <w:bCs/>
                <w:iCs/>
                <w:sz w:val="20"/>
              </w:rPr>
              <w:t>nároků na změnu využití území</w:t>
            </w:r>
            <w:r w:rsidRPr="006B3F59">
              <w:rPr>
                <w:rFonts w:cs="Arial"/>
                <w:sz w:val="20"/>
              </w:rPr>
              <w:t xml:space="preserve">. </w:t>
            </w:r>
            <w:r w:rsidRPr="006B3F59">
              <w:rPr>
                <w:rFonts w:cs="Arial"/>
                <w:bCs/>
                <w:iCs/>
                <w:sz w:val="20"/>
              </w:rPr>
              <w:t xml:space="preserve">Do řešené ÚPD se promítají ve formě priorit, požadavků nebo podmínek (verbální výroky). </w:t>
            </w:r>
            <w:r w:rsidRPr="006B3F59">
              <w:rPr>
                <w:rFonts w:cs="Arial"/>
                <w:sz w:val="20"/>
              </w:rPr>
              <w:t>Realizace návrhu posuzované ÚPD není přímo závislá na přijatém strategickém dokumentu.</w:t>
            </w:r>
          </w:p>
        </w:tc>
      </w:tr>
      <w:tr w:rsidR="00586478" w:rsidRPr="006B3F59" w14:paraId="23CB3905" w14:textId="77777777" w:rsidTr="00B34C98">
        <w:tc>
          <w:tcPr>
            <w:tcW w:w="851" w:type="dxa"/>
            <w:shd w:val="clear" w:color="auto" w:fill="auto"/>
          </w:tcPr>
          <w:p w14:paraId="7A97DCC6" w14:textId="77777777" w:rsidR="00586478" w:rsidRPr="006B3F59" w:rsidRDefault="00586478" w:rsidP="00B34C98">
            <w:pPr>
              <w:pStyle w:val="Texttabulky"/>
              <w:spacing w:before="40" w:after="40"/>
              <w:rPr>
                <w:sz w:val="20"/>
              </w:rPr>
            </w:pPr>
            <w:r w:rsidRPr="006B3F59">
              <w:rPr>
                <w:sz w:val="20"/>
              </w:rPr>
              <w:t>1</w:t>
            </w:r>
          </w:p>
        </w:tc>
        <w:tc>
          <w:tcPr>
            <w:tcW w:w="2410" w:type="dxa"/>
            <w:shd w:val="clear" w:color="auto" w:fill="auto"/>
          </w:tcPr>
          <w:p w14:paraId="2EFD8EEB" w14:textId="77777777" w:rsidR="00586478" w:rsidRPr="006B3F59" w:rsidRDefault="00586478" w:rsidP="00B34C98">
            <w:pPr>
              <w:pStyle w:val="Texttabulky"/>
              <w:spacing w:before="40" w:after="40"/>
              <w:rPr>
                <w:sz w:val="20"/>
              </w:rPr>
            </w:pPr>
            <w:r w:rsidRPr="006B3F59">
              <w:rPr>
                <w:rFonts w:cs="Arial"/>
                <w:sz w:val="20"/>
              </w:rPr>
              <w:t>Slabý nebo nepřímý vztah</w:t>
            </w:r>
          </w:p>
        </w:tc>
        <w:tc>
          <w:tcPr>
            <w:tcW w:w="6378" w:type="dxa"/>
            <w:shd w:val="clear" w:color="auto" w:fill="auto"/>
          </w:tcPr>
          <w:p w14:paraId="506091EE" w14:textId="77777777" w:rsidR="00586478" w:rsidRPr="006B3F59" w:rsidRDefault="00586478" w:rsidP="00B34C98">
            <w:pPr>
              <w:pStyle w:val="Texttabulky"/>
              <w:spacing w:before="40" w:after="40"/>
              <w:jc w:val="both"/>
              <w:rPr>
                <w:rFonts w:cs="Arial"/>
                <w:bCs/>
                <w:iCs/>
                <w:sz w:val="20"/>
              </w:rPr>
            </w:pPr>
            <w:r w:rsidRPr="006B3F59">
              <w:rPr>
                <w:rFonts w:cs="Arial"/>
                <w:sz w:val="20"/>
              </w:rPr>
              <w:t xml:space="preserve">Strategický dokument neobsahuje podněty, požadavky nebo záměry s přímou vazbou na „návrhovou“ ÚPD, je však </w:t>
            </w:r>
            <w:r w:rsidRPr="006B3F59">
              <w:rPr>
                <w:rFonts w:cs="Arial"/>
                <w:bCs/>
                <w:iCs/>
                <w:sz w:val="20"/>
              </w:rPr>
              <w:t>podkladem pro odůvodnění konkrétních návrhů.</w:t>
            </w:r>
          </w:p>
        </w:tc>
      </w:tr>
      <w:tr w:rsidR="00586478" w:rsidRPr="006B3F59" w14:paraId="4CE43091" w14:textId="77777777" w:rsidTr="00B34C98">
        <w:tc>
          <w:tcPr>
            <w:tcW w:w="851" w:type="dxa"/>
            <w:shd w:val="clear" w:color="auto" w:fill="auto"/>
          </w:tcPr>
          <w:p w14:paraId="46573B53" w14:textId="77777777" w:rsidR="00586478" w:rsidRPr="006B3F59" w:rsidRDefault="00586478" w:rsidP="00B34C98">
            <w:pPr>
              <w:pStyle w:val="Texttabulky"/>
              <w:spacing w:before="40" w:after="40"/>
              <w:rPr>
                <w:sz w:val="20"/>
              </w:rPr>
            </w:pPr>
            <w:r w:rsidRPr="006B3F59">
              <w:rPr>
                <w:sz w:val="20"/>
              </w:rPr>
              <w:t>0</w:t>
            </w:r>
          </w:p>
        </w:tc>
        <w:tc>
          <w:tcPr>
            <w:tcW w:w="2410" w:type="dxa"/>
            <w:shd w:val="clear" w:color="auto" w:fill="auto"/>
          </w:tcPr>
          <w:p w14:paraId="1B8BB612" w14:textId="77777777" w:rsidR="00586478" w:rsidRPr="006B3F59" w:rsidRDefault="00586478" w:rsidP="00B34C98">
            <w:pPr>
              <w:pStyle w:val="Texttabulky"/>
              <w:spacing w:before="40" w:after="40"/>
              <w:rPr>
                <w:sz w:val="20"/>
              </w:rPr>
            </w:pPr>
            <w:r w:rsidRPr="006B3F59">
              <w:rPr>
                <w:rFonts w:cs="Arial"/>
                <w:sz w:val="20"/>
              </w:rPr>
              <w:t>Bez vztahu</w:t>
            </w:r>
          </w:p>
        </w:tc>
        <w:tc>
          <w:tcPr>
            <w:tcW w:w="6378" w:type="dxa"/>
            <w:shd w:val="clear" w:color="auto" w:fill="auto"/>
          </w:tcPr>
          <w:p w14:paraId="59D49EFD" w14:textId="77777777" w:rsidR="00586478" w:rsidRPr="006B3F59" w:rsidRDefault="00586478" w:rsidP="00B34C98">
            <w:pPr>
              <w:pStyle w:val="Texttabulky"/>
              <w:spacing w:before="40" w:after="40"/>
              <w:jc w:val="both"/>
              <w:rPr>
                <w:sz w:val="20"/>
              </w:rPr>
            </w:pPr>
            <w:r w:rsidRPr="006B3F59">
              <w:rPr>
                <w:rFonts w:cs="Arial"/>
                <w:sz w:val="20"/>
              </w:rPr>
              <w:t>Strategický dokument neobsahuje podněty, požadavky nebo záměry, které vyžadují řešení v rámci řešené ÚPD.</w:t>
            </w:r>
          </w:p>
        </w:tc>
      </w:tr>
    </w:tbl>
    <w:p w14:paraId="097A5559" w14:textId="119001D8" w:rsidR="00CC78F3" w:rsidRPr="006B3F59" w:rsidRDefault="00CC78F3" w:rsidP="00CC78F3">
      <w:pPr>
        <w:pStyle w:val="Podnadpis1"/>
      </w:pPr>
      <w:r w:rsidRPr="006B3F59">
        <w:lastRenderedPageBreak/>
        <w:t>Politika územního rozvoje (PÚR), ve znění závazném od 1.9.2021 (PÚR)</w:t>
      </w:r>
    </w:p>
    <w:p w14:paraId="71E4F757" w14:textId="77777777" w:rsidR="00CC78F3" w:rsidRPr="006B3F59" w:rsidRDefault="00CC78F3" w:rsidP="00CC78F3">
      <w:pPr>
        <w:rPr>
          <w:rFonts w:cs="Arial"/>
        </w:rPr>
      </w:pPr>
      <w:r w:rsidRPr="006B3F59">
        <w:rPr>
          <w:lang w:eastAsia="cs-CZ"/>
        </w:rPr>
        <w:t>Základním dokumentem v oblasti plánování využití území je Politika územního rozvoje České republiky 2008 (</w:t>
      </w:r>
      <w:bookmarkStart w:id="64" w:name="_Hlk103606540"/>
      <w:r w:rsidRPr="006B3F59">
        <w:rPr>
          <w:lang w:eastAsia="cs-CZ"/>
        </w:rPr>
        <w:t xml:space="preserve">PÚR ČR). </w:t>
      </w:r>
      <w:r w:rsidRPr="006B3F59">
        <w:rPr>
          <w:rFonts w:cs="Arial"/>
        </w:rPr>
        <w:t xml:space="preserve">1. aktualizace PÚR byla schválena Vládou ČR usnesením č. 276 ze dne 15. 4. 2015. Dne 30. září 2019 byla ve Sbírce zákonů zveřejněna dvě sdělení Ministerstva pro místní rozvoj o schválení Aktualizací č. 2 a č. 3 Politiky územního rozvoje České republiky v souladu s § 31 odst. 3 stavebního zákona. Aktualizace č. 5 PÚR byla schválena dne 17. 8. 2020 usnesením vlády č. 833, s účinností od 11.9.2020. Sdělení Ministerstva pro místní rozvoj o schválení Aktualizace č. 4 Politiky územního rozvoje České republiky bylo zveřejněno dne 31. srpna 2021 ve Sbírce zákonů v částce 141 pod číslem 321. Dnem 1. září 2021 je Aktualizace č. 4 Politiky územního rozvoje České republiky závazná pro pořizování a vydávání územního rozvojového plánu, zásad územního rozvoje, územních plánů, regulačních plánů a pro rozhodování v území, v souladu s § 31 odst. 4 stavebního zákona. Aktualizace č. 4 je řádnou úplnou aktualizací Politiky územního rozvoje, to znamená, že byl revidován celý dokument a zesouladěn s aktuální právní úpravou i vývojem v oblasti územního plánování a udržitelného rozvoje od doby vzniku dokumentu. </w:t>
      </w:r>
      <w:bookmarkEnd w:id="64"/>
    </w:p>
    <w:p w14:paraId="1316FA06" w14:textId="77777777" w:rsidR="00CC78F3" w:rsidRPr="006B3F59" w:rsidRDefault="00CC78F3" w:rsidP="00CC78F3">
      <w:r w:rsidRPr="006B3F59">
        <w:t xml:space="preserve">Území řešené změnou územního plánu spadá dle nadřazeného strategického dokumentu celostátního významu Politiky územního rozvoje do Metropolitní rozvojové oblasti Praha (OB 1). </w:t>
      </w:r>
      <w:r w:rsidRPr="006B3F59">
        <w:rPr>
          <w:rFonts w:cs="Arial"/>
        </w:rPr>
        <w:t xml:space="preserve">OB1 Metropolitní rozvojová oblast Praha je vymezena jako území ovlivněné rozvojovou dynamikou hlavního města Prahy, při spolupůsobení vedlejších center, zejména Kladna a Berouna. </w:t>
      </w:r>
      <w:r w:rsidRPr="006B3F59">
        <w:t xml:space="preserve">Jedná se o nejsilnější koncentraci obyvatelstva v ČR, jakož i soustředění kulturních, institucionálních, organizačních, ekonomických, vzdělávacích a vědecko-výzkumných aktivit, které mají z velké části i mezinárodní význam; zásadním rozvojovým předpokladem je připojení na dálnice, dokončení Dálnice D0 (Pražský okruh, silniční okruh kolem Prahy), připojení na tranzitní železniční koridory I., III. a IV. (dále jen TŽK) a vysokorychlostní síť železnice a efektivní propojení jednotlivých druhů dopravy včetně letecké a vytvoření efektivního systému integrované veřejné dopravy. </w:t>
      </w:r>
    </w:p>
    <w:p w14:paraId="738266DC" w14:textId="77777777" w:rsidR="00CC78F3" w:rsidRPr="006B3F59" w:rsidRDefault="00CC78F3" w:rsidP="00CC78F3">
      <w:r w:rsidRPr="006B3F59">
        <w:t>Úkolem územního plánování v OB1 je zejména Koordinovat rozvoj a využití území hlavního města Prahy a Středočeského kraje s důrazem na řešení problémů suburbanizace, včetně odpovídající veřejné infrastruktury.</w:t>
      </w:r>
    </w:p>
    <w:p w14:paraId="6CB0F458" w14:textId="77777777" w:rsidR="00CC78F3" w:rsidRPr="006B3F59" w:rsidRDefault="00CC78F3" w:rsidP="00CC78F3">
      <w:pPr>
        <w:rPr>
          <w:rFonts w:cs="Arial"/>
        </w:rPr>
      </w:pPr>
      <w:r w:rsidRPr="006B3F59">
        <w:rPr>
          <w:rFonts w:cs="Arial"/>
        </w:rPr>
        <w:t>Při rozhodování a posuzování záměrů na změny území ve všech rozvojových oblastech a rozvojových osách je nutno sledovat zejména:</w:t>
      </w:r>
    </w:p>
    <w:p w14:paraId="5B9AD212" w14:textId="77777777" w:rsidR="00CC78F3" w:rsidRPr="006B3F59" w:rsidRDefault="00CC78F3">
      <w:pPr>
        <w:pStyle w:val="Odrky1"/>
        <w:numPr>
          <w:ilvl w:val="0"/>
          <w:numId w:val="24"/>
        </w:numPr>
        <w:spacing w:before="120"/>
      </w:pPr>
      <w:r w:rsidRPr="006B3F59">
        <w:rPr>
          <w:szCs w:val="20"/>
        </w:rPr>
        <w:t>možnosti využití stávající veřejné infrastruktury a potřebu jejího dalšího rozvoje a dobudování při současném respektování přírodních, kulturních a civilizačních hodnot území</w:t>
      </w:r>
      <w:r w:rsidRPr="006B3F59">
        <w:t>,</w:t>
      </w:r>
    </w:p>
    <w:p w14:paraId="5D79F15A" w14:textId="77777777" w:rsidR="00CC78F3" w:rsidRPr="006B3F59" w:rsidRDefault="00CC78F3">
      <w:pPr>
        <w:pStyle w:val="Odrky1"/>
        <w:numPr>
          <w:ilvl w:val="0"/>
          <w:numId w:val="24"/>
        </w:numPr>
        <w:spacing w:before="120"/>
      </w:pPr>
      <w:r w:rsidRPr="006B3F59">
        <w:rPr>
          <w:szCs w:val="20"/>
        </w:rPr>
        <w:t>rozvoj bydlení při upřednostnění rozvoje uvnitř zastavěného území a předcházení prostorové sociální segregaci, fragmentaci krajiny nově vymezenými zastavitelnými plochami a záborům ploch veřejné zeleně sloužící svému účelu</w:t>
      </w:r>
      <w:r w:rsidRPr="006B3F59">
        <w:t>,</w:t>
      </w:r>
    </w:p>
    <w:p w14:paraId="2A2CEA5B" w14:textId="77777777" w:rsidR="00CC78F3" w:rsidRPr="006B3F59" w:rsidRDefault="00CC78F3">
      <w:pPr>
        <w:pStyle w:val="Odrky1"/>
        <w:numPr>
          <w:ilvl w:val="0"/>
          <w:numId w:val="24"/>
        </w:numPr>
        <w:spacing w:before="120"/>
      </w:pPr>
      <w:r w:rsidRPr="006B3F59">
        <w:t>nové využití nevyužívaných průmyslových, skladových, dopravních a jiných ploch,</w:t>
      </w:r>
    </w:p>
    <w:p w14:paraId="182764AD" w14:textId="77777777" w:rsidR="00CC78F3" w:rsidRPr="006B3F59" w:rsidRDefault="00CC78F3">
      <w:pPr>
        <w:pStyle w:val="Odrky1"/>
        <w:numPr>
          <w:ilvl w:val="0"/>
          <w:numId w:val="24"/>
        </w:numPr>
        <w:spacing w:before="120"/>
      </w:pPr>
      <w:r w:rsidRPr="006B3F59">
        <w:t>řešení rekultivace a revitalizace opuštěných areálů a ploch (např. předcházející těžbou, průmyslovým využitím, armádou apod.), účelnou organizaci materiálových toků a nakládání s odpady,</w:t>
      </w:r>
    </w:p>
    <w:p w14:paraId="3A4DFC7E" w14:textId="77777777" w:rsidR="00CC78F3" w:rsidRPr="006B3F59" w:rsidRDefault="00CC78F3">
      <w:pPr>
        <w:pStyle w:val="Odrky1"/>
        <w:numPr>
          <w:ilvl w:val="0"/>
          <w:numId w:val="24"/>
        </w:numPr>
        <w:spacing w:before="120"/>
      </w:pPr>
      <w:r w:rsidRPr="006B3F59">
        <w:t>zachování a rozvoj společenské funkce tradičních městských center,</w:t>
      </w:r>
    </w:p>
    <w:p w14:paraId="5CDC37BA" w14:textId="77777777" w:rsidR="00CC78F3" w:rsidRPr="006B3F59" w:rsidRDefault="00CC78F3">
      <w:pPr>
        <w:pStyle w:val="Odrky1"/>
        <w:numPr>
          <w:ilvl w:val="0"/>
          <w:numId w:val="24"/>
        </w:numPr>
        <w:spacing w:before="120"/>
      </w:pPr>
      <w:r w:rsidRPr="006B3F59">
        <w:t>ochrana a využití rekreačního potenciálu krajiny,</w:t>
      </w:r>
    </w:p>
    <w:p w14:paraId="0752BF21" w14:textId="77777777" w:rsidR="00CC78F3" w:rsidRPr="006B3F59" w:rsidRDefault="00CC78F3">
      <w:pPr>
        <w:pStyle w:val="Odrky1"/>
        <w:numPr>
          <w:ilvl w:val="0"/>
          <w:numId w:val="24"/>
        </w:numPr>
        <w:spacing w:before="120"/>
      </w:pPr>
      <w:r w:rsidRPr="006B3F59">
        <w:t>minimalizování ovlivnění přírodních a krajinných hodnot území.</w:t>
      </w:r>
    </w:p>
    <w:p w14:paraId="0C7AFF54" w14:textId="77777777" w:rsidR="00CC78F3" w:rsidRPr="006B3F59" w:rsidRDefault="00CC78F3" w:rsidP="00CC78F3">
      <w:pPr>
        <w:rPr>
          <w:rFonts w:cs="Arial"/>
        </w:rPr>
      </w:pPr>
      <w:r w:rsidRPr="006B3F59">
        <w:rPr>
          <w:rFonts w:cs="Arial"/>
        </w:rPr>
        <w:t>Úkolem územního plánování je potom při respektování republikových priorit územního plánování umožňovat v rozvojových oblastech a rozvojových osách intenzivní využívání území v souvislosti s rozvojem veřejné infrastruktury. Z tohoto důvodu v rozvojových oblastech a v rozvojových osách vytvářet podmínky pro umístění aktivit mezinárodního a republikového významu s požadavky na změny v území a tím přispívat k zachování charakteru území mimo rozvojové oblasti a rozvojové osy.</w:t>
      </w:r>
    </w:p>
    <w:p w14:paraId="65A1DEAE" w14:textId="77777777" w:rsidR="00CC78F3" w:rsidRPr="006B3F59" w:rsidRDefault="00CC78F3" w:rsidP="00CC78F3">
      <w:pPr>
        <w:rPr>
          <w:rFonts w:cs="Arial"/>
        </w:rPr>
      </w:pPr>
      <w:r w:rsidRPr="006B3F59">
        <w:rPr>
          <w:rFonts w:cs="Arial"/>
        </w:rPr>
        <w:t>V oblasti ochrany životního prostředí jako jednoho z pilířů udržitelného rozvoje stanovuje PÚR ČR následující relevantní priority (upraveno pro účely posouzení):</w:t>
      </w:r>
    </w:p>
    <w:p w14:paraId="0DE896A6" w14:textId="77777777" w:rsidR="00CC78F3" w:rsidRPr="006B3F59" w:rsidRDefault="00CC78F3" w:rsidP="00CC78F3">
      <w:pPr>
        <w:rPr>
          <w:rFonts w:cs="Arial"/>
        </w:rPr>
      </w:pPr>
      <w:r w:rsidRPr="006B3F59">
        <w:rPr>
          <w:rFonts w:cs="Arial"/>
        </w:rPr>
        <w:t>(14)</w:t>
      </w:r>
      <w:r w:rsidRPr="006B3F59">
        <w:rPr>
          <w:rStyle w:val="Znakapoznpodarou"/>
          <w:rFonts w:cs="Arial"/>
        </w:rPr>
        <w:footnoteReference w:id="2"/>
      </w:r>
      <w:r w:rsidRPr="006B3F59">
        <w:rPr>
          <w:rFonts w:cs="Arial"/>
        </w:rPr>
        <w:t xml:space="preserve"> Ve veřejném zájmu chránit a rozvíjet přírodní, civilizační a kulturní hodnoty území, včetně urbanistického, architektonického a archeologického dědictví. Zachovat ráz jedinečné urbanistické struktury území, struktury osídlení a jedinečné kulturní krajiny, které jsou výrazem identity území, jeho historie a tradice. Bránit upadání venkovské krajiny jako důsledku nedostatku lidských zásahů. </w:t>
      </w:r>
    </w:p>
    <w:p w14:paraId="2EE82530" w14:textId="77777777" w:rsidR="00CC78F3" w:rsidRPr="006B3F59" w:rsidRDefault="00CC78F3" w:rsidP="00CC78F3">
      <w:pPr>
        <w:rPr>
          <w:rFonts w:cs="Arial"/>
        </w:rPr>
      </w:pPr>
      <w:r w:rsidRPr="006B3F59">
        <w:rPr>
          <w:rFonts w:cs="Arial"/>
        </w:rPr>
        <w:t xml:space="preserve">(19) Vytvářet předpoklady pro polyfunkční využívání opuštěných areálů a ploch (tzv. brownfields průmyslového, zemědělského, vojenského a jiného původu). Hospodárně využívat zastavěné území (podpora </w:t>
      </w:r>
      <w:r w:rsidRPr="006B3F59">
        <w:rPr>
          <w:rFonts w:cs="Arial"/>
        </w:rPr>
        <w:lastRenderedPageBreak/>
        <w:t>přestaveb revitalizací a sanací území) a zajistit ochranu nezastavěného území (zejména zemědělské a lesní půdy) a zachování veřejné zeleně, včetně minimalizace její fragmentace.</w:t>
      </w:r>
    </w:p>
    <w:p w14:paraId="1AE775D6" w14:textId="77777777" w:rsidR="00CC78F3" w:rsidRPr="006B3F59" w:rsidRDefault="00CC78F3" w:rsidP="00CC78F3">
      <w:r w:rsidRPr="006B3F59">
        <w:t>(24) Vytvářet podmínky pro zlepšování dostupnosti území rozšiřováním a zkvalitňováním dopravní infrastruktury s ohledem na potřeby veřejné dopravy a požadavky ochrany veřejného zdraví, zejména uvnitř rozvojových oblastí a rozvojových os.</w:t>
      </w:r>
    </w:p>
    <w:p w14:paraId="3CA04C96" w14:textId="77777777" w:rsidR="00CC78F3" w:rsidRPr="006B3F59" w:rsidRDefault="00CC78F3" w:rsidP="00CC78F3">
      <w:r w:rsidRPr="006B3F59">
        <w:t>(</w:t>
      </w:r>
      <w:proofErr w:type="gramStart"/>
      <w:r w:rsidRPr="006B3F59">
        <w:t>24a</w:t>
      </w:r>
      <w:proofErr w:type="gramEnd"/>
      <w:r w:rsidRPr="006B3F59">
        <w:t>) Na územích, kde dochází dlouhodobě k překračování zákonem stanovených mezních hodnot imisních limitů pro ochranu lidského zdraví, je nutné předcházet dalšímu významnému zhoršování stavu. Vhodným uspořádáním ploch v území obcí vytvářet podmínky pro minimalizaci negativních vlivů koncentrované výrobní činnosti na bydlení. Vymezovat plochy pro novou obytnou zástavbu tak, aby byl zachován dostatečný odstup od průmyslových nebo zemědělských areálů.</w:t>
      </w:r>
    </w:p>
    <w:p w14:paraId="6CA6F905" w14:textId="77777777" w:rsidR="00CC78F3" w:rsidRPr="006B3F59" w:rsidRDefault="00CC78F3" w:rsidP="00CC78F3">
      <w:r w:rsidRPr="006B3F59">
        <w:t>Hodnocení vztahu vůči posuzovanému dokumentu:</w:t>
      </w:r>
    </w:p>
    <w:tbl>
      <w:tblPr>
        <w:tblStyle w:val="Mkatabulky"/>
        <w:tblW w:w="9634" w:type="dxa"/>
        <w:tblLook w:val="04A0" w:firstRow="1" w:lastRow="0" w:firstColumn="1" w:lastColumn="0" w:noHBand="0" w:noVBand="1"/>
      </w:tblPr>
      <w:tblGrid>
        <w:gridCol w:w="2925"/>
        <w:gridCol w:w="1167"/>
        <w:gridCol w:w="5536"/>
        <w:gridCol w:w="6"/>
      </w:tblGrid>
      <w:tr w:rsidR="00CC78F3" w:rsidRPr="006B3F59" w14:paraId="09DF21AE" w14:textId="77777777" w:rsidTr="00B34C98">
        <w:tc>
          <w:tcPr>
            <w:tcW w:w="2925" w:type="dxa"/>
          </w:tcPr>
          <w:p w14:paraId="5CAC2F8C" w14:textId="77777777" w:rsidR="00CC78F3" w:rsidRPr="006B3F59" w:rsidRDefault="00CC78F3" w:rsidP="00B34C98">
            <w:r w:rsidRPr="006B3F59">
              <w:t>Relevantní cíl</w:t>
            </w:r>
          </w:p>
        </w:tc>
        <w:tc>
          <w:tcPr>
            <w:tcW w:w="1167" w:type="dxa"/>
          </w:tcPr>
          <w:p w14:paraId="54A8FC14" w14:textId="77777777" w:rsidR="00CC78F3" w:rsidRPr="006B3F59" w:rsidRDefault="00CC78F3" w:rsidP="00B34C98">
            <w:r w:rsidRPr="006B3F59">
              <w:t>Vzájemná vazba</w:t>
            </w:r>
          </w:p>
        </w:tc>
        <w:tc>
          <w:tcPr>
            <w:tcW w:w="5542" w:type="dxa"/>
            <w:gridSpan w:val="2"/>
          </w:tcPr>
          <w:p w14:paraId="71DB6C85" w14:textId="77777777" w:rsidR="00CC78F3" w:rsidRPr="006B3F59" w:rsidRDefault="00CC78F3" w:rsidP="00B34C98">
            <w:r w:rsidRPr="006B3F59">
              <w:t>Komentář</w:t>
            </w:r>
          </w:p>
        </w:tc>
      </w:tr>
      <w:tr w:rsidR="00CC78F3" w:rsidRPr="006B3F59" w14:paraId="3713FE8B" w14:textId="77777777" w:rsidTr="00B34C98">
        <w:trPr>
          <w:gridAfter w:val="1"/>
          <w:wAfter w:w="6" w:type="dxa"/>
        </w:trPr>
        <w:tc>
          <w:tcPr>
            <w:tcW w:w="2925" w:type="dxa"/>
          </w:tcPr>
          <w:p w14:paraId="501BD153" w14:textId="77777777" w:rsidR="00CC78F3" w:rsidRPr="006B3F59" w:rsidRDefault="00CC78F3" w:rsidP="00B34C98">
            <w:pPr>
              <w:rPr>
                <w:rFonts w:cs="Arial"/>
              </w:rPr>
            </w:pPr>
            <w:r w:rsidRPr="006B3F59">
              <w:rPr>
                <w:rFonts w:cs="Arial"/>
              </w:rPr>
              <w:t xml:space="preserve">(14) Ve veřejném zájmu chránit a rozvíjet přírodní, civilizační a kulturní hodnoty území, včetně urbanistického, architektonického a archeologického dědictví. Zachovat ráz jedinečné urbanistické struktury území, struktury osídlení a jedinečné kulturní krajiny, které jsou výrazem identity území, jeho historie a tradice. Bránit upadání venkovské krajiny jako důsledku nedostatku lidských zásahů. </w:t>
            </w:r>
          </w:p>
          <w:p w14:paraId="563A3112" w14:textId="77777777" w:rsidR="00CC78F3" w:rsidRPr="006B3F59" w:rsidRDefault="00CC78F3" w:rsidP="00B34C98">
            <w:pPr>
              <w:rPr>
                <w:rFonts w:cs="Arial"/>
              </w:rPr>
            </w:pPr>
          </w:p>
        </w:tc>
        <w:tc>
          <w:tcPr>
            <w:tcW w:w="1167" w:type="dxa"/>
          </w:tcPr>
          <w:p w14:paraId="11796A2A" w14:textId="546A3ACC" w:rsidR="00CC78F3" w:rsidRPr="006B3F59" w:rsidRDefault="00CC78F3" w:rsidP="00B34C98">
            <w:r w:rsidRPr="006B3F59">
              <w:t xml:space="preserve">1 pozitivní </w:t>
            </w:r>
          </w:p>
        </w:tc>
        <w:tc>
          <w:tcPr>
            <w:tcW w:w="5536" w:type="dxa"/>
          </w:tcPr>
          <w:p w14:paraId="79EA92F0" w14:textId="64B304F4" w:rsidR="00CC78F3" w:rsidRPr="006B3F59" w:rsidRDefault="00CC78F3" w:rsidP="00B34C98">
            <w:r w:rsidRPr="006B3F59">
              <w:t>Posuzovaná změna má potenciálně přímou pozitivní vazbu na zachování jedinečného rázu řešeného území v závislosti na volbě umisťované zástavby ve vymezených plochách</w:t>
            </w:r>
            <w:r w:rsidR="0054337D" w:rsidRPr="006B3F59">
              <w:t>, vzhledem, ke stávajícímu stavu území s předpokladem dotvoření uceleného obrazu města</w:t>
            </w:r>
            <w:r w:rsidRPr="006B3F59">
              <w:t>.</w:t>
            </w:r>
          </w:p>
        </w:tc>
      </w:tr>
      <w:tr w:rsidR="00CC78F3" w:rsidRPr="006B3F59" w14:paraId="6A250598" w14:textId="77777777" w:rsidTr="00B34C98">
        <w:tc>
          <w:tcPr>
            <w:tcW w:w="2925" w:type="dxa"/>
          </w:tcPr>
          <w:p w14:paraId="1518EFFE" w14:textId="77777777" w:rsidR="00CC78F3" w:rsidRPr="006B3F59" w:rsidRDefault="00CC78F3" w:rsidP="00B34C98">
            <w:pPr>
              <w:rPr>
                <w:rFonts w:cs="Arial"/>
              </w:rPr>
            </w:pPr>
            <w:r w:rsidRPr="006B3F59">
              <w:rPr>
                <w:rFonts w:cs="Arial"/>
              </w:rPr>
              <w:t>(19) Vytvářet předpoklady pro rozvoj, využití potenciálu a polyfunkční využívání opuštěných areálů a ploch (tzv. brownfields průmyslového, zemědělského, vojenského a jiného původu, vč. území bývalých vojenských újezdů). Hospodárně využívat zastavěné území (podpora přestaveb revitalizací a sanací území) a zajistit ochranu nezastavěného území (zejména zemědělské a lesní půdy) a zachování veřejné zeleně, včetně minimalizace její fragmentace.</w:t>
            </w:r>
          </w:p>
        </w:tc>
        <w:tc>
          <w:tcPr>
            <w:tcW w:w="1167" w:type="dxa"/>
          </w:tcPr>
          <w:p w14:paraId="78BBA069" w14:textId="61BD7E01" w:rsidR="00CC78F3" w:rsidRPr="006B3F59" w:rsidRDefault="00CC78F3" w:rsidP="00B34C98">
            <w:r w:rsidRPr="006B3F59">
              <w:t>2 pozitivní</w:t>
            </w:r>
            <w:r w:rsidR="006F02C0" w:rsidRPr="006B3F59">
              <w:t xml:space="preserve"> až 1 negativní</w:t>
            </w:r>
          </w:p>
        </w:tc>
        <w:tc>
          <w:tcPr>
            <w:tcW w:w="5542" w:type="dxa"/>
            <w:gridSpan w:val="2"/>
          </w:tcPr>
          <w:p w14:paraId="5105E4BD" w14:textId="56DD95C3" w:rsidR="00CC78F3" w:rsidRPr="006B3F59" w:rsidRDefault="00CC78F3" w:rsidP="00B34C98">
            <w:r w:rsidRPr="006B3F59">
              <w:t>Silná potenciálně pozitivní vazba na sledovaný cíl, posuzovaná koncepce rozvíjí transformační území v intravilánu jako prevenci suburbanizace.</w:t>
            </w:r>
            <w:r w:rsidR="006F02C0" w:rsidRPr="006B3F59">
              <w:t xml:space="preserve"> Jsou vymezeny dílčí rozvojové plochy mimo stávající zastavěné nebo zastavitelné území.</w:t>
            </w:r>
          </w:p>
        </w:tc>
      </w:tr>
      <w:tr w:rsidR="00CC78F3" w:rsidRPr="006B3F59" w14:paraId="3E766C4A" w14:textId="77777777" w:rsidTr="00B34C98">
        <w:tc>
          <w:tcPr>
            <w:tcW w:w="2925" w:type="dxa"/>
          </w:tcPr>
          <w:p w14:paraId="29547761" w14:textId="77777777" w:rsidR="00CC78F3" w:rsidRPr="006B3F59" w:rsidRDefault="00CC78F3" w:rsidP="00B34C98">
            <w:r w:rsidRPr="006B3F59">
              <w:t xml:space="preserve">(24) Vytvářet podmínky pro zlepšování dostupnosti území rozšiřováním a zkvalitňováním dopravní infrastruktury s ohledem na potřeby veřejné dopravy a požadavky ochrany veřejného zdraví a v souladu s principy rozvoje udržitelné mobility osob a zboží, zejména </w:t>
            </w:r>
            <w:r w:rsidRPr="006B3F59">
              <w:lastRenderedPageBreak/>
              <w:t>uvnitř rozvojových oblastí a rozvojových os.</w:t>
            </w:r>
          </w:p>
        </w:tc>
        <w:tc>
          <w:tcPr>
            <w:tcW w:w="1167" w:type="dxa"/>
          </w:tcPr>
          <w:p w14:paraId="287491F1" w14:textId="0DF22704" w:rsidR="00CC78F3" w:rsidRPr="006B3F59" w:rsidRDefault="006F02C0" w:rsidP="00B34C98">
            <w:r w:rsidRPr="006B3F59">
              <w:lastRenderedPageBreak/>
              <w:t>2</w:t>
            </w:r>
            <w:r w:rsidR="00CC78F3" w:rsidRPr="006B3F59">
              <w:t xml:space="preserve"> pozitivní</w:t>
            </w:r>
          </w:p>
        </w:tc>
        <w:tc>
          <w:tcPr>
            <w:tcW w:w="5542" w:type="dxa"/>
            <w:gridSpan w:val="2"/>
          </w:tcPr>
          <w:p w14:paraId="1B0F8BE4" w14:textId="46B286DD" w:rsidR="00CC78F3" w:rsidRPr="006B3F59" w:rsidRDefault="00BA2708" w:rsidP="00B34C98">
            <w:r w:rsidRPr="006B3F59">
              <w:t>P</w:t>
            </w:r>
            <w:r w:rsidR="00CC78F3" w:rsidRPr="006B3F59">
              <w:t>otenciálně</w:t>
            </w:r>
            <w:r w:rsidRPr="006B3F59">
              <w:t xml:space="preserve"> </w:t>
            </w:r>
            <w:r w:rsidR="006F02C0" w:rsidRPr="006B3F59">
              <w:t>silně</w:t>
            </w:r>
            <w:r w:rsidR="00CC78F3" w:rsidRPr="006B3F59">
              <w:t xml:space="preserve"> pozitivní přímá a nepřímá vazba na sledovaný cíl. </w:t>
            </w:r>
            <w:r w:rsidR="006F02C0" w:rsidRPr="006B3F59">
              <w:t xml:space="preserve">Vytvářeny územní předpoklady pro obsluhu území bezemisní VHD a parkoviště P+R v návaznosti na sousední region a dojížďku obyvatel. </w:t>
            </w:r>
            <w:r w:rsidR="00CC78F3" w:rsidRPr="006B3F59">
              <w:rPr>
                <w:rFonts w:cs="Arial"/>
                <w:szCs w:val="16"/>
              </w:rPr>
              <w:t xml:space="preserve">Posuzovaná </w:t>
            </w:r>
            <w:r w:rsidR="003577E4" w:rsidRPr="006B3F59">
              <w:rPr>
                <w:rFonts w:cs="Arial"/>
                <w:szCs w:val="16"/>
              </w:rPr>
              <w:t>koncepce zprostředkovaně</w:t>
            </w:r>
            <w:r w:rsidR="0054337D" w:rsidRPr="006B3F59">
              <w:rPr>
                <w:rFonts w:cs="Arial"/>
                <w:szCs w:val="16"/>
              </w:rPr>
              <w:t xml:space="preserve"> </w:t>
            </w:r>
            <w:r w:rsidR="00CC78F3" w:rsidRPr="006B3F59">
              <w:rPr>
                <w:rFonts w:cs="Arial"/>
                <w:szCs w:val="16"/>
              </w:rPr>
              <w:t>vytváří předpoklady pro</w:t>
            </w:r>
            <w:r w:rsidRPr="006B3F59">
              <w:rPr>
                <w:rFonts w:cs="Arial"/>
                <w:szCs w:val="16"/>
              </w:rPr>
              <w:t xml:space="preserve"> napojení území na nadřazenou dopravní infrastrukturu a pro</w:t>
            </w:r>
            <w:r w:rsidR="00CC78F3" w:rsidRPr="006B3F59">
              <w:rPr>
                <w:rFonts w:cs="Arial"/>
                <w:szCs w:val="16"/>
              </w:rPr>
              <w:t xml:space="preserve"> prostupnost území pěší a cyklistickou dopravou. </w:t>
            </w:r>
          </w:p>
        </w:tc>
      </w:tr>
      <w:tr w:rsidR="00BA2708" w:rsidRPr="006B3F59" w14:paraId="665DE380" w14:textId="77777777" w:rsidTr="00B34C98">
        <w:tc>
          <w:tcPr>
            <w:tcW w:w="2925" w:type="dxa"/>
          </w:tcPr>
          <w:p w14:paraId="60253124" w14:textId="77777777" w:rsidR="00BA2708" w:rsidRPr="006B3F59" w:rsidRDefault="00BA2708" w:rsidP="00BA2708">
            <w:r w:rsidRPr="006B3F59">
              <w:t>(</w:t>
            </w:r>
            <w:proofErr w:type="gramStart"/>
            <w:r w:rsidRPr="006B3F59">
              <w:t>24a</w:t>
            </w:r>
            <w:proofErr w:type="gramEnd"/>
            <w:r w:rsidRPr="006B3F59">
              <w:t>) Na územích, kde dochází dlouhodobě k překračování zákonem stanovených mezních hodnot imisních limitů pro ochranu lidského zdraví, je nutné předcházet dalšímu významnému zhoršování stavu. Vhodným uspořádáním ploch v území obcí vytvářet podmínky pro minimalizaci negativních vlivů koncentrované výrobní činnosti na bydlení. Vymezovat plochy pro novou obytnou zástavbu tak, aby byl zachován dostatečný odstup od průmyslových nebo zemědělských areálů.</w:t>
            </w:r>
          </w:p>
          <w:p w14:paraId="0DDB1F41" w14:textId="77777777" w:rsidR="00BA2708" w:rsidRPr="006B3F59" w:rsidRDefault="00BA2708" w:rsidP="00BA2708">
            <w:pPr>
              <w:rPr>
                <w:rFonts w:cs="Arial"/>
              </w:rPr>
            </w:pPr>
          </w:p>
        </w:tc>
        <w:tc>
          <w:tcPr>
            <w:tcW w:w="1167" w:type="dxa"/>
          </w:tcPr>
          <w:p w14:paraId="2A4AA6AE" w14:textId="734D905E" w:rsidR="00BA2708" w:rsidRPr="006B3F59" w:rsidRDefault="00BA2708" w:rsidP="00BA2708">
            <w:r w:rsidRPr="006B3F59">
              <w:t>1 pozitivní</w:t>
            </w:r>
          </w:p>
        </w:tc>
        <w:tc>
          <w:tcPr>
            <w:tcW w:w="5542" w:type="dxa"/>
            <w:gridSpan w:val="2"/>
          </w:tcPr>
          <w:p w14:paraId="0CE91F2E" w14:textId="5CE34AC6" w:rsidR="00BA2708" w:rsidRPr="006B3F59" w:rsidRDefault="00BA2708" w:rsidP="00BA2708">
            <w:r w:rsidRPr="006B3F59">
              <w:t xml:space="preserve">Potenciálně mírně pozitivní přímá a nepřímá vazba na sledovaný cíl. </w:t>
            </w:r>
            <w:r w:rsidRPr="006B3F59">
              <w:rPr>
                <w:rFonts w:cs="Arial"/>
                <w:szCs w:val="16"/>
              </w:rPr>
              <w:t>Posuzovaná koncepce vytváří</w:t>
            </w:r>
            <w:r w:rsidR="0054337D" w:rsidRPr="006B3F59">
              <w:rPr>
                <w:rFonts w:cs="Arial"/>
                <w:szCs w:val="16"/>
              </w:rPr>
              <w:t xml:space="preserve"> zprostředkovaně</w:t>
            </w:r>
            <w:r w:rsidRPr="006B3F59">
              <w:rPr>
                <w:rFonts w:cs="Arial"/>
                <w:szCs w:val="16"/>
              </w:rPr>
              <w:t xml:space="preserve"> předpoklady pro napojení území na nadřazenou dopravní infrastrukturu</w:t>
            </w:r>
            <w:r w:rsidR="006F02C0" w:rsidRPr="006B3F59">
              <w:rPr>
                <w:rFonts w:cs="Arial"/>
                <w:szCs w:val="16"/>
              </w:rPr>
              <w:t>, obsluhu bezemisní VHD, návaznosti jednotlivých druhů dopravy</w:t>
            </w:r>
            <w:r w:rsidRPr="006B3F59">
              <w:rPr>
                <w:rFonts w:cs="Arial"/>
                <w:szCs w:val="16"/>
              </w:rPr>
              <w:t xml:space="preserve"> a pro prostupnost území pěší a cyklistickou dopravou. </w:t>
            </w:r>
          </w:p>
        </w:tc>
      </w:tr>
    </w:tbl>
    <w:p w14:paraId="3AEDA3C1" w14:textId="340F0DD0" w:rsidR="00CC78F3" w:rsidRPr="006B3F59" w:rsidRDefault="00CC78F3" w:rsidP="00CC78F3">
      <w:pPr>
        <w:rPr>
          <w:i/>
        </w:rPr>
      </w:pPr>
      <w:r w:rsidRPr="006B3F59">
        <w:rPr>
          <w:i/>
        </w:rPr>
        <w:t>Komentář: Předkládaná změna územního plánu neřeší koridory dopravní a technické infrastruktury ani specifické problémy nadmístního významu definované Politikou územního rozvoje. Z hlediska základních principů územního plánování tak, jak je navrhuje PÚR, je posuzovaná změna územního plánu v souladu s těmito principy, včetně principů obsažených v PÚR, které reprezentují ochranu životního prostředí a veřejného zdraví. Hlavní přímé vazby má PÚR ČR vůči posuzované změně územního plánu</w:t>
      </w:r>
      <w:r w:rsidR="0054337D" w:rsidRPr="006B3F59">
        <w:rPr>
          <w:i/>
        </w:rPr>
        <w:t xml:space="preserve"> byly identifikovány</w:t>
      </w:r>
      <w:r w:rsidRPr="006B3F59">
        <w:rPr>
          <w:i/>
        </w:rPr>
        <w:t xml:space="preserve"> v otázce transformace podvyužitého území, zlepšení dopravní obsluhy území a zintenzivnění využití již zastavěného území jako prevence suburbanizace</w:t>
      </w:r>
      <w:r w:rsidR="0019403F">
        <w:rPr>
          <w:i/>
        </w:rPr>
        <w:t>.</w:t>
      </w:r>
    </w:p>
    <w:p w14:paraId="49AFFF6D" w14:textId="77777777" w:rsidR="00CC78F3" w:rsidRPr="006B3F59" w:rsidRDefault="00CC78F3" w:rsidP="00CC78F3">
      <w:pPr>
        <w:pStyle w:val="Podnadpis1"/>
      </w:pPr>
      <w:r w:rsidRPr="006B3F59">
        <w:t>Státní politika životního prostředí ČR 2030 s výhledem do roku 2050</w:t>
      </w:r>
    </w:p>
    <w:p w14:paraId="7FE6CA0B" w14:textId="77777777" w:rsidR="00CC78F3" w:rsidRPr="006B3F59" w:rsidRDefault="00CC78F3" w:rsidP="00CC78F3">
      <w:r w:rsidRPr="006B3F59">
        <w:rPr>
          <w:rFonts w:cs="Arial"/>
        </w:rPr>
        <w:t xml:space="preserve">Státní politika životního prostředí ČR (SPŽP ČR) je zásadní referenční dokument pro ostatní sektorové i regionální politiky z hlediska životního prostředí. </w:t>
      </w:r>
      <w:r w:rsidRPr="006B3F59">
        <w:t>Nový dokument, který navazuje na dosavadní úsilí o zlepšení a ochranu životního prostředí, zohledňuje nové výzvy a stanovuje cíle do roku 2030, byl schválen vládou ČR dne 11. 1. 2021.</w:t>
      </w:r>
    </w:p>
    <w:p w14:paraId="53E1F2D8" w14:textId="77777777" w:rsidR="00CC78F3" w:rsidRPr="006B3F59" w:rsidRDefault="00CC78F3" w:rsidP="00CC78F3">
      <w:r w:rsidRPr="006B3F59">
        <w:t>Dokument je tematicky členěn do tří oblastí:</w:t>
      </w:r>
    </w:p>
    <w:p w14:paraId="1E2E2336" w14:textId="77777777" w:rsidR="00CC78F3" w:rsidRPr="006B3F59" w:rsidRDefault="00CC78F3">
      <w:pPr>
        <w:pStyle w:val="Odstavecseseznamem"/>
        <w:numPr>
          <w:ilvl w:val="0"/>
          <w:numId w:val="28"/>
        </w:numPr>
        <w:tabs>
          <w:tab w:val="left" w:pos="709"/>
        </w:tabs>
        <w:spacing w:before="60"/>
        <w:rPr>
          <w:rFonts w:cs="Arial"/>
        </w:rPr>
      </w:pPr>
      <w:r w:rsidRPr="006B3F59">
        <w:rPr>
          <w:rFonts w:cs="Arial"/>
        </w:rPr>
        <w:t>Životní prostředí a zdraví,</w:t>
      </w:r>
    </w:p>
    <w:p w14:paraId="6B0980D1" w14:textId="77777777" w:rsidR="00CC78F3" w:rsidRPr="006B3F59" w:rsidRDefault="00CC78F3">
      <w:pPr>
        <w:pStyle w:val="Odstavecseseznamem"/>
        <w:numPr>
          <w:ilvl w:val="0"/>
          <w:numId w:val="28"/>
        </w:numPr>
        <w:tabs>
          <w:tab w:val="left" w:pos="709"/>
        </w:tabs>
        <w:spacing w:before="60"/>
        <w:rPr>
          <w:rFonts w:cs="Arial"/>
        </w:rPr>
      </w:pPr>
      <w:r w:rsidRPr="006B3F59">
        <w:rPr>
          <w:rFonts w:cs="Arial"/>
        </w:rPr>
        <w:t>Přechod ke klimatické neutralitě a oběhovému hospodářství,</w:t>
      </w:r>
    </w:p>
    <w:p w14:paraId="669FC696" w14:textId="77777777" w:rsidR="00CC78F3" w:rsidRPr="006B3F59" w:rsidRDefault="00CC78F3">
      <w:pPr>
        <w:pStyle w:val="Odstavecseseznamem"/>
        <w:numPr>
          <w:ilvl w:val="0"/>
          <w:numId w:val="28"/>
        </w:numPr>
        <w:tabs>
          <w:tab w:val="left" w:pos="709"/>
        </w:tabs>
        <w:spacing w:before="60"/>
        <w:rPr>
          <w:rFonts w:cs="Arial"/>
        </w:rPr>
      </w:pPr>
      <w:r w:rsidRPr="006B3F59">
        <w:rPr>
          <w:rFonts w:cs="Arial"/>
        </w:rPr>
        <w:t>Příroda a krajina.</w:t>
      </w:r>
    </w:p>
    <w:p w14:paraId="1A9261A7" w14:textId="77777777" w:rsidR="00CC78F3" w:rsidRPr="006B3F59" w:rsidRDefault="00CC78F3" w:rsidP="00BD7256">
      <w:r w:rsidRPr="006B3F59">
        <w:t>Tyto oblasti zahrnují dohromady 10 témat: Voda, Ovzduší, Rizikové látky, Hluk a světelné znečištění, Mimořádné události, Sídla, Přechod na nízkouhlíkové hospodářství, Přechod na oběhové hospodářství, Ekologicky funkční krajina a Zachování biodiverzity a přírodních a krajinných hodnot. Pro každé téma je formulován jeden strategický cíl dále členěný do specifických cílů s výčtem typových opatření, odpovědných ministerstev apod.</w:t>
      </w:r>
    </w:p>
    <w:p w14:paraId="7CB9127D" w14:textId="77777777" w:rsidR="00CC78F3" w:rsidRPr="006B3F59" w:rsidRDefault="00CC78F3" w:rsidP="00BD7256">
      <w:r w:rsidRPr="006B3F59">
        <w:t>Vůči posuzované koncepci jsou relevantní následující specifické cíle:</w:t>
      </w:r>
    </w:p>
    <w:p w14:paraId="630748E8" w14:textId="77777777" w:rsidR="00CC78F3" w:rsidRPr="006B3F59" w:rsidRDefault="00CC78F3">
      <w:pPr>
        <w:pStyle w:val="Normlnpsmo"/>
        <w:numPr>
          <w:ilvl w:val="0"/>
          <w:numId w:val="29"/>
        </w:numPr>
        <w:spacing w:before="60" w:after="0"/>
        <w:ind w:left="426" w:hanging="426"/>
        <w:textAlignment w:val="auto"/>
      </w:pPr>
      <w:r w:rsidRPr="006B3F59">
        <w:t>1.2.1 Emise znečišťujících látek do ovzduší se snižují</w:t>
      </w:r>
    </w:p>
    <w:p w14:paraId="2984E418" w14:textId="77777777" w:rsidR="00CC78F3" w:rsidRPr="006B3F59" w:rsidRDefault="00CC78F3">
      <w:pPr>
        <w:pStyle w:val="Normlnpsmo"/>
        <w:numPr>
          <w:ilvl w:val="0"/>
          <w:numId w:val="29"/>
        </w:numPr>
        <w:spacing w:before="60" w:after="0"/>
        <w:textAlignment w:val="auto"/>
      </w:pPr>
      <w:r w:rsidRPr="006B3F59">
        <w:t>1.4.1 Hluková zátěž obyvatelstva a ekosystémů se snižuje</w:t>
      </w:r>
    </w:p>
    <w:p w14:paraId="6A2F3133" w14:textId="77777777" w:rsidR="00CC78F3" w:rsidRPr="006B3F59" w:rsidRDefault="00CC78F3">
      <w:pPr>
        <w:pStyle w:val="Normlnpsmo"/>
        <w:numPr>
          <w:ilvl w:val="0"/>
          <w:numId w:val="29"/>
        </w:numPr>
        <w:spacing w:before="60" w:after="0"/>
        <w:textAlignment w:val="auto"/>
      </w:pPr>
      <w:r w:rsidRPr="006B3F59">
        <w:t>1.6.2 Rozvoj sídel je koncepční, přednostně jsou využívány brownfieldy a již využité území</w:t>
      </w:r>
    </w:p>
    <w:p w14:paraId="2F7F727B" w14:textId="77777777" w:rsidR="00CC78F3" w:rsidRPr="006B3F59" w:rsidRDefault="00CC78F3">
      <w:pPr>
        <w:pStyle w:val="Normlnpsmo"/>
        <w:numPr>
          <w:ilvl w:val="0"/>
          <w:numId w:val="29"/>
        </w:numPr>
        <w:spacing w:before="60" w:after="0"/>
        <w:textAlignment w:val="auto"/>
      </w:pPr>
      <w:r w:rsidRPr="006B3F59">
        <w:t>1.6.3 V sídlech je zaveden systém hospodaření s vodou, vč. vody srážkové</w:t>
      </w:r>
    </w:p>
    <w:p w14:paraId="4757A350" w14:textId="77777777" w:rsidR="00CC78F3" w:rsidRPr="006B3F59" w:rsidRDefault="00CC78F3" w:rsidP="00CC78F3">
      <w:r w:rsidRPr="006B3F59">
        <w:t>Hodnocení vztahu vůči posuzovanému dokumentu:</w:t>
      </w:r>
    </w:p>
    <w:tbl>
      <w:tblPr>
        <w:tblStyle w:val="Mkatabulky"/>
        <w:tblW w:w="0" w:type="auto"/>
        <w:tblLook w:val="04A0" w:firstRow="1" w:lastRow="0" w:firstColumn="1" w:lastColumn="0" w:noHBand="0" w:noVBand="1"/>
      </w:tblPr>
      <w:tblGrid>
        <w:gridCol w:w="3209"/>
        <w:gridCol w:w="1181"/>
        <w:gridCol w:w="5238"/>
      </w:tblGrid>
      <w:tr w:rsidR="00CC78F3" w:rsidRPr="006B3F59" w14:paraId="09F63045" w14:textId="77777777" w:rsidTr="00B34C98">
        <w:tc>
          <w:tcPr>
            <w:tcW w:w="3209" w:type="dxa"/>
          </w:tcPr>
          <w:p w14:paraId="08210A9C" w14:textId="77777777" w:rsidR="00CC78F3" w:rsidRPr="006B3F59" w:rsidRDefault="00CC78F3" w:rsidP="00B34C98">
            <w:r w:rsidRPr="006B3F59">
              <w:t>Relevantní cíl</w:t>
            </w:r>
          </w:p>
        </w:tc>
        <w:tc>
          <w:tcPr>
            <w:tcW w:w="1181" w:type="dxa"/>
          </w:tcPr>
          <w:p w14:paraId="76A0AE47" w14:textId="77777777" w:rsidR="00CC78F3" w:rsidRPr="006B3F59" w:rsidRDefault="00CC78F3" w:rsidP="00B34C98">
            <w:r w:rsidRPr="006B3F59">
              <w:t>Vzájemná vazba</w:t>
            </w:r>
          </w:p>
        </w:tc>
        <w:tc>
          <w:tcPr>
            <w:tcW w:w="5238" w:type="dxa"/>
          </w:tcPr>
          <w:p w14:paraId="0D4ACF0F" w14:textId="77777777" w:rsidR="00CC78F3" w:rsidRPr="006B3F59" w:rsidRDefault="00CC78F3" w:rsidP="00B34C98">
            <w:r w:rsidRPr="006B3F59">
              <w:t>Komentář</w:t>
            </w:r>
          </w:p>
        </w:tc>
      </w:tr>
      <w:tr w:rsidR="00CC78F3" w:rsidRPr="006B3F59" w14:paraId="4A5FB91B" w14:textId="77777777" w:rsidTr="00B34C98">
        <w:tc>
          <w:tcPr>
            <w:tcW w:w="3209" w:type="dxa"/>
          </w:tcPr>
          <w:p w14:paraId="44A674EC" w14:textId="77777777" w:rsidR="00CC78F3" w:rsidRPr="006B3F59" w:rsidRDefault="00CC78F3" w:rsidP="00B34C98">
            <w:pPr>
              <w:pStyle w:val="Normlnpsmo"/>
              <w:spacing w:before="60" w:after="0"/>
              <w:textAlignment w:val="auto"/>
            </w:pPr>
            <w:r w:rsidRPr="006B3F59">
              <w:t>1.2.1 Emise znečišťujících látek do ovzduší se snižují</w:t>
            </w:r>
          </w:p>
        </w:tc>
        <w:tc>
          <w:tcPr>
            <w:tcW w:w="1181" w:type="dxa"/>
          </w:tcPr>
          <w:p w14:paraId="40E061DE" w14:textId="77777777" w:rsidR="00CC78F3" w:rsidRPr="006B3F59" w:rsidRDefault="00CC78F3" w:rsidP="00B34C98">
            <w:r w:rsidRPr="006B3F59">
              <w:t>1 pozitivní</w:t>
            </w:r>
          </w:p>
        </w:tc>
        <w:tc>
          <w:tcPr>
            <w:tcW w:w="5238" w:type="dxa"/>
          </w:tcPr>
          <w:p w14:paraId="7B175D35" w14:textId="77777777" w:rsidR="00CC78F3" w:rsidRPr="006B3F59" w:rsidRDefault="00CC78F3" w:rsidP="00BD7256">
            <w:pPr>
              <w:spacing w:before="60"/>
            </w:pPr>
            <w:r w:rsidRPr="006B3F59">
              <w:t xml:space="preserve">Zprostředkovaně pozitivní vazba na sledovaný cíl. </w:t>
            </w:r>
            <w:r w:rsidRPr="006B3F59">
              <w:rPr>
                <w:rFonts w:cs="Arial"/>
                <w:szCs w:val="16"/>
              </w:rPr>
              <w:t xml:space="preserve">Posuzovaná koncepce zprostředkovaně přispěje </w:t>
            </w:r>
            <w:r w:rsidRPr="006B3F59">
              <w:rPr>
                <w:rFonts w:cs="Arial"/>
                <w:szCs w:val="16"/>
              </w:rPr>
              <w:lastRenderedPageBreak/>
              <w:t>k rozvoji bezemisní veřejné hromadné dopravy s nepřímo pozitivním vlivem na snížení emisí spojených s dopravou.</w:t>
            </w:r>
          </w:p>
        </w:tc>
      </w:tr>
      <w:tr w:rsidR="00CC78F3" w:rsidRPr="006B3F59" w14:paraId="64DFA286" w14:textId="77777777" w:rsidTr="00B34C98">
        <w:tc>
          <w:tcPr>
            <w:tcW w:w="3209" w:type="dxa"/>
          </w:tcPr>
          <w:p w14:paraId="554D2E94" w14:textId="77777777" w:rsidR="00CC78F3" w:rsidRPr="006B3F59" w:rsidRDefault="00CC78F3" w:rsidP="00B34C98">
            <w:pPr>
              <w:pStyle w:val="Normlnpsmo"/>
              <w:spacing w:before="60" w:after="0"/>
              <w:textAlignment w:val="auto"/>
            </w:pPr>
            <w:r w:rsidRPr="006B3F59">
              <w:t>1.4.1 Hluková zátěž obyvatelstva a ekosystémů se snižuje</w:t>
            </w:r>
          </w:p>
          <w:p w14:paraId="0D00C194" w14:textId="77777777" w:rsidR="00CC78F3" w:rsidRPr="006B3F59" w:rsidRDefault="00CC78F3" w:rsidP="00B34C98">
            <w:pPr>
              <w:ind w:left="169" w:hanging="169"/>
              <w:rPr>
                <w:rFonts w:cs="Arial"/>
              </w:rPr>
            </w:pPr>
          </w:p>
        </w:tc>
        <w:tc>
          <w:tcPr>
            <w:tcW w:w="1181" w:type="dxa"/>
          </w:tcPr>
          <w:p w14:paraId="710F0E20" w14:textId="77777777" w:rsidR="00CC78F3" w:rsidRPr="006B3F59" w:rsidRDefault="00CC78F3" w:rsidP="00B34C98">
            <w:r w:rsidRPr="006B3F59">
              <w:t xml:space="preserve">1 pozitivní až 1 negativní </w:t>
            </w:r>
          </w:p>
        </w:tc>
        <w:tc>
          <w:tcPr>
            <w:tcW w:w="5238" w:type="dxa"/>
          </w:tcPr>
          <w:p w14:paraId="699DC6C7" w14:textId="3D47254F" w:rsidR="00CC78F3" w:rsidRPr="006B3F59" w:rsidRDefault="006F02C0" w:rsidP="00BD7256">
            <w:pPr>
              <w:spacing w:before="60"/>
            </w:pPr>
            <w:r w:rsidRPr="006B3F59">
              <w:t xml:space="preserve">Zprostředkovaně pozitivní vazba na sledovaný cíl. </w:t>
            </w:r>
            <w:r w:rsidRPr="006B3F59">
              <w:rPr>
                <w:rFonts w:cs="Arial"/>
                <w:szCs w:val="16"/>
              </w:rPr>
              <w:t>Posuzovaná koncepce zprostředkovaně přispěje k rozvoji bezemisní veřejné hromadné dopravy s nepřímo pozitivním vlivem na snížení emisí spojených s dopravou</w:t>
            </w:r>
            <w:r w:rsidR="00BA2708" w:rsidRPr="006B3F59">
              <w:t>.</w:t>
            </w:r>
            <w:r w:rsidR="00CC78F3" w:rsidRPr="006B3F59">
              <w:t xml:space="preserve"> Na druhou stranu dojde k vytvoření územních předpokladů pro vložení nového zdroje vyvolané dopravy do území. Konkrétní ovlivnění a zda k němu vůbec dojde, bude záviset na konkrétním technickém řešení využití území. </w:t>
            </w:r>
          </w:p>
        </w:tc>
      </w:tr>
      <w:tr w:rsidR="00CC78F3" w:rsidRPr="006B3F59" w14:paraId="75AE4DE4" w14:textId="77777777" w:rsidTr="00B34C98">
        <w:tc>
          <w:tcPr>
            <w:tcW w:w="3209" w:type="dxa"/>
          </w:tcPr>
          <w:p w14:paraId="726ACD89" w14:textId="77777777" w:rsidR="00CC78F3" w:rsidRPr="006B3F59" w:rsidRDefault="00CC78F3" w:rsidP="00B34C98">
            <w:pPr>
              <w:pStyle w:val="Normlnpsmo"/>
              <w:spacing w:before="60" w:after="0"/>
              <w:textAlignment w:val="auto"/>
            </w:pPr>
            <w:r w:rsidRPr="006B3F59">
              <w:t>1.6.2 Rozvoj sídel je koncepční, přednostně jsou využívány brownfieldy a již využité území</w:t>
            </w:r>
          </w:p>
          <w:p w14:paraId="065BFF54" w14:textId="77777777" w:rsidR="00CC78F3" w:rsidRPr="006B3F59" w:rsidRDefault="00CC78F3" w:rsidP="00B34C98">
            <w:pPr>
              <w:ind w:left="169" w:hanging="169"/>
            </w:pPr>
          </w:p>
        </w:tc>
        <w:tc>
          <w:tcPr>
            <w:tcW w:w="1181" w:type="dxa"/>
          </w:tcPr>
          <w:p w14:paraId="125EE50D" w14:textId="77777777" w:rsidR="00CC78F3" w:rsidRPr="006B3F59" w:rsidRDefault="00CC78F3" w:rsidP="00B34C98">
            <w:r w:rsidRPr="006B3F59">
              <w:t>2 pozitivní</w:t>
            </w:r>
          </w:p>
        </w:tc>
        <w:tc>
          <w:tcPr>
            <w:tcW w:w="5238" w:type="dxa"/>
          </w:tcPr>
          <w:p w14:paraId="5D85EBA7" w14:textId="77777777" w:rsidR="00CC78F3" w:rsidRPr="006B3F59" w:rsidRDefault="00CC78F3" w:rsidP="00BD7256">
            <w:pPr>
              <w:spacing w:before="60"/>
            </w:pPr>
            <w:r w:rsidRPr="006B3F59">
              <w:t xml:space="preserve">Silná pozitivní vazba na sledovaný cíl, posuzovaná koncepce využívá transformace v již urbanizovaném území jako prevenci suburbanizace. </w:t>
            </w:r>
          </w:p>
        </w:tc>
      </w:tr>
      <w:tr w:rsidR="00CC78F3" w:rsidRPr="006B3F59" w14:paraId="45F7124D" w14:textId="77777777" w:rsidTr="00B34C98">
        <w:tc>
          <w:tcPr>
            <w:tcW w:w="3209" w:type="dxa"/>
          </w:tcPr>
          <w:p w14:paraId="3AEF1712" w14:textId="77777777" w:rsidR="00CC78F3" w:rsidRPr="006B3F59" w:rsidRDefault="00CC78F3" w:rsidP="00B34C98">
            <w:pPr>
              <w:pStyle w:val="Normlnpsmo"/>
              <w:spacing w:before="60" w:after="0"/>
              <w:textAlignment w:val="auto"/>
            </w:pPr>
            <w:r w:rsidRPr="006B3F59">
              <w:t>1.6.3 V sídlech je zaveden systém hospodaření s vodou, vč. vody srážkové</w:t>
            </w:r>
          </w:p>
          <w:p w14:paraId="0154CF1B" w14:textId="77777777" w:rsidR="00CC78F3" w:rsidRPr="006B3F59" w:rsidRDefault="00CC78F3" w:rsidP="00B34C98">
            <w:pPr>
              <w:ind w:left="169" w:hanging="169"/>
            </w:pPr>
          </w:p>
        </w:tc>
        <w:tc>
          <w:tcPr>
            <w:tcW w:w="1181" w:type="dxa"/>
          </w:tcPr>
          <w:p w14:paraId="2D99EFD0" w14:textId="77777777" w:rsidR="00CC78F3" w:rsidRPr="006B3F59" w:rsidRDefault="00CC78F3" w:rsidP="00B34C98">
            <w:r w:rsidRPr="006B3F59">
              <w:t xml:space="preserve">1 negativní </w:t>
            </w:r>
          </w:p>
        </w:tc>
        <w:tc>
          <w:tcPr>
            <w:tcW w:w="5238" w:type="dxa"/>
          </w:tcPr>
          <w:p w14:paraId="0591D077" w14:textId="77777777" w:rsidR="00CC78F3" w:rsidRPr="006B3F59" w:rsidRDefault="00CC78F3" w:rsidP="00BD7256">
            <w:pPr>
              <w:spacing w:before="60"/>
            </w:pPr>
            <w:r w:rsidRPr="006B3F59">
              <w:t xml:space="preserve">Mírně negativní potenciální vazba, Posuzovaná ÚPD, implikuje potenciální snížení retenční schopnosti území. Kompenzační opatření systému odvodnění je možné uplatnit v navazujících řízeních. </w:t>
            </w:r>
          </w:p>
        </w:tc>
      </w:tr>
    </w:tbl>
    <w:p w14:paraId="3EF2C066" w14:textId="1F81AF90" w:rsidR="00CC78F3" w:rsidRPr="006B3F59" w:rsidRDefault="00CC78F3" w:rsidP="00CC78F3">
      <w:pPr>
        <w:rPr>
          <w:i/>
        </w:rPr>
      </w:pPr>
      <w:r w:rsidRPr="006B3F59">
        <w:rPr>
          <w:i/>
        </w:rPr>
        <w:t xml:space="preserve">Komentář: Zaměření posuzované koncepce není v zásadním rozporu s cíli SPŽP ČR. Návrhem předkládané ÚPD nedojde, za předpokladu uplatnění opatření navržených v rámci SEA, k takovým zásahům do podmínek využití území v řešeném území, které by predikovaly významné vlivy na životní prostředí. Shodným sledovaným cílem je především nízkouhlíkové hospodářství, realizované prostřednictvím zlepšení </w:t>
      </w:r>
      <w:r w:rsidR="003577E4" w:rsidRPr="006B3F59">
        <w:rPr>
          <w:i/>
        </w:rPr>
        <w:t>veřejné vybavenosti</w:t>
      </w:r>
      <w:r w:rsidRPr="006B3F59">
        <w:rPr>
          <w:rFonts w:cs="Arial"/>
          <w:i/>
        </w:rPr>
        <w:t xml:space="preserve">. Vzájemná vazba je mírně pozitivní (rozvoj nízkoemisní dopravy) až mírně negativní (vytvoření územních předpokladů vložení nového zdroje hlukové zátěže do území). </w:t>
      </w:r>
      <w:r w:rsidRPr="006B3F59">
        <w:rPr>
          <w:i/>
        </w:rPr>
        <w:t xml:space="preserve">Shodným sledovaným cílem je především zlepšení kvality prostředí v sídlech. </w:t>
      </w:r>
      <w:r w:rsidR="002E006D" w:rsidRPr="006B3F59">
        <w:rPr>
          <w:i/>
        </w:rPr>
        <w:t>Vzájemná vazba je zprostředkovaně pozitivní (rozvoj nízkoemisní dopravy) až negativní (z hlediska generovaného záboru ZPF a rozšiřování zastavěného území bez vazby na hospodaření v krajině).</w:t>
      </w:r>
    </w:p>
    <w:p w14:paraId="01CBEFC9" w14:textId="00BC1B54" w:rsidR="00CC78F3" w:rsidRPr="006B3F59" w:rsidRDefault="00CC78F3" w:rsidP="00CC78F3">
      <w:pPr>
        <w:pStyle w:val="Podnadpis1"/>
      </w:pPr>
      <w:r w:rsidRPr="006B3F59">
        <w:t xml:space="preserve">Strategický rámec udržitelného </w:t>
      </w:r>
      <w:r w:rsidR="003577E4" w:rsidRPr="006B3F59">
        <w:t>rozvoje –</w:t>
      </w:r>
      <w:r w:rsidRPr="006B3F59">
        <w:t xml:space="preserve"> Česká republika 2030</w:t>
      </w:r>
    </w:p>
    <w:p w14:paraId="06CA5086" w14:textId="77777777" w:rsidR="00442E8D" w:rsidRPr="006B3F59" w:rsidRDefault="00CC78F3" w:rsidP="00CC78F3">
      <w:r w:rsidRPr="006B3F59">
        <w:t xml:space="preserve">Strategie udržitelného rozvoje – tzv. Česká republika 2030 byla schválena 19.4.2017. Strategie 2030 stanovuje šest principů udržitelného rozvoje a naznačuje možné praktické způsoby jejich naplňování v konkrétních politikách. </w:t>
      </w:r>
    </w:p>
    <w:p w14:paraId="07BAA69F" w14:textId="08F3A9EB" w:rsidR="00CC78F3" w:rsidRPr="006B3F59" w:rsidRDefault="00CC78F3" w:rsidP="00BD7256">
      <w:pPr>
        <w:keepNext/>
      </w:pPr>
      <w:r w:rsidRPr="006B3F59">
        <w:t>Klíčové oblasti udržitelného rozvoje dle rozpracované Strategie 2030 jsou:</w:t>
      </w:r>
    </w:p>
    <w:p w14:paraId="1E96E8E0" w14:textId="77777777" w:rsidR="00CC78F3" w:rsidRPr="006B3F59" w:rsidRDefault="00CC78F3" w:rsidP="00CC78F3">
      <w:pPr>
        <w:pStyle w:val="Podnadpis1"/>
        <w:spacing w:before="120"/>
        <w:rPr>
          <w:b w:val="0"/>
          <w:i w:val="0"/>
          <w:color w:val="auto"/>
        </w:rPr>
      </w:pPr>
      <w:r w:rsidRPr="006B3F59">
        <w:rPr>
          <w:b w:val="0"/>
          <w:i w:val="0"/>
          <w:color w:val="auto"/>
        </w:rPr>
        <w:t>1. Lidé a společnost – soudržná společnost vzdělaných, odpovědných a aktivních obyvatel.</w:t>
      </w:r>
    </w:p>
    <w:p w14:paraId="1E708BF2" w14:textId="77777777" w:rsidR="00CC78F3" w:rsidRPr="006B3F59" w:rsidRDefault="00CC78F3" w:rsidP="00CC78F3">
      <w:pPr>
        <w:pStyle w:val="Podnadpis1"/>
        <w:spacing w:before="120"/>
        <w:rPr>
          <w:b w:val="0"/>
          <w:i w:val="0"/>
          <w:color w:val="auto"/>
        </w:rPr>
      </w:pPr>
      <w:r w:rsidRPr="006B3F59">
        <w:rPr>
          <w:b w:val="0"/>
          <w:i w:val="0"/>
          <w:color w:val="auto"/>
        </w:rPr>
        <w:t>2. Hospodářský model – inovativní a zdrojově šetrná tržní ekonomika.</w:t>
      </w:r>
    </w:p>
    <w:p w14:paraId="5EB57E71" w14:textId="77777777" w:rsidR="00CC78F3" w:rsidRPr="006B3F59" w:rsidRDefault="00CC78F3" w:rsidP="00CC78F3">
      <w:pPr>
        <w:pStyle w:val="Podnadpis1"/>
        <w:spacing w:before="120"/>
        <w:rPr>
          <w:b w:val="0"/>
          <w:i w:val="0"/>
          <w:color w:val="auto"/>
        </w:rPr>
      </w:pPr>
      <w:r w:rsidRPr="006B3F59">
        <w:rPr>
          <w:b w:val="0"/>
          <w:i w:val="0"/>
          <w:color w:val="auto"/>
        </w:rPr>
        <w:t>3. Odolné ekosystémy – hospodářství zajišťující kvalitní produkci s ohledem na přírodní limity a klima.</w:t>
      </w:r>
    </w:p>
    <w:p w14:paraId="73C0AE18" w14:textId="77777777" w:rsidR="00CC78F3" w:rsidRPr="006B3F59" w:rsidRDefault="00CC78F3" w:rsidP="00CC78F3">
      <w:pPr>
        <w:pStyle w:val="Podnadpis1"/>
        <w:spacing w:before="120"/>
        <w:rPr>
          <w:b w:val="0"/>
          <w:i w:val="0"/>
          <w:color w:val="auto"/>
        </w:rPr>
      </w:pPr>
      <w:r w:rsidRPr="006B3F59">
        <w:rPr>
          <w:b w:val="0"/>
          <w:i w:val="0"/>
          <w:color w:val="auto"/>
        </w:rPr>
        <w:t>4. Obce a regiony – odpovědné využívání území a harmonický rozvoj obcí a regionů, územní soudržnost.</w:t>
      </w:r>
    </w:p>
    <w:p w14:paraId="41E3CC99" w14:textId="77777777" w:rsidR="00CC78F3" w:rsidRPr="006B3F59" w:rsidRDefault="00CC78F3" w:rsidP="00CC78F3">
      <w:pPr>
        <w:pStyle w:val="Podnadpis1"/>
        <w:spacing w:before="120"/>
        <w:rPr>
          <w:b w:val="0"/>
          <w:i w:val="0"/>
          <w:color w:val="auto"/>
        </w:rPr>
      </w:pPr>
      <w:r w:rsidRPr="006B3F59">
        <w:rPr>
          <w:b w:val="0"/>
          <w:i w:val="0"/>
          <w:color w:val="auto"/>
        </w:rPr>
        <w:t>5. Globální rozvoj – Česká republika přispívá k prosazování principů udržitelného rozvoje v EU a ve světě.</w:t>
      </w:r>
    </w:p>
    <w:p w14:paraId="5B2CE96A" w14:textId="77777777" w:rsidR="00CC78F3" w:rsidRPr="006B3F59" w:rsidRDefault="00CC78F3" w:rsidP="00CC78F3">
      <w:pPr>
        <w:pStyle w:val="Podnadpis1"/>
        <w:spacing w:before="120"/>
        <w:rPr>
          <w:b w:val="0"/>
          <w:i w:val="0"/>
          <w:color w:val="auto"/>
        </w:rPr>
      </w:pPr>
      <w:r w:rsidRPr="006B3F59">
        <w:rPr>
          <w:b w:val="0"/>
          <w:i w:val="0"/>
          <w:color w:val="auto"/>
        </w:rPr>
        <w:t>6. Dobré vládnutí – participativní veřejné politiky podporují kvalitu života obyvatel a udržitelný rozvoj.</w:t>
      </w:r>
    </w:p>
    <w:p w14:paraId="65036D8F" w14:textId="77777777" w:rsidR="00CC78F3" w:rsidRPr="006B3F59" w:rsidRDefault="00CC78F3" w:rsidP="00CC78F3">
      <w:r w:rsidRPr="006B3F59">
        <w:t>V souvislosti s posuzovaným dokumentem jsou klíčové především strategické cíle navrhované v rámci oblasti 4: Obce a regiony – odpovědné využívání území a harmonický rozvoj obcí a regionů, územní soudržnost díky využití brownfields a 1. Lidé a společnost – soudržná společnost vzdělaných, odpovědných a aktivních obyvatel.</w:t>
      </w:r>
    </w:p>
    <w:p w14:paraId="4F8EEFEC" w14:textId="77777777" w:rsidR="00CC78F3" w:rsidRPr="006B3F59" w:rsidRDefault="00CC78F3" w:rsidP="00CC78F3">
      <w:r w:rsidRPr="006B3F59">
        <w:t xml:space="preserve">Do roku 2030 bude potřeba podporovat plánování na úrovni funkčního urbanizovaného území, rozvoj veřejných služeb, bezemisní dopravu, využívání brownfieldů a reurbanizaci městských center, omezování emisí a další adaptační opatření jako lepší péči o zeleň ve městech či pasivně energetické stavebnictví. </w:t>
      </w:r>
    </w:p>
    <w:p w14:paraId="39971CEE" w14:textId="77777777" w:rsidR="00CC78F3" w:rsidRPr="006B3F59" w:rsidRDefault="00CC78F3" w:rsidP="00CC78F3">
      <w:r w:rsidRPr="006B3F59">
        <w:t>Cíle jsou stanoveny pro oblasti: Urbanizace a mobilita, Regionální nerovnosti, Nestátní aktéři a rozvoj komunit, Kompetence veřejné správy pro udržitelný rozvoj sídel, Adaptace na změnu klimatu. Jedná se především o následující navrhované strategické cíle:</w:t>
      </w:r>
    </w:p>
    <w:p w14:paraId="753DBB63" w14:textId="77777777" w:rsidR="00CC78F3" w:rsidRPr="006B3F59" w:rsidRDefault="00CC78F3" w:rsidP="00CC78F3">
      <w:pPr>
        <w:pStyle w:val="Podnadpis1"/>
        <w:spacing w:before="120"/>
        <w:jc w:val="both"/>
        <w:rPr>
          <w:b w:val="0"/>
          <w:i w:val="0"/>
          <w:color w:val="auto"/>
        </w:rPr>
      </w:pPr>
      <w:r w:rsidRPr="006B3F59">
        <w:rPr>
          <w:b w:val="0"/>
          <w:i w:val="0"/>
          <w:color w:val="auto"/>
        </w:rPr>
        <w:t xml:space="preserve">16.3 Předpoklady pro dostupnost základních veřejných služeb jsou zajištěny již ve fázi územního </w:t>
      </w:r>
      <w:r w:rsidRPr="006B3F59">
        <w:rPr>
          <w:b w:val="0"/>
          <w:i w:val="0"/>
          <w:color w:val="auto"/>
        </w:rPr>
        <w:lastRenderedPageBreak/>
        <w:t xml:space="preserve">a strategického plánování. </w:t>
      </w:r>
    </w:p>
    <w:p w14:paraId="5C4AB881" w14:textId="77777777" w:rsidR="00CC78F3" w:rsidRPr="006B3F59" w:rsidRDefault="00CC78F3" w:rsidP="00CC78F3">
      <w:pPr>
        <w:pStyle w:val="Podnadpis1"/>
        <w:spacing w:before="120"/>
        <w:jc w:val="both"/>
        <w:rPr>
          <w:b w:val="0"/>
          <w:i w:val="0"/>
          <w:color w:val="auto"/>
        </w:rPr>
      </w:pPr>
      <w:r w:rsidRPr="006B3F59">
        <w:rPr>
          <w:b w:val="0"/>
          <w:i w:val="0"/>
          <w:color w:val="auto"/>
        </w:rPr>
        <w:t xml:space="preserve">16.4 Postupy strategického a územního plánování jsou koordinovány na úrovni přesahující úroveň jednotlivých obcí. </w:t>
      </w:r>
    </w:p>
    <w:p w14:paraId="39950A4D" w14:textId="77777777" w:rsidR="00CC78F3" w:rsidRPr="006B3F59" w:rsidRDefault="00CC78F3" w:rsidP="00CC78F3">
      <w:pPr>
        <w:pStyle w:val="Podnadpis1"/>
        <w:spacing w:before="120"/>
        <w:jc w:val="both"/>
        <w:rPr>
          <w:b w:val="0"/>
          <w:i w:val="0"/>
          <w:color w:val="auto"/>
        </w:rPr>
      </w:pPr>
      <w:r w:rsidRPr="006B3F59">
        <w:rPr>
          <w:b w:val="0"/>
          <w:i w:val="0"/>
          <w:color w:val="auto"/>
        </w:rPr>
        <w:t xml:space="preserve">18.1 Snižuje se zábor půdy ve městech a jejich zázemí. Brownfieldy jsou recyklovány a revitalizovány. </w:t>
      </w:r>
    </w:p>
    <w:p w14:paraId="25B8F2DB" w14:textId="77777777" w:rsidR="00CC78F3" w:rsidRPr="006B3F59" w:rsidRDefault="00CC78F3" w:rsidP="00CC78F3">
      <w:pPr>
        <w:pStyle w:val="Podnadpis1"/>
        <w:spacing w:before="120"/>
        <w:jc w:val="both"/>
        <w:rPr>
          <w:b w:val="0"/>
          <w:i w:val="0"/>
          <w:color w:val="auto"/>
        </w:rPr>
      </w:pPr>
      <w:r w:rsidRPr="006B3F59">
        <w:rPr>
          <w:b w:val="0"/>
          <w:i w:val="0"/>
          <w:color w:val="auto"/>
        </w:rPr>
        <w:t xml:space="preserve">19.2 Snižuje se počet a velikost městských tepelných ostrovů. </w:t>
      </w:r>
    </w:p>
    <w:p w14:paraId="43498EF4" w14:textId="77777777" w:rsidR="00CC78F3" w:rsidRPr="006B3F59" w:rsidRDefault="00CC78F3" w:rsidP="00CC78F3">
      <w:pPr>
        <w:pStyle w:val="Podnadpis1"/>
        <w:spacing w:before="120"/>
        <w:jc w:val="both"/>
        <w:rPr>
          <w:b w:val="0"/>
          <w:i w:val="0"/>
          <w:color w:val="auto"/>
        </w:rPr>
      </w:pPr>
      <w:r w:rsidRPr="006B3F59">
        <w:rPr>
          <w:b w:val="0"/>
          <w:i w:val="0"/>
          <w:color w:val="auto"/>
        </w:rPr>
        <w:t xml:space="preserve">19.3 Nejsou překračovány imisní limity nejvýznamnějších látek škodlivých pro lidské zdraví ani hlukové limity. </w:t>
      </w:r>
    </w:p>
    <w:p w14:paraId="77FE06D8" w14:textId="77777777" w:rsidR="00CC78F3" w:rsidRPr="006B3F59" w:rsidRDefault="00CC78F3" w:rsidP="00CC78F3">
      <w:pPr>
        <w:pStyle w:val="Podnadpis1"/>
        <w:spacing w:before="120"/>
        <w:jc w:val="both"/>
        <w:rPr>
          <w:b w:val="0"/>
          <w:i w:val="0"/>
          <w:color w:val="auto"/>
        </w:rPr>
      </w:pPr>
      <w:r w:rsidRPr="006B3F59">
        <w:rPr>
          <w:b w:val="0"/>
          <w:i w:val="0"/>
          <w:color w:val="auto"/>
        </w:rPr>
        <w:t>19.6 Významně roste délka cyklostezek a komunikací vhodných pro cyklisty.</w:t>
      </w:r>
    </w:p>
    <w:p w14:paraId="6759955C" w14:textId="77777777" w:rsidR="00CC78F3" w:rsidRPr="006B3F59" w:rsidRDefault="00CC78F3" w:rsidP="00CC78F3">
      <w:r w:rsidRPr="006B3F59">
        <w:t>Hodnocení vztahu vůči posuzovanému dokumentu:</w:t>
      </w:r>
    </w:p>
    <w:tbl>
      <w:tblPr>
        <w:tblStyle w:val="Mkatabulky"/>
        <w:tblW w:w="9776" w:type="dxa"/>
        <w:tblLook w:val="04A0" w:firstRow="1" w:lastRow="0" w:firstColumn="1" w:lastColumn="0" w:noHBand="0" w:noVBand="1"/>
      </w:tblPr>
      <w:tblGrid>
        <w:gridCol w:w="3052"/>
        <w:gridCol w:w="1172"/>
        <w:gridCol w:w="5552"/>
      </w:tblGrid>
      <w:tr w:rsidR="00CC78F3" w:rsidRPr="006B3F59" w14:paraId="17BD01DF" w14:textId="77777777" w:rsidTr="00B34C98">
        <w:tc>
          <w:tcPr>
            <w:tcW w:w="3052" w:type="dxa"/>
          </w:tcPr>
          <w:p w14:paraId="72C3E53A" w14:textId="77777777" w:rsidR="00CC78F3" w:rsidRPr="006B3F59" w:rsidRDefault="00CC78F3" w:rsidP="00B34C98">
            <w:r w:rsidRPr="006B3F59">
              <w:t>Relevantní cíl</w:t>
            </w:r>
          </w:p>
        </w:tc>
        <w:tc>
          <w:tcPr>
            <w:tcW w:w="1172" w:type="dxa"/>
          </w:tcPr>
          <w:p w14:paraId="603DD71B" w14:textId="77777777" w:rsidR="00CC78F3" w:rsidRPr="006B3F59" w:rsidRDefault="00CC78F3" w:rsidP="00B34C98">
            <w:r w:rsidRPr="006B3F59">
              <w:t>Vzájemná vazba</w:t>
            </w:r>
          </w:p>
        </w:tc>
        <w:tc>
          <w:tcPr>
            <w:tcW w:w="5552" w:type="dxa"/>
          </w:tcPr>
          <w:p w14:paraId="3F721C85" w14:textId="77777777" w:rsidR="00CC78F3" w:rsidRPr="006B3F59" w:rsidRDefault="00CC78F3" w:rsidP="00B34C98">
            <w:r w:rsidRPr="006B3F59">
              <w:t>Komentář</w:t>
            </w:r>
          </w:p>
        </w:tc>
      </w:tr>
      <w:tr w:rsidR="00CC78F3" w:rsidRPr="006B3F59" w14:paraId="1DCDAFE2" w14:textId="77777777" w:rsidTr="00B34C98">
        <w:tc>
          <w:tcPr>
            <w:tcW w:w="3052" w:type="dxa"/>
          </w:tcPr>
          <w:p w14:paraId="48FD7C89" w14:textId="77777777" w:rsidR="00CC78F3" w:rsidRPr="006B3F59" w:rsidRDefault="00CC78F3" w:rsidP="00B34C98">
            <w:r w:rsidRPr="006B3F59">
              <w:t xml:space="preserve">16.3 Předpoklady pro dostupnost základních veřejných služeb jsou zajištěny již ve fázi územního a strategického plánování. </w:t>
            </w:r>
          </w:p>
        </w:tc>
        <w:tc>
          <w:tcPr>
            <w:tcW w:w="1172" w:type="dxa"/>
          </w:tcPr>
          <w:p w14:paraId="3F9F7A46" w14:textId="77777777" w:rsidR="00CC78F3" w:rsidRPr="006B3F59" w:rsidRDefault="00CC78F3" w:rsidP="00B34C98">
            <w:r w:rsidRPr="006B3F59">
              <w:t>2 pozitivní</w:t>
            </w:r>
          </w:p>
        </w:tc>
        <w:tc>
          <w:tcPr>
            <w:tcW w:w="5552" w:type="dxa"/>
          </w:tcPr>
          <w:p w14:paraId="6422957C" w14:textId="77777777" w:rsidR="00CC78F3" w:rsidRPr="006B3F59" w:rsidRDefault="00CC78F3" w:rsidP="00B34C98">
            <w:r w:rsidRPr="006B3F59">
              <w:t>Přímo rozvíjí tento strategický cíl.</w:t>
            </w:r>
          </w:p>
        </w:tc>
      </w:tr>
      <w:tr w:rsidR="00CC78F3" w:rsidRPr="006B3F59" w14:paraId="1C307736" w14:textId="77777777" w:rsidTr="00B34C98">
        <w:tc>
          <w:tcPr>
            <w:tcW w:w="3052" w:type="dxa"/>
          </w:tcPr>
          <w:p w14:paraId="76E131E9" w14:textId="77777777" w:rsidR="00CC78F3" w:rsidRPr="006B3F59" w:rsidRDefault="00CC78F3" w:rsidP="00B34C98">
            <w:r w:rsidRPr="006B3F59">
              <w:t xml:space="preserve">16.4 Postupy strategického a územního plánování jsou koordinovány na úrovni přesahující úroveň jednotlivých obcí. </w:t>
            </w:r>
          </w:p>
          <w:p w14:paraId="3844BC6B" w14:textId="77777777" w:rsidR="00CC78F3" w:rsidRPr="006B3F59" w:rsidRDefault="00CC78F3" w:rsidP="00B34C98"/>
        </w:tc>
        <w:tc>
          <w:tcPr>
            <w:tcW w:w="1172" w:type="dxa"/>
          </w:tcPr>
          <w:p w14:paraId="3FFD299E" w14:textId="77777777" w:rsidR="00CC78F3" w:rsidRPr="006B3F59" w:rsidRDefault="00CC78F3" w:rsidP="00B34C98">
            <w:r w:rsidRPr="006B3F59">
              <w:t xml:space="preserve">2 pozitivní </w:t>
            </w:r>
          </w:p>
        </w:tc>
        <w:tc>
          <w:tcPr>
            <w:tcW w:w="5552" w:type="dxa"/>
          </w:tcPr>
          <w:p w14:paraId="6E325695" w14:textId="77777777" w:rsidR="00CC78F3" w:rsidRPr="006B3F59" w:rsidRDefault="00CC78F3" w:rsidP="00B34C98">
            <w:r w:rsidRPr="006B3F59">
              <w:t xml:space="preserve">Přímo rozvíjí tento strategický cíl. </w:t>
            </w:r>
          </w:p>
        </w:tc>
      </w:tr>
      <w:tr w:rsidR="00CC78F3" w:rsidRPr="006B3F59" w14:paraId="529614EF" w14:textId="77777777" w:rsidTr="00B34C98">
        <w:tc>
          <w:tcPr>
            <w:tcW w:w="3052" w:type="dxa"/>
          </w:tcPr>
          <w:p w14:paraId="0A5A0772" w14:textId="77777777" w:rsidR="00CC78F3" w:rsidRPr="006B3F59" w:rsidRDefault="00CC78F3" w:rsidP="00B34C98">
            <w:r w:rsidRPr="006B3F59">
              <w:t xml:space="preserve">18.1 Snižuje se zábor půdy ve městech a jejich zázemí. Brownfieldy jsou recyklovány a revitalizovány. </w:t>
            </w:r>
          </w:p>
          <w:p w14:paraId="3ADC5610" w14:textId="77777777" w:rsidR="00CC78F3" w:rsidRPr="006B3F59" w:rsidRDefault="00CC78F3" w:rsidP="00B34C98"/>
        </w:tc>
        <w:tc>
          <w:tcPr>
            <w:tcW w:w="1172" w:type="dxa"/>
          </w:tcPr>
          <w:p w14:paraId="31DE7FC0" w14:textId="77777777" w:rsidR="00CC78F3" w:rsidRPr="006B3F59" w:rsidRDefault="00CC78F3" w:rsidP="00B34C98">
            <w:r w:rsidRPr="006B3F59">
              <w:t>2 pozitivní</w:t>
            </w:r>
          </w:p>
        </w:tc>
        <w:tc>
          <w:tcPr>
            <w:tcW w:w="5552" w:type="dxa"/>
          </w:tcPr>
          <w:p w14:paraId="3FD7BDB8" w14:textId="77777777" w:rsidR="00CC78F3" w:rsidRPr="006B3F59" w:rsidRDefault="00CC78F3" w:rsidP="00B34C98">
            <w:r w:rsidRPr="006B3F59">
              <w:t xml:space="preserve">Silná pozitivní vazba na sledovaný cíl, posuzovaná koncepce využívá transformace v již urbanizovaném území jako prevenci suburbanizace. </w:t>
            </w:r>
          </w:p>
        </w:tc>
      </w:tr>
      <w:tr w:rsidR="00CC78F3" w:rsidRPr="006B3F59" w14:paraId="622DEEF3" w14:textId="77777777" w:rsidTr="00B34C98">
        <w:tc>
          <w:tcPr>
            <w:tcW w:w="3052" w:type="dxa"/>
          </w:tcPr>
          <w:p w14:paraId="62ADED8A" w14:textId="77777777" w:rsidR="00CC78F3" w:rsidRPr="006B3F59" w:rsidRDefault="00CC78F3" w:rsidP="00B34C98">
            <w:r w:rsidRPr="006B3F59">
              <w:t xml:space="preserve">19.2 Snižuje se počet a velikost městských tepelných ostrovů. </w:t>
            </w:r>
          </w:p>
          <w:p w14:paraId="457EA35F" w14:textId="77777777" w:rsidR="00CC78F3" w:rsidRPr="006B3F59" w:rsidRDefault="00CC78F3" w:rsidP="00B34C98"/>
        </w:tc>
        <w:tc>
          <w:tcPr>
            <w:tcW w:w="1172" w:type="dxa"/>
          </w:tcPr>
          <w:p w14:paraId="264E3DFE" w14:textId="77777777" w:rsidR="00CC78F3" w:rsidRPr="006B3F59" w:rsidRDefault="00CC78F3" w:rsidP="00B34C98">
            <w:r w:rsidRPr="006B3F59">
              <w:t xml:space="preserve">1 negativní </w:t>
            </w:r>
          </w:p>
        </w:tc>
        <w:tc>
          <w:tcPr>
            <w:tcW w:w="5552" w:type="dxa"/>
          </w:tcPr>
          <w:p w14:paraId="22AD01E2" w14:textId="77777777" w:rsidR="00CC78F3" w:rsidRPr="006B3F59" w:rsidRDefault="00CC78F3" w:rsidP="00B34C98">
            <w:r w:rsidRPr="006B3F59">
              <w:t xml:space="preserve">Mírně negativní potenciální vazba, Koncepce implikuje potenciální zvýšení teplot a snížení retenční schopnosti krajiny s omezeným působením. Kompenzační opatření systému odvodnění je možné uplatnit v navazujících řízeních. </w:t>
            </w:r>
          </w:p>
        </w:tc>
      </w:tr>
      <w:tr w:rsidR="00CC78F3" w:rsidRPr="006B3F59" w14:paraId="23ADD28E" w14:textId="77777777" w:rsidTr="00B34C98">
        <w:tc>
          <w:tcPr>
            <w:tcW w:w="3052" w:type="dxa"/>
          </w:tcPr>
          <w:p w14:paraId="1734D4CB" w14:textId="77777777" w:rsidR="00CC78F3" w:rsidRPr="006B3F59" w:rsidRDefault="00CC78F3" w:rsidP="00B34C98">
            <w:r w:rsidRPr="006B3F59">
              <w:t xml:space="preserve">19.3 Nejsou překračovány imisní limity nejvýznamnějších látek škodlivých pro lidské zdraví ani hlukové limity. </w:t>
            </w:r>
          </w:p>
          <w:p w14:paraId="60D43487" w14:textId="77777777" w:rsidR="00CC78F3" w:rsidRPr="006B3F59" w:rsidRDefault="00CC78F3" w:rsidP="00B34C98"/>
        </w:tc>
        <w:tc>
          <w:tcPr>
            <w:tcW w:w="1172" w:type="dxa"/>
          </w:tcPr>
          <w:p w14:paraId="47F01581" w14:textId="608A5C54" w:rsidR="00CC78F3" w:rsidRPr="006B3F59" w:rsidRDefault="00CC78F3" w:rsidP="00B34C98">
            <w:r w:rsidRPr="006B3F59">
              <w:t xml:space="preserve">1 </w:t>
            </w:r>
            <w:r w:rsidR="006F02C0" w:rsidRPr="006B3F59">
              <w:t>pozitivní až 1</w:t>
            </w:r>
            <w:r w:rsidRPr="006B3F59">
              <w:t>negativní</w:t>
            </w:r>
          </w:p>
        </w:tc>
        <w:tc>
          <w:tcPr>
            <w:tcW w:w="5552" w:type="dxa"/>
          </w:tcPr>
          <w:p w14:paraId="6075D65F" w14:textId="6C65DB5E" w:rsidR="00CC78F3" w:rsidRPr="006B3F59" w:rsidRDefault="006F02C0" w:rsidP="00B34C98">
            <w:r w:rsidRPr="006B3F59">
              <w:t xml:space="preserve">Zprostředkovaně pozitivní vazba na sledovaný cíl. </w:t>
            </w:r>
            <w:r w:rsidRPr="006B3F59">
              <w:rPr>
                <w:rFonts w:cs="Arial"/>
                <w:szCs w:val="16"/>
              </w:rPr>
              <w:t>Posuzovaná koncepce přispěje k rozvoji bezemisní veřejné hromadné dopravy s nepřímo pozitivním vlivem na snížení emisí spojených s dopravou</w:t>
            </w:r>
            <w:r w:rsidR="0089521C" w:rsidRPr="006B3F59">
              <w:t xml:space="preserve">. </w:t>
            </w:r>
            <w:r w:rsidR="00CC78F3" w:rsidRPr="006B3F59">
              <w:t>Na druhou stranu dojde k vytvoření územních předpokladů pro vložení nového zdroje vyvolané dopravy do území. Konkrétní ovlivnění a zda k němu vůbec dojde, bude záviset na konkrétním technickém řešení využití území.</w:t>
            </w:r>
          </w:p>
        </w:tc>
      </w:tr>
      <w:tr w:rsidR="00CC78F3" w:rsidRPr="006B3F59" w14:paraId="3ADAB152" w14:textId="77777777" w:rsidTr="00B34C98">
        <w:tc>
          <w:tcPr>
            <w:tcW w:w="3052" w:type="dxa"/>
          </w:tcPr>
          <w:p w14:paraId="5E735578" w14:textId="77777777" w:rsidR="00CC78F3" w:rsidRPr="006B3F59" w:rsidRDefault="00CC78F3" w:rsidP="00B34C98">
            <w:r w:rsidRPr="006B3F59">
              <w:t>19.6 Významně roste délka cyklostezek a komunikací vhodných pro cyklisty</w:t>
            </w:r>
          </w:p>
        </w:tc>
        <w:tc>
          <w:tcPr>
            <w:tcW w:w="1172" w:type="dxa"/>
          </w:tcPr>
          <w:p w14:paraId="09A2CC2A" w14:textId="77777777" w:rsidR="00CC78F3" w:rsidRPr="006B3F59" w:rsidRDefault="00CC78F3" w:rsidP="00B34C98">
            <w:r w:rsidRPr="006B3F59">
              <w:t>1 nepřímo pozitivní</w:t>
            </w:r>
          </w:p>
        </w:tc>
        <w:tc>
          <w:tcPr>
            <w:tcW w:w="5552" w:type="dxa"/>
          </w:tcPr>
          <w:p w14:paraId="457F2C7E" w14:textId="081E04C1" w:rsidR="00CC78F3" w:rsidRPr="006B3F59" w:rsidRDefault="00CC78F3" w:rsidP="00B34C98">
            <w:r w:rsidRPr="006B3F59">
              <w:t>Posuzovaná koncepce</w:t>
            </w:r>
            <w:r w:rsidR="006F02C0" w:rsidRPr="006B3F59">
              <w:t xml:space="preserve"> zprostředkovaně</w:t>
            </w:r>
            <w:r w:rsidRPr="006B3F59">
              <w:t xml:space="preserve"> umožňuje vložení cykloste</w:t>
            </w:r>
            <w:r w:rsidR="006F02C0" w:rsidRPr="006B3F59">
              <w:t>zek a cyklotras</w:t>
            </w:r>
            <w:r w:rsidRPr="006B3F59">
              <w:t xml:space="preserve"> do vymezených ploch</w:t>
            </w:r>
            <w:r w:rsidR="006F02C0" w:rsidRPr="006B3F59">
              <w:t xml:space="preserve"> a koridorů</w:t>
            </w:r>
            <w:r w:rsidRPr="006B3F59">
              <w:t xml:space="preserve">. </w:t>
            </w:r>
          </w:p>
        </w:tc>
      </w:tr>
    </w:tbl>
    <w:p w14:paraId="72D15E91" w14:textId="3E72EF6B" w:rsidR="00CC78F3" w:rsidRPr="006B3F59" w:rsidRDefault="00CC78F3" w:rsidP="00CC78F3">
      <w:pPr>
        <w:rPr>
          <w:rFonts w:cs="Arial"/>
          <w:i/>
        </w:rPr>
      </w:pPr>
      <w:r w:rsidRPr="006B3F59">
        <w:rPr>
          <w:i/>
        </w:rPr>
        <w:t xml:space="preserve">Komentář: Předkládaná změna územního plánu je navržena v souladu s cíli Strategie 2030. Shodnou prioritou je především odpovědné využívání území směřující k přerozdělení dopravních zátěží ve prospěch nízkoemisní dopravy a zintenzivnění využití území vnitřního města. Nebyly identifikovány žádné zásadní střety mezi navrhovanou změnou územního plánu a Strategií Česká republika 2030. </w:t>
      </w:r>
      <w:r w:rsidRPr="006B3F59">
        <w:rPr>
          <w:rFonts w:cs="Arial"/>
          <w:i/>
        </w:rPr>
        <w:t>Navrhovaná změna územního plánu má vůči cílům Strategie 2030 převážně nepřímý vztah, pozitivně se projeví především zlepšení dopravní obslužnosti území. Návrh posuzované změny je v souladu s cíli této strategie zejména se zaměřením na udržitelnost využívání území a minimalizací střetů mezi územním rozvojem a ochranou životního prostředí a veřejného zdraví. Dochází však i k dílčím rozporům v oblasti snižování retenční schopnosti krajiny a rozšiřování</w:t>
      </w:r>
      <w:r w:rsidR="00BA2708" w:rsidRPr="006B3F59">
        <w:rPr>
          <w:rFonts w:cs="Arial"/>
          <w:i/>
        </w:rPr>
        <w:t>,</w:t>
      </w:r>
      <w:r w:rsidRPr="006B3F59">
        <w:rPr>
          <w:rFonts w:cs="Arial"/>
          <w:i/>
        </w:rPr>
        <w:t xml:space="preserve"> resp. zintenzivňování tepelného ostrova města. V této souvislosti jsou v územním plánu a v SEA navržena opatření pro minimalizaci negativních vlivů. </w:t>
      </w:r>
    </w:p>
    <w:p w14:paraId="5D670816" w14:textId="77777777" w:rsidR="008D6F3B" w:rsidRPr="006B3F59" w:rsidRDefault="008D6F3B" w:rsidP="008D6F3B">
      <w:pPr>
        <w:pStyle w:val="Podnadpis1"/>
      </w:pPr>
      <w:r w:rsidRPr="006B3F59">
        <w:lastRenderedPageBreak/>
        <w:t>Státní program ochrany přírody a krajiny ČR 2020-2025</w:t>
      </w:r>
    </w:p>
    <w:p w14:paraId="54AE1626" w14:textId="77777777" w:rsidR="008D6F3B" w:rsidRPr="006B3F59" w:rsidRDefault="008D6F3B" w:rsidP="008D6F3B">
      <w:r w:rsidRPr="006B3F59">
        <w:t>Vláda schválila aktualizovaný Státní program ochrany přírody a krajiny České republiky pro období 2020–2025. Program cílí zejména na zastavení pokračujícího úbytku biologické rozmanitosti a zároveň na konkrétní opatření, která povedou ke zlepšení stavu biodiverzity. Příznivý stav biologické rozmanitosti je totiž základním předpokladem pro naši budoucnost.</w:t>
      </w:r>
    </w:p>
    <w:p w14:paraId="359487B2" w14:textId="77777777" w:rsidR="008D6F3B" w:rsidRPr="006B3F59" w:rsidRDefault="008D6F3B" w:rsidP="008D6F3B">
      <w:r w:rsidRPr="006B3F59">
        <w:t>“Státní program stanovuje cíle a opatření, jejichž realizace přísluší zejména Ministerstvu životního prostředí a Ministerstvu zemědělství. Přesněji řečeno orgánům ochrany přírody a dalším orgánům státní správy, v jejichž kompetenci je hospodaření v krajině. Program totiž nestanovuje pouze čistě „ochranářské“ cíle pro ochranu vybraných druhů nebo přírodních stanovišť, ale rovněž cíle zaměřené na zlepšení funkce krajiny, včetně například zvýšení retence vody v lesích nebo zlepšení kondice zemědělské půdy,” vysvětluje ministr životního prostředí Richard Brabec.</w:t>
      </w:r>
    </w:p>
    <w:p w14:paraId="1E2693FA" w14:textId="77777777" w:rsidR="008D6F3B" w:rsidRPr="006B3F59" w:rsidRDefault="008D6F3B" w:rsidP="008D6F3B">
      <w:r w:rsidRPr="006B3F59">
        <w:t>Státní program ochrany přírody a krajiny České republiky (SPOPK ČR) pro období 2020–2025 představuje dílčí koncepční dokument, který je de facto akčním plánem pro plnění cílů a opatření vymezených ve Strategii ochrany biologické rozmanitosti ČR z roku 2016. Tato strategie definuje prioritní oblasti v ochraně a udržitelném využívání biologické rozmanitosti a nyní schválený program posílí plnění jejích vybraných cílů. Program, na jehož přípravě MŽP spolupracovalo i s Ministerstvem zemědělství, zároveň reaguje na aktuální stav přírody a krajiny a potřeby jejich ochrany.</w:t>
      </w:r>
    </w:p>
    <w:p w14:paraId="4907AF44" w14:textId="77777777" w:rsidR="008D6F3B" w:rsidRPr="006B3F59" w:rsidRDefault="008D6F3B" w:rsidP="008D6F3B">
      <w:r w:rsidRPr="006B3F59">
        <w:t>Program definuje na 36 cílů a 120 specifických opatření, jak ve vztahu k ochraně přírodně cenných území a druhů, tak i k udržitelnému využívání jednotlivých typů ekosystémů. Některé z nich jsou významné i z hlediska adaptace přírody a krajiny na změny klimatu.</w:t>
      </w:r>
    </w:p>
    <w:p w14:paraId="46DBAE8D" w14:textId="77777777" w:rsidR="008D6F3B" w:rsidRPr="006B3F59" w:rsidRDefault="008D6F3B" w:rsidP="008D6F3B">
      <w:r w:rsidRPr="006B3F59">
        <w:t>Program si do roku 2025 klade za cíl analyzovat také právní předpisy z hlediska jejich souladu se zájmy ochrany přírody a krajiny a zajistit kvalitní výzkum a monitoring v nejrůznějších oblastech ochrany přírody a krajiny.</w:t>
      </w:r>
    </w:p>
    <w:p w14:paraId="74C431CF" w14:textId="77777777" w:rsidR="008D6F3B" w:rsidRPr="006B3F59" w:rsidRDefault="008D6F3B" w:rsidP="008D6F3B">
      <w:r w:rsidRPr="006B3F59">
        <w:t>V příštích pěti letech Státní program ochrany přírody a krajiny České republiky mimo jiné chce:</w:t>
      </w:r>
    </w:p>
    <w:p w14:paraId="25B7C331" w14:textId="77777777" w:rsidR="008D6F3B" w:rsidRPr="006B3F59" w:rsidRDefault="008D6F3B" w:rsidP="008D6F3B">
      <w:r w:rsidRPr="006B3F59">
        <w:t>Vytvořit podmínky pro diverzifikaci krajiny v zájmu zachování a rozšíření běžných volně žijících druhů rostlin a živočichů zemědělské krajiny (zejména ptáků a opylovačů) prostřednictvím stávajících dotačních programů. Pro podporu těchto snah chce MŽP mj. zadat studii zaměřenou na opylovače v ČR.</w:t>
      </w:r>
    </w:p>
    <w:p w14:paraId="15C80559" w14:textId="77777777" w:rsidR="008D6F3B" w:rsidRPr="006B3F59" w:rsidRDefault="008D6F3B" w:rsidP="008D6F3B">
      <w:r w:rsidRPr="006B3F59">
        <w:t xml:space="preserve">Realizovat opatření zvyšující retenční kapacitu půdy včetně zvýšení podílu organické hmoty. </w:t>
      </w:r>
    </w:p>
    <w:p w14:paraId="3581D2F1" w14:textId="77777777" w:rsidR="008D6F3B" w:rsidRPr="006B3F59" w:rsidRDefault="008D6F3B" w:rsidP="008D6F3B">
      <w:r w:rsidRPr="006B3F59">
        <w:t xml:space="preserve">Zvýšit aktivní zapojení zemědělců v oblasti ochrany biodiverzity včetně biodiverzity půdy. </w:t>
      </w:r>
    </w:p>
    <w:p w14:paraId="50863673" w14:textId="77777777" w:rsidR="008D6F3B" w:rsidRPr="006B3F59" w:rsidRDefault="008D6F3B" w:rsidP="008D6F3B">
      <w:r w:rsidRPr="006B3F59">
        <w:t xml:space="preserve">Posílit ekologickou stabilitu lesů jako základní podmínku dlouhodobého plnění všech jejich funkcí. </w:t>
      </w:r>
    </w:p>
    <w:p w14:paraId="47E3BDE2" w14:textId="77777777" w:rsidR="008D6F3B" w:rsidRPr="006B3F59" w:rsidRDefault="008D6F3B" w:rsidP="008D6F3B">
      <w:r w:rsidRPr="006B3F59">
        <w:t xml:space="preserve">Účinně chránit a zlepšit ekostabilizačních funkce vodních toků a niv. </w:t>
      </w:r>
    </w:p>
    <w:p w14:paraId="06F8545B" w14:textId="77777777" w:rsidR="008D6F3B" w:rsidRPr="006B3F59" w:rsidRDefault="008D6F3B" w:rsidP="008D6F3B">
      <w:r w:rsidRPr="006B3F59">
        <w:t>Vzhledem k zaměření předkládaného návrhu ÚPD, který se zabývá rozvojem urbánního prostředí města a jeho systémů, je relevantní především priorita Sídelní krajina a urbánní ekosystémy s tímto dílčím cílem:</w:t>
      </w:r>
    </w:p>
    <w:p w14:paraId="7FC8E4F2" w14:textId="77777777" w:rsidR="008D6F3B" w:rsidRPr="006B3F59" w:rsidRDefault="008D6F3B" w:rsidP="008D6F3B">
      <w:bookmarkStart w:id="65" w:name="_Hlk103612444"/>
      <w:r w:rsidRPr="006B3F59">
        <w:t>Cíl: 2.5.1 Zajistit ochranu urbánních ekosystémů, jejich funkcí a služeb ve specifických podmínkách sídel</w:t>
      </w:r>
      <w:bookmarkEnd w:id="65"/>
    </w:p>
    <w:p w14:paraId="59041977" w14:textId="77777777" w:rsidR="008D6F3B" w:rsidRPr="006B3F59" w:rsidRDefault="008D6F3B" w:rsidP="008D6F3B">
      <w:bookmarkStart w:id="66" w:name="_Hlk103612467"/>
      <w:r w:rsidRPr="006B3F59">
        <w:t>Hodnocení vztahu vůči posuzovanému dokumentu:</w:t>
      </w:r>
    </w:p>
    <w:tbl>
      <w:tblPr>
        <w:tblStyle w:val="Mkatabulky"/>
        <w:tblW w:w="0" w:type="auto"/>
        <w:tblLook w:val="04A0" w:firstRow="1" w:lastRow="0" w:firstColumn="1" w:lastColumn="0" w:noHBand="0" w:noVBand="1"/>
      </w:tblPr>
      <w:tblGrid>
        <w:gridCol w:w="3209"/>
        <w:gridCol w:w="1181"/>
        <w:gridCol w:w="5238"/>
      </w:tblGrid>
      <w:tr w:rsidR="008D6F3B" w:rsidRPr="006B3F59" w14:paraId="4FBB8609" w14:textId="77777777" w:rsidTr="00B34C98">
        <w:tc>
          <w:tcPr>
            <w:tcW w:w="3209" w:type="dxa"/>
          </w:tcPr>
          <w:bookmarkEnd w:id="66"/>
          <w:p w14:paraId="0D51C652" w14:textId="77777777" w:rsidR="008D6F3B" w:rsidRPr="006B3F59" w:rsidRDefault="008D6F3B" w:rsidP="00B34C98">
            <w:pPr>
              <w:spacing w:before="0"/>
            </w:pPr>
            <w:r w:rsidRPr="006B3F59">
              <w:t>Relevantní cíl</w:t>
            </w:r>
          </w:p>
        </w:tc>
        <w:tc>
          <w:tcPr>
            <w:tcW w:w="1181" w:type="dxa"/>
          </w:tcPr>
          <w:p w14:paraId="1531F456" w14:textId="77777777" w:rsidR="008D6F3B" w:rsidRPr="006B3F59" w:rsidRDefault="008D6F3B" w:rsidP="00B34C98">
            <w:pPr>
              <w:spacing w:before="0"/>
            </w:pPr>
            <w:r w:rsidRPr="006B3F59">
              <w:t>Vzájemná vazba</w:t>
            </w:r>
          </w:p>
        </w:tc>
        <w:tc>
          <w:tcPr>
            <w:tcW w:w="5238" w:type="dxa"/>
          </w:tcPr>
          <w:p w14:paraId="387731BA" w14:textId="77777777" w:rsidR="008D6F3B" w:rsidRPr="006B3F59" w:rsidRDefault="008D6F3B" w:rsidP="00B34C98">
            <w:pPr>
              <w:spacing w:before="0"/>
            </w:pPr>
            <w:r w:rsidRPr="006B3F59">
              <w:t>Komentář</w:t>
            </w:r>
          </w:p>
        </w:tc>
      </w:tr>
      <w:tr w:rsidR="008D6F3B" w:rsidRPr="006B3F59" w14:paraId="63FD1493" w14:textId="77777777" w:rsidTr="00B34C98">
        <w:tc>
          <w:tcPr>
            <w:tcW w:w="3209" w:type="dxa"/>
          </w:tcPr>
          <w:p w14:paraId="6811DC76" w14:textId="77777777" w:rsidR="008D6F3B" w:rsidRPr="006B3F59" w:rsidRDefault="008D6F3B" w:rsidP="00B34C98">
            <w:pPr>
              <w:pStyle w:val="Podnadpis1"/>
              <w:spacing w:before="120"/>
              <w:jc w:val="both"/>
              <w:rPr>
                <w:b w:val="0"/>
                <w:i w:val="0"/>
                <w:color w:val="auto"/>
              </w:rPr>
            </w:pPr>
            <w:bookmarkStart w:id="67" w:name="_Hlk103612399"/>
            <w:r w:rsidRPr="006B3F59">
              <w:rPr>
                <w:b w:val="0"/>
                <w:i w:val="0"/>
                <w:color w:val="auto"/>
              </w:rPr>
              <w:t>2.5.1 Zajistit ochranu urbánních ekosystémů, jejich funkcí a služeb ve specifických podmínkách sídel</w:t>
            </w:r>
          </w:p>
        </w:tc>
        <w:tc>
          <w:tcPr>
            <w:tcW w:w="1181" w:type="dxa"/>
          </w:tcPr>
          <w:p w14:paraId="104388DD" w14:textId="77777777" w:rsidR="008D6F3B" w:rsidRPr="006B3F59" w:rsidRDefault="008D6F3B" w:rsidP="00B34C98">
            <w:r w:rsidRPr="006B3F59">
              <w:t xml:space="preserve">1 negativní </w:t>
            </w:r>
          </w:p>
        </w:tc>
        <w:tc>
          <w:tcPr>
            <w:tcW w:w="5238" w:type="dxa"/>
          </w:tcPr>
          <w:p w14:paraId="09E652A4" w14:textId="6B2FBBEA" w:rsidR="008D6F3B" w:rsidRPr="006B3F59" w:rsidRDefault="008D6F3B" w:rsidP="00B34C98">
            <w:r w:rsidRPr="006B3F59">
              <w:t>Slabá negativní potenciální vazba, posuzovaná koncepce v</w:t>
            </w:r>
            <w:r w:rsidR="00C36C8D" w:rsidRPr="006B3F59">
              <w:t>ytváří územní předpoklady pro transformaci ploch v územní souvislosti se environmentálně cennými územími včetně potenciálu pro zvýšení prostupnosti území, a tím zvýšení návštěvnosti horních partií Podbabských skal. Konkrétní</w:t>
            </w:r>
            <w:r w:rsidRPr="006B3F59">
              <w:t xml:space="preserve"> ovlivnění a zda k němu vůbec dojde, bude záviset na konkrétním umístění, technickém řešení a provedení </w:t>
            </w:r>
            <w:r w:rsidR="00C36C8D" w:rsidRPr="006B3F59">
              <w:t>stavební činnosti v řešených plochách. Jsou obsažena opatření v podobě vytvoření nárazníkových zón zeleně</w:t>
            </w:r>
            <w:r w:rsidRPr="006B3F59">
              <w:t xml:space="preserve">. </w:t>
            </w:r>
          </w:p>
        </w:tc>
      </w:tr>
    </w:tbl>
    <w:bookmarkEnd w:id="67"/>
    <w:p w14:paraId="24A4B2AB" w14:textId="625C6E75" w:rsidR="008D6F3B" w:rsidRPr="006B3F59" w:rsidRDefault="008D6F3B" w:rsidP="008D6F3B">
      <w:pPr>
        <w:pStyle w:val="Podnadpis1"/>
        <w:jc w:val="both"/>
        <w:rPr>
          <w:b w:val="0"/>
          <w:bCs/>
        </w:rPr>
      </w:pPr>
      <w:r w:rsidRPr="006B3F59">
        <w:t xml:space="preserve">Komentář: </w:t>
      </w:r>
      <w:r w:rsidRPr="006B3F59">
        <w:rPr>
          <w:b w:val="0"/>
          <w:bCs/>
        </w:rPr>
        <w:t xml:space="preserve">Řešená koncepce </w:t>
      </w:r>
      <w:r w:rsidR="007D2198" w:rsidRPr="006B3F59">
        <w:rPr>
          <w:b w:val="0"/>
          <w:bCs/>
        </w:rPr>
        <w:t>vymezuje nové využití území v kontaktu s lokalitami, kde jsou</w:t>
      </w:r>
      <w:r w:rsidRPr="006B3F59">
        <w:rPr>
          <w:b w:val="0"/>
          <w:bCs/>
        </w:rPr>
        <w:t xml:space="preserve"> přítomny chráněné environmentální hodnoty, z tohoto pohledu je třeba konstatovat formálně negativní vazbu na Aktualizaci státního programu ochrany přírody a krajiny. Nicméně je třeba konstatovat, že v posuzované koncepci jsou obsažena územně plánovací opatření pro minimalizaci reálných vlivů na environmentálně cenné části území, zejména z hlediska </w:t>
      </w:r>
      <w:r w:rsidR="007D2198" w:rsidRPr="006B3F59">
        <w:rPr>
          <w:b w:val="0"/>
          <w:bCs/>
        </w:rPr>
        <w:t xml:space="preserve">volby funkčního využití území v kontaktních plochách. Návrh se snaží v </w:t>
      </w:r>
      <w:r w:rsidR="007D2198" w:rsidRPr="006B3F59">
        <w:rPr>
          <w:b w:val="0"/>
          <w:bCs/>
        </w:rPr>
        <w:lastRenderedPageBreak/>
        <w:t>maximální možné míře oddálit obytnou zástavbu od hrany Podbabských skal. Záměrem je zároveň směřovat atraktivní rekreační plochy i na jiná místa území, a tím snížit počet návštěvníků těchto chráněných oblastí. V těsném kontaktu s řešeným územím Nového Sedlce je Přírodní park Šárka – Lysolaje, který navazuje na jižní až jihozápadní hranu území.</w:t>
      </w:r>
      <w:r w:rsidRPr="006B3F59">
        <w:rPr>
          <w:b w:val="0"/>
          <w:bCs/>
        </w:rPr>
        <w:t xml:space="preserve"> Na této strategické úrovni je třeba konstatovat, že ve </w:t>
      </w:r>
      <w:r w:rsidR="007D2198" w:rsidRPr="006B3F59">
        <w:rPr>
          <w:b w:val="0"/>
          <w:bCs/>
        </w:rPr>
        <w:t>vymezených plochách</w:t>
      </w:r>
      <w:r w:rsidRPr="006B3F59">
        <w:rPr>
          <w:b w:val="0"/>
          <w:bCs/>
        </w:rPr>
        <w:t xml:space="preserve"> je možné uplatnit taková opatření při projektové přípravě a vlastní realizaci stavby, aby nedošlo k významně negativnímu vlivu na životní prostředí. Na této strategické úrovni nepředpokládáme významný zásah do populací nebo životních podmínek chráněných druhů. Pro </w:t>
      </w:r>
      <w:r w:rsidR="007D2198" w:rsidRPr="006B3F59">
        <w:rPr>
          <w:b w:val="0"/>
          <w:bCs/>
        </w:rPr>
        <w:t xml:space="preserve">případný </w:t>
      </w:r>
      <w:r w:rsidRPr="006B3F59">
        <w:rPr>
          <w:b w:val="0"/>
          <w:bCs/>
        </w:rPr>
        <w:t>zásah do chráněných území a biotopů chráněných druhů je třeba vyžádat si výjimku dle zákona č. 114/1992 Sb., o ochraně přírody a krajiny, v platném znění. Dotčení konkrétních druhů, resp. biotopů je třeba řešit se znalostí konkrétní podoby umisťovaných záměrů a způsobu jejich realizace v navazujících řízeních.</w:t>
      </w:r>
    </w:p>
    <w:p w14:paraId="2FC63789" w14:textId="77777777" w:rsidR="008D6F3B" w:rsidRPr="006B3F59" w:rsidRDefault="008D6F3B" w:rsidP="008D6F3B">
      <w:pPr>
        <w:pStyle w:val="Podnadpis1"/>
      </w:pPr>
      <w:r w:rsidRPr="006B3F59">
        <w:t>Strategie ochrany biologické rozmanitosti ČR 2016-2025</w:t>
      </w:r>
    </w:p>
    <w:p w14:paraId="624D5FFB" w14:textId="77777777" w:rsidR="008D6F3B" w:rsidRPr="006B3F59" w:rsidRDefault="008D6F3B" w:rsidP="00445EBD">
      <w:pPr>
        <w:pStyle w:val="Odrky1"/>
        <w:numPr>
          <w:ilvl w:val="0"/>
          <w:numId w:val="0"/>
        </w:numPr>
        <w:spacing w:before="120"/>
        <w:rPr>
          <w:rFonts w:eastAsia="UniversCE-CondensedBold"/>
          <w:lang w:eastAsia="zh-CN"/>
        </w:rPr>
      </w:pPr>
      <w:r w:rsidRPr="006B3F59">
        <w:t>Strategie ochrany biologické rozmanitosti České republiky vznikla po vstupu České republiky do Evropské unie, byla schválená vládou ČR 25. května 2005. Vychází z Úmluvy o biologické rozmanitosti (dále jen „Úmluva“, „CBD“), která byla podepsána na konferenci OSN o životním prostředí a rozvoji (UNCED, „Summit o Zemi“) v Rio de Janeiro v červnu 1992. Úmluva je celosvětově hodnocena jako klíčový dokument v ochraně biologické rozmanitosti na všech třech úrovních (genová, druhová a ekosystémová)</w:t>
      </w:r>
      <w:r w:rsidRPr="006B3F59">
        <w:rPr>
          <w:rFonts w:eastAsia="UniversCE-CondensedBold"/>
          <w:lang w:eastAsia="zh-CN"/>
        </w:rPr>
        <w:t>.</w:t>
      </w:r>
    </w:p>
    <w:p w14:paraId="4D67F886" w14:textId="77777777" w:rsidR="008D6F3B" w:rsidRPr="006B3F59" w:rsidRDefault="008D6F3B" w:rsidP="00445EBD">
      <w:pPr>
        <w:pStyle w:val="Odrky1"/>
        <w:numPr>
          <w:ilvl w:val="0"/>
          <w:numId w:val="0"/>
        </w:numPr>
        <w:spacing w:before="120"/>
        <w:rPr>
          <w:rFonts w:eastAsia="UniversCE-CondensedBold"/>
          <w:lang w:eastAsia="zh-CN"/>
        </w:rPr>
      </w:pPr>
      <w:r w:rsidRPr="006B3F59">
        <w:t>Navazující Strategie ochrany biologické rozmanitosti České republiky pro období 2016–2025 představuje základní koncepční dokument definující priority v oblasti ochrany a udržitelného využívání biodiverzity na území ČR. Strategie zohledňuje současné mezinárodní závazky, zejména Strategii EU pro oblast biodiverzity do roku 2020 a Strategický plán Úmluvy o biologické rozmanitosti (CBD) do roku 2020. Současně Strategie navazuje na opatření, definovaná Státní politikou životního prostředí, a je provázána i s dalšími koncepčními dokumenty napříč prakticky všemi sektory</w:t>
      </w:r>
    </w:p>
    <w:p w14:paraId="28B60C71" w14:textId="77777777" w:rsidR="008D6F3B" w:rsidRPr="006B3F59" w:rsidRDefault="008D6F3B" w:rsidP="008D6F3B">
      <w:pPr>
        <w:pStyle w:val="Odrky1"/>
        <w:numPr>
          <w:ilvl w:val="0"/>
          <w:numId w:val="0"/>
        </w:numPr>
        <w:rPr>
          <w:rFonts w:eastAsia="UniversCE-CondensedBold"/>
          <w:lang w:eastAsia="zh-CN"/>
        </w:rPr>
      </w:pPr>
      <w:r w:rsidRPr="006B3F59">
        <w:rPr>
          <w:rFonts w:eastAsia="UniversCE-CondensedBold"/>
          <w:lang w:eastAsia="zh-CN"/>
        </w:rPr>
        <w:t>Vůči posuzovanému dokumentu jsou relevantní především tyto cíle strategie:</w:t>
      </w:r>
    </w:p>
    <w:p w14:paraId="6B0803C5" w14:textId="77777777" w:rsidR="008D6F3B" w:rsidRPr="006B3F59" w:rsidRDefault="008D6F3B" w:rsidP="008D6F3B">
      <w:pPr>
        <w:pStyle w:val="Odrky1"/>
      </w:pPr>
      <w:r w:rsidRPr="006B3F59">
        <w:t xml:space="preserve">2.5.1 Omezit rozšiřování zástavby do volné krajiny, </w:t>
      </w:r>
    </w:p>
    <w:p w14:paraId="2D8589AA" w14:textId="77777777" w:rsidR="008D6F3B" w:rsidRPr="006B3F59" w:rsidRDefault="008D6F3B" w:rsidP="008D6F3B">
      <w:pPr>
        <w:pStyle w:val="Odrky1"/>
      </w:pPr>
      <w:r w:rsidRPr="006B3F59">
        <w:t xml:space="preserve">2.5.3 Zlepšovat prostupnost krajiny pro biotu,  </w:t>
      </w:r>
    </w:p>
    <w:p w14:paraId="76FF0437" w14:textId="77777777" w:rsidR="008D6F3B" w:rsidRPr="006B3F59" w:rsidRDefault="008D6F3B" w:rsidP="008D6F3B">
      <w:pPr>
        <w:pStyle w:val="Odrky1"/>
        <w:rPr>
          <w:rFonts w:eastAsia="UniversCE-CondensedBold"/>
          <w:lang w:eastAsia="zh-CN"/>
        </w:rPr>
      </w:pPr>
      <w:r w:rsidRPr="006B3F59">
        <w:t>3.5.1 Omezit negativní vlivy suburbanizace na ekologickou stabilitu krajiny</w:t>
      </w:r>
    </w:p>
    <w:p w14:paraId="30519A6F" w14:textId="77777777" w:rsidR="008D6F3B" w:rsidRPr="006B3F59" w:rsidRDefault="008D6F3B" w:rsidP="008D6F3B">
      <w:pPr>
        <w:pStyle w:val="Odrky1"/>
        <w:numPr>
          <w:ilvl w:val="0"/>
          <w:numId w:val="0"/>
        </w:numPr>
      </w:pPr>
      <w:r w:rsidRPr="006B3F59">
        <w:t>Hodnocení vztahu vůči posuzovanému dokumentu:</w:t>
      </w:r>
    </w:p>
    <w:tbl>
      <w:tblPr>
        <w:tblStyle w:val="Mkatabulky"/>
        <w:tblW w:w="0" w:type="auto"/>
        <w:tblLook w:val="04A0" w:firstRow="1" w:lastRow="0" w:firstColumn="1" w:lastColumn="0" w:noHBand="0" w:noVBand="1"/>
      </w:tblPr>
      <w:tblGrid>
        <w:gridCol w:w="3209"/>
        <w:gridCol w:w="1181"/>
        <w:gridCol w:w="5238"/>
      </w:tblGrid>
      <w:tr w:rsidR="008D6F3B" w:rsidRPr="006B3F59" w14:paraId="0885A082" w14:textId="77777777" w:rsidTr="00B34C98">
        <w:tc>
          <w:tcPr>
            <w:tcW w:w="3209" w:type="dxa"/>
          </w:tcPr>
          <w:p w14:paraId="459E4FE4" w14:textId="77777777" w:rsidR="008D6F3B" w:rsidRPr="006B3F59" w:rsidRDefault="008D6F3B" w:rsidP="00B34C98">
            <w:r w:rsidRPr="006B3F59">
              <w:t>Relevantní cíl</w:t>
            </w:r>
          </w:p>
        </w:tc>
        <w:tc>
          <w:tcPr>
            <w:tcW w:w="1181" w:type="dxa"/>
          </w:tcPr>
          <w:p w14:paraId="656BC72D" w14:textId="77777777" w:rsidR="008D6F3B" w:rsidRPr="006B3F59" w:rsidRDefault="008D6F3B" w:rsidP="00B34C98">
            <w:r w:rsidRPr="006B3F59">
              <w:t>Vzájemná vazba</w:t>
            </w:r>
          </w:p>
        </w:tc>
        <w:tc>
          <w:tcPr>
            <w:tcW w:w="5238" w:type="dxa"/>
          </w:tcPr>
          <w:p w14:paraId="72C4F205" w14:textId="77777777" w:rsidR="008D6F3B" w:rsidRPr="006B3F59" w:rsidRDefault="008D6F3B" w:rsidP="00B34C98">
            <w:r w:rsidRPr="006B3F59">
              <w:t>Komentář</w:t>
            </w:r>
          </w:p>
        </w:tc>
      </w:tr>
      <w:tr w:rsidR="008D6F3B" w:rsidRPr="006B3F59" w14:paraId="4E3147FE" w14:textId="77777777" w:rsidTr="00B34C98">
        <w:tc>
          <w:tcPr>
            <w:tcW w:w="3209" w:type="dxa"/>
          </w:tcPr>
          <w:p w14:paraId="096B43EB" w14:textId="77777777" w:rsidR="008D6F3B" w:rsidRPr="006B3F59" w:rsidRDefault="008D6F3B" w:rsidP="00B34C98">
            <w:pPr>
              <w:pStyle w:val="Odrky1"/>
              <w:numPr>
                <w:ilvl w:val="0"/>
                <w:numId w:val="0"/>
              </w:numPr>
              <w:ind w:left="169"/>
            </w:pPr>
            <w:r w:rsidRPr="006B3F59">
              <w:t>2.5.1 Omezit rozšiřování zástavby do volné krajiny</w:t>
            </w:r>
          </w:p>
        </w:tc>
        <w:tc>
          <w:tcPr>
            <w:tcW w:w="1181" w:type="dxa"/>
          </w:tcPr>
          <w:p w14:paraId="731933AF" w14:textId="77777777" w:rsidR="008D6F3B" w:rsidRPr="006B3F59" w:rsidRDefault="008D6F3B" w:rsidP="00B34C98">
            <w:r w:rsidRPr="006B3F59">
              <w:t xml:space="preserve">1 negativní </w:t>
            </w:r>
          </w:p>
        </w:tc>
        <w:tc>
          <w:tcPr>
            <w:tcW w:w="5238" w:type="dxa"/>
          </w:tcPr>
          <w:p w14:paraId="28E0ABF3" w14:textId="6982D077" w:rsidR="008D6F3B" w:rsidRPr="006B3F59" w:rsidRDefault="008D6F3B" w:rsidP="00B34C98">
            <w:r w:rsidRPr="006B3F59">
              <w:t xml:space="preserve">Slabá negativní potenciální vazba, posuzovaná koncepce vymezuje </w:t>
            </w:r>
            <w:r w:rsidR="007D2198" w:rsidRPr="006B3F59">
              <w:t>rozšíření ploch</w:t>
            </w:r>
            <w:r w:rsidRPr="006B3F59">
              <w:t xml:space="preserve"> pro dopravní stavbu </w:t>
            </w:r>
            <w:r w:rsidR="007D2198" w:rsidRPr="006B3F59">
              <w:t>v blízkosti chráněných území</w:t>
            </w:r>
            <w:r w:rsidRPr="006B3F59">
              <w:t xml:space="preserve">. </w:t>
            </w:r>
            <w:r w:rsidR="00AB4563" w:rsidRPr="006B3F59">
              <w:t>Zároveň jsou vymezeny nové zastavitelné plochy ve volné krajině</w:t>
            </w:r>
            <w:r w:rsidRPr="006B3F59">
              <w:t xml:space="preserve">, konkrétní ovlivnění a zda k němu vůbec dojde, bude záviset na konkrétním umístění, technickém řešení a provedení </w:t>
            </w:r>
            <w:r w:rsidR="00F728F6" w:rsidRPr="006B3F59">
              <w:t>záměrů v území</w:t>
            </w:r>
            <w:r w:rsidRPr="006B3F59">
              <w:t xml:space="preserve">. </w:t>
            </w:r>
          </w:p>
        </w:tc>
      </w:tr>
      <w:tr w:rsidR="008D6F3B" w:rsidRPr="006B3F59" w14:paraId="21A823A6" w14:textId="77777777" w:rsidTr="00B34C98">
        <w:tc>
          <w:tcPr>
            <w:tcW w:w="3209" w:type="dxa"/>
          </w:tcPr>
          <w:p w14:paraId="53A3B663" w14:textId="77777777" w:rsidR="008D6F3B" w:rsidRPr="006B3F59" w:rsidRDefault="008D6F3B" w:rsidP="00B34C98">
            <w:pPr>
              <w:pStyle w:val="Odrky1"/>
              <w:numPr>
                <w:ilvl w:val="0"/>
                <w:numId w:val="0"/>
              </w:numPr>
              <w:ind w:left="169"/>
            </w:pPr>
            <w:r w:rsidRPr="006B3F59">
              <w:t xml:space="preserve">2.5.3 Zlepšovat prostupnost krajiny pro biotu,  </w:t>
            </w:r>
          </w:p>
          <w:p w14:paraId="4A98C902" w14:textId="77777777" w:rsidR="008D6F3B" w:rsidRPr="006B3F59" w:rsidRDefault="008D6F3B" w:rsidP="00B34C98">
            <w:pPr>
              <w:pStyle w:val="Podnadpis1"/>
              <w:spacing w:before="120"/>
              <w:ind w:left="169" w:hanging="142"/>
              <w:jc w:val="both"/>
              <w:rPr>
                <w:b w:val="0"/>
                <w:i w:val="0"/>
                <w:color w:val="auto"/>
              </w:rPr>
            </w:pPr>
          </w:p>
        </w:tc>
        <w:tc>
          <w:tcPr>
            <w:tcW w:w="1181" w:type="dxa"/>
          </w:tcPr>
          <w:p w14:paraId="626431C8" w14:textId="0A9D05BB" w:rsidR="008D6F3B" w:rsidRPr="006B3F59" w:rsidRDefault="008D6F3B" w:rsidP="00B34C98">
            <w:r w:rsidRPr="006B3F59">
              <w:t>1 negativní</w:t>
            </w:r>
            <w:r w:rsidR="00F728F6" w:rsidRPr="006B3F59">
              <w:t xml:space="preserve"> až 1 pozitivní</w:t>
            </w:r>
            <w:r w:rsidRPr="006B3F59">
              <w:t xml:space="preserve"> </w:t>
            </w:r>
          </w:p>
        </w:tc>
        <w:tc>
          <w:tcPr>
            <w:tcW w:w="5238" w:type="dxa"/>
          </w:tcPr>
          <w:p w14:paraId="38D6C09D" w14:textId="5F3BB246" w:rsidR="008D6F3B" w:rsidRPr="006B3F59" w:rsidRDefault="008D6F3B" w:rsidP="00B34C98">
            <w:r w:rsidRPr="006B3F59">
              <w:t xml:space="preserve">Slabá negativní potenciální vazba, </w:t>
            </w:r>
            <w:r w:rsidR="00AB4563" w:rsidRPr="006B3F59">
              <w:t>posuzovaná koncepce</w:t>
            </w:r>
            <w:r w:rsidRPr="006B3F59">
              <w:t xml:space="preserve"> vymezuje </w:t>
            </w:r>
            <w:r w:rsidR="00F728F6" w:rsidRPr="006B3F59">
              <w:t>plochy</w:t>
            </w:r>
            <w:r w:rsidRPr="006B3F59">
              <w:t xml:space="preserve"> pro dopravní stavbu v souběhu s již existujícími koridory dopravních a technických sítí</w:t>
            </w:r>
            <w:r w:rsidR="00F728F6" w:rsidRPr="006B3F59">
              <w:t>, rozšíření zastavitelného území do volné krajiny a</w:t>
            </w:r>
            <w:r w:rsidRPr="006B3F59">
              <w:t xml:space="preserve"> </w:t>
            </w:r>
            <w:r w:rsidR="00AB4563" w:rsidRPr="006B3F59">
              <w:t>využití brownfields pro územní rozvoj.</w:t>
            </w:r>
            <w:r w:rsidR="00F728F6" w:rsidRPr="006B3F59">
              <w:t xml:space="preserve"> Vymezeny jsou i plochy pro krajinnou a izolační zeleň.</w:t>
            </w:r>
            <w:r w:rsidR="00AB4563" w:rsidRPr="006B3F59">
              <w:t xml:space="preserve"> </w:t>
            </w:r>
            <w:r w:rsidR="00F728F6" w:rsidRPr="006B3F59">
              <w:t>Konkrétní</w:t>
            </w:r>
            <w:r w:rsidRPr="006B3F59">
              <w:t xml:space="preserve"> ovlivnění bude záviset na konkrétním technickém řešení využití </w:t>
            </w:r>
            <w:r w:rsidR="00F728F6" w:rsidRPr="006B3F59">
              <w:t>území</w:t>
            </w:r>
            <w:r w:rsidRPr="006B3F59">
              <w:t xml:space="preserve">. </w:t>
            </w:r>
          </w:p>
        </w:tc>
      </w:tr>
      <w:tr w:rsidR="008D6F3B" w:rsidRPr="006B3F59" w14:paraId="2D2E8FEB" w14:textId="77777777" w:rsidTr="00B34C98">
        <w:tc>
          <w:tcPr>
            <w:tcW w:w="3209" w:type="dxa"/>
          </w:tcPr>
          <w:p w14:paraId="4A6C5E43" w14:textId="77777777" w:rsidR="008D6F3B" w:rsidRPr="006B3F59" w:rsidRDefault="008D6F3B" w:rsidP="00B34C98">
            <w:pPr>
              <w:pStyle w:val="Odrky1"/>
              <w:numPr>
                <w:ilvl w:val="0"/>
                <w:numId w:val="0"/>
              </w:numPr>
              <w:ind w:left="169"/>
              <w:rPr>
                <w:rFonts w:eastAsia="UniversCE-CondensedBold"/>
                <w:lang w:eastAsia="zh-CN"/>
              </w:rPr>
            </w:pPr>
            <w:r w:rsidRPr="006B3F59">
              <w:t>3.5.1 Omezit negativní vlivy suburbanizace na ekologickou stabilitu krajiny</w:t>
            </w:r>
          </w:p>
          <w:p w14:paraId="3A690AB4" w14:textId="77777777" w:rsidR="008D6F3B" w:rsidRPr="006B3F59" w:rsidRDefault="008D6F3B" w:rsidP="00B34C98">
            <w:pPr>
              <w:pStyle w:val="Podnadpis1"/>
              <w:spacing w:before="120"/>
              <w:ind w:left="169" w:hanging="142"/>
              <w:jc w:val="both"/>
              <w:rPr>
                <w:b w:val="0"/>
                <w:i w:val="0"/>
                <w:color w:val="auto"/>
              </w:rPr>
            </w:pPr>
          </w:p>
        </w:tc>
        <w:tc>
          <w:tcPr>
            <w:tcW w:w="1181" w:type="dxa"/>
          </w:tcPr>
          <w:p w14:paraId="6ACC777A" w14:textId="78317804" w:rsidR="008D6F3B" w:rsidRPr="006B3F59" w:rsidRDefault="008D6F3B" w:rsidP="00B34C98">
            <w:r w:rsidRPr="006B3F59">
              <w:t>1 negativní</w:t>
            </w:r>
            <w:r w:rsidR="00AB4563" w:rsidRPr="006B3F59">
              <w:t xml:space="preserve"> až 2 pozitivní </w:t>
            </w:r>
            <w:r w:rsidRPr="006B3F59">
              <w:t xml:space="preserve"> </w:t>
            </w:r>
          </w:p>
        </w:tc>
        <w:tc>
          <w:tcPr>
            <w:tcW w:w="5238" w:type="dxa"/>
          </w:tcPr>
          <w:p w14:paraId="4110663A" w14:textId="16D2DB4A" w:rsidR="008D6F3B" w:rsidRPr="006B3F59" w:rsidRDefault="008D6F3B" w:rsidP="00B34C98">
            <w:r w:rsidRPr="006B3F59">
              <w:t>Slabá negativní</w:t>
            </w:r>
            <w:r w:rsidR="00F728F6" w:rsidRPr="006B3F59">
              <w:t xml:space="preserve"> až</w:t>
            </w:r>
            <w:r w:rsidR="00AB4563" w:rsidRPr="006B3F59">
              <w:t xml:space="preserve"> silná pozitivní</w:t>
            </w:r>
            <w:r w:rsidRPr="006B3F59">
              <w:t xml:space="preserve"> potenciální vazba,</w:t>
            </w:r>
            <w:r w:rsidR="00AB4563" w:rsidRPr="006B3F59">
              <w:t xml:space="preserve"> změna rozšiřuje zastavitelné plochy do krajiny, na druhou stranu však vytváří územní podmínky pro zlepšení dopravní obsluhy území, využití brownfields a prevenci suburbanizace v okolí aglomerace. K</w:t>
            </w:r>
            <w:r w:rsidRPr="006B3F59">
              <w:t xml:space="preserve">onkrétní ovlivnění a zda k němu vůbec dojde, bude záviset na konkrétním umístění, technickém řešení a provedení vlastní stavby. </w:t>
            </w:r>
          </w:p>
        </w:tc>
      </w:tr>
    </w:tbl>
    <w:p w14:paraId="11F6451D" w14:textId="300615F9" w:rsidR="008D6F3B" w:rsidRPr="006B3F59" w:rsidRDefault="008D6F3B" w:rsidP="008D6F3B">
      <w:pPr>
        <w:rPr>
          <w:lang w:eastAsia="cs-CZ"/>
        </w:rPr>
      </w:pPr>
      <w:r w:rsidRPr="006B3F59">
        <w:rPr>
          <w:i/>
        </w:rPr>
        <w:t xml:space="preserve">Komentář: Řešená koncepce vkládá </w:t>
      </w:r>
      <w:r w:rsidR="00F728F6" w:rsidRPr="006B3F59">
        <w:rPr>
          <w:i/>
        </w:rPr>
        <w:t>plochy</w:t>
      </w:r>
      <w:r w:rsidRPr="006B3F59">
        <w:rPr>
          <w:i/>
        </w:rPr>
        <w:t xml:space="preserve"> pro umístění liniové stavby</w:t>
      </w:r>
      <w:r w:rsidR="00AB4563" w:rsidRPr="006B3F59">
        <w:rPr>
          <w:i/>
        </w:rPr>
        <w:t xml:space="preserve"> a zastavitelných ploch</w:t>
      </w:r>
      <w:r w:rsidRPr="006B3F59">
        <w:rPr>
          <w:i/>
        </w:rPr>
        <w:t xml:space="preserve"> s bariérovým efektem do území</w:t>
      </w:r>
      <w:r w:rsidR="00F728F6" w:rsidRPr="006B3F59">
        <w:rPr>
          <w:i/>
        </w:rPr>
        <w:t xml:space="preserve"> v jehož blízkosti</w:t>
      </w:r>
      <w:r w:rsidRPr="006B3F59">
        <w:rPr>
          <w:i/>
        </w:rPr>
        <w:t xml:space="preserve"> jsou přítomny chráněné environmentální hodnoty, z tohoto pohledu je třeba konstatovat formálně negativní vazbu vůči Strategii ochrany biologické rozmanitosti. Nicméně je třeba konstatovat, že v posuzované koncepci jsou obsažená územně plánovací opatření pro minimalizaci reálných </w:t>
      </w:r>
      <w:r w:rsidRPr="006B3F59">
        <w:rPr>
          <w:i/>
        </w:rPr>
        <w:lastRenderedPageBreak/>
        <w:t xml:space="preserve">vlivů na environmentálně cenné části území, zejména z hlediska volby trasy průchodu </w:t>
      </w:r>
      <w:r w:rsidR="00F728F6" w:rsidRPr="006B3F59">
        <w:rPr>
          <w:i/>
        </w:rPr>
        <w:t>TT</w:t>
      </w:r>
      <w:r w:rsidRPr="006B3F59">
        <w:rPr>
          <w:i/>
        </w:rPr>
        <w:t xml:space="preserve"> územím</w:t>
      </w:r>
      <w:r w:rsidR="00AB4563" w:rsidRPr="006B3F59">
        <w:rPr>
          <w:i/>
        </w:rPr>
        <w:t xml:space="preserve"> a rozvojem transformačních ploch</w:t>
      </w:r>
      <w:r w:rsidRPr="006B3F59">
        <w:rPr>
          <w:i/>
        </w:rPr>
        <w:t>.</w:t>
      </w:r>
      <w:r w:rsidR="00F728F6" w:rsidRPr="006B3F59">
        <w:rPr>
          <w:bCs/>
        </w:rPr>
        <w:t xml:space="preserve"> </w:t>
      </w:r>
      <w:r w:rsidR="00F728F6" w:rsidRPr="006B3F59">
        <w:rPr>
          <w:bCs/>
          <w:i/>
          <w:iCs/>
        </w:rPr>
        <w:t>Návrh se snaží v maximální možné míře oddálit obytnou zástavbu od hrany Podbabských skal. Záměrem je zároveň směřovat atraktivní rekreační plochy i na jiná místa území, a tím snížit počet návštěvníků těchto chráněných oblastí. V těsném kontaktu s řešeným územím Nového Sedlce je Přírodní park Šárka – Lysolaje, který navazuje na jižní až jihozápadní hranu území</w:t>
      </w:r>
      <w:r w:rsidR="00F728F6" w:rsidRPr="006B3F59">
        <w:rPr>
          <w:b/>
          <w:bCs/>
          <w:i/>
          <w:iCs/>
        </w:rPr>
        <w:t>.</w:t>
      </w:r>
      <w:r w:rsidR="00F728F6" w:rsidRPr="006B3F59">
        <w:rPr>
          <w:bCs/>
        </w:rPr>
        <w:t xml:space="preserve"> </w:t>
      </w:r>
      <w:r w:rsidRPr="006B3F59">
        <w:rPr>
          <w:i/>
        </w:rPr>
        <w:t xml:space="preserve">Na této strategické úrovni je třeba konstatovat, že ve </w:t>
      </w:r>
      <w:r w:rsidR="00F728F6" w:rsidRPr="006B3F59">
        <w:rPr>
          <w:i/>
        </w:rPr>
        <w:t>vymezených plochách</w:t>
      </w:r>
      <w:r w:rsidRPr="006B3F59">
        <w:rPr>
          <w:i/>
        </w:rPr>
        <w:t xml:space="preserve"> je možné uplatnit taková opatření při projektové přípravě a vlastní realizaci stavby, aby nedošlo k významně negativnímu vlivu na životní prostředí. Na této strategické úrovni nepředpokládáme významný zásah do populací nebo životních podmínek chráněných druhů. Dotčení konkrétních druhů, resp. biotopů je třeba řešit se znalostí konkrétní podoby umisťovaných záměrů a způsobu jejich realizace v navazujících řízeních. Pro zásah do chráněných území a biotopů chráněných druhů je třeba vyžádat si výjimku dle zákona č. 114/1992 Sb., o ochraně přírody a krajiny, v platném znění.</w:t>
      </w:r>
    </w:p>
    <w:p w14:paraId="5BC91BF9" w14:textId="72BF0160" w:rsidR="00CC78F3" w:rsidRPr="006B3F59" w:rsidRDefault="00CC78F3" w:rsidP="00CC78F3">
      <w:pPr>
        <w:pStyle w:val="Podnadpis1"/>
      </w:pPr>
      <w:r w:rsidRPr="006B3F59">
        <w:t>Akční plán ČR pro zdraví a životní prostředí – NEHAP</w:t>
      </w:r>
    </w:p>
    <w:p w14:paraId="4D430A3B" w14:textId="77777777" w:rsidR="00CC78F3" w:rsidRPr="006B3F59" w:rsidRDefault="00CC78F3" w:rsidP="00CC78F3">
      <w:pPr>
        <w:rPr>
          <w:rFonts w:cs="Arial"/>
        </w:rPr>
      </w:pPr>
      <w:r w:rsidRPr="006B3F59">
        <w:rPr>
          <w:rFonts w:cs="Arial"/>
        </w:rPr>
        <w:t>NEHAP ČR byl přijat usnesením vlády ČR č. 810 z roku 1998. Dokument obsahuje soubor doporučení směřujících ke zlepšení životního prostředí a zdravotního stavu populace v ČR. Zabývá se širokou škálou problémů životního prostředí a koncepční podpory zdraví. Na NEHAP navazují místní Akční plány zdraví a životního prostředí.</w:t>
      </w:r>
    </w:p>
    <w:p w14:paraId="1FEC4D0E" w14:textId="77777777" w:rsidR="00CC78F3" w:rsidRPr="006B3F59" w:rsidRDefault="00CC78F3" w:rsidP="00CC78F3">
      <w:pPr>
        <w:rPr>
          <w:rFonts w:cs="Arial"/>
        </w:rPr>
      </w:pPr>
      <w:r w:rsidRPr="006B3F59">
        <w:rPr>
          <w:rFonts w:cs="Arial"/>
        </w:rPr>
        <w:t>Z analýzy vývoje stavu životního prostředí v České republice vyplývají prioritní problémy politiky životního prostředí trvalého charakteru:</w:t>
      </w:r>
    </w:p>
    <w:p w14:paraId="4754E0D6" w14:textId="77777777" w:rsidR="00CC78F3" w:rsidRPr="006B3F59" w:rsidRDefault="00CC78F3" w:rsidP="00CC78F3">
      <w:pPr>
        <w:pStyle w:val="Odrky1"/>
      </w:pPr>
      <w:r w:rsidRPr="006B3F59">
        <w:t>Ochrana klimatu cestou snižování emisí "skleníkových" plynů;</w:t>
      </w:r>
    </w:p>
    <w:p w14:paraId="1E4247E9" w14:textId="77777777" w:rsidR="00CC78F3" w:rsidRPr="006B3F59" w:rsidRDefault="00CC78F3" w:rsidP="00CC78F3">
      <w:pPr>
        <w:pStyle w:val="Odrky1"/>
      </w:pPr>
      <w:r w:rsidRPr="006B3F59">
        <w:t>Ochrana ozónové vrstvy Země;</w:t>
      </w:r>
    </w:p>
    <w:p w14:paraId="6FCD8B23" w14:textId="77777777" w:rsidR="00CC78F3" w:rsidRPr="006B3F59" w:rsidRDefault="00CC78F3" w:rsidP="00CC78F3">
      <w:pPr>
        <w:pStyle w:val="Odrky1"/>
      </w:pPr>
      <w:r w:rsidRPr="006B3F59">
        <w:t>Ochrana biologické a krajinné rozmanitosti;</w:t>
      </w:r>
    </w:p>
    <w:p w14:paraId="3B5FA138" w14:textId="77777777" w:rsidR="00CC78F3" w:rsidRPr="006B3F59" w:rsidRDefault="00CC78F3" w:rsidP="00CC78F3">
      <w:pPr>
        <w:pStyle w:val="Odrky1"/>
      </w:pPr>
      <w:r w:rsidRPr="006B3F59">
        <w:t>Zvyšování povědomí občanů o významu ochrany životního prostředí.</w:t>
      </w:r>
    </w:p>
    <w:p w14:paraId="5EB8C393" w14:textId="77777777" w:rsidR="00CC78F3" w:rsidRPr="006B3F59" w:rsidRDefault="00CC78F3" w:rsidP="00CC78F3">
      <w:pPr>
        <w:rPr>
          <w:rFonts w:cs="Arial"/>
        </w:rPr>
      </w:pPr>
      <w:r w:rsidRPr="006B3F59">
        <w:rPr>
          <w:rFonts w:cs="Arial"/>
        </w:rPr>
        <w:t>Ve střednědobém horizontu je prvořadou prioritou oblast ochrany vod a půdy a bude narůstat význam dalších aktivit:</w:t>
      </w:r>
    </w:p>
    <w:p w14:paraId="7133BD42" w14:textId="77777777" w:rsidR="00CC78F3" w:rsidRPr="006B3F59" w:rsidRDefault="00CC78F3" w:rsidP="00CC78F3">
      <w:pPr>
        <w:pStyle w:val="Odrky1"/>
      </w:pPr>
      <w:r w:rsidRPr="006B3F59">
        <w:t>Postupné zvyšování schopnosti krajiny zadržovat vodu a odolnosti krajiny vůči vodní erozi;</w:t>
      </w:r>
    </w:p>
    <w:p w14:paraId="68F08B87" w14:textId="77777777" w:rsidR="00CC78F3" w:rsidRPr="006B3F59" w:rsidRDefault="00CC78F3" w:rsidP="00CC78F3">
      <w:pPr>
        <w:pStyle w:val="Odrky1"/>
      </w:pPr>
      <w:r w:rsidRPr="006B3F59">
        <w:t>pokračující rekonstrukce lesních porostů v oblastech poškozených emisemi;</w:t>
      </w:r>
    </w:p>
    <w:p w14:paraId="6F25B24D" w14:textId="77777777" w:rsidR="00CC78F3" w:rsidRPr="006B3F59" w:rsidRDefault="00CC78F3" w:rsidP="00CC78F3">
      <w:pPr>
        <w:pStyle w:val="Odrky1"/>
      </w:pPr>
      <w:r w:rsidRPr="006B3F59">
        <w:t>pokračující obnova území devastovaných hornickou činností;</w:t>
      </w:r>
    </w:p>
    <w:p w14:paraId="14362245" w14:textId="77777777" w:rsidR="00CC78F3" w:rsidRPr="006B3F59" w:rsidRDefault="00CC78F3" w:rsidP="00CC78F3">
      <w:pPr>
        <w:pStyle w:val="Odrky1"/>
      </w:pPr>
      <w:r w:rsidRPr="006B3F59">
        <w:t>zajištění takové struktury využívání území, která povede ke zlepšení přírodní infrastruktury a bude podmínkou efektivity složkové ochrany (ochrana vod, horninové prostředí, půdy a klimatu a snižování hlučnosti).</w:t>
      </w:r>
    </w:p>
    <w:p w14:paraId="7BCD72ED" w14:textId="77777777" w:rsidR="00CC78F3" w:rsidRPr="006B3F59" w:rsidRDefault="00CC78F3" w:rsidP="00CC78F3">
      <w:pPr>
        <w:spacing w:after="120"/>
      </w:pPr>
      <w:r w:rsidRPr="006B3F59">
        <w:t>Z výše uvedených priorit vyplývají následující cíle (relevantní vzhledem k SEA posuzované koncepce):</w:t>
      </w:r>
    </w:p>
    <w:p w14:paraId="13BEE157" w14:textId="77777777" w:rsidR="00CC78F3" w:rsidRPr="006B3F59" w:rsidRDefault="00CC78F3" w:rsidP="00CC78F3">
      <w:pPr>
        <w:pStyle w:val="Odrky2"/>
      </w:pPr>
      <w:r w:rsidRPr="006B3F59">
        <w:t>dále zvyšovat kvalitu ovzduší cestou snižování emisí škodlivin, včetně tzv. skleníkových plynů;</w:t>
      </w:r>
    </w:p>
    <w:p w14:paraId="1CD7882C" w14:textId="77777777" w:rsidR="00CC78F3" w:rsidRPr="006B3F59" w:rsidRDefault="00CC78F3" w:rsidP="00CC78F3">
      <w:pPr>
        <w:pStyle w:val="Odrky2"/>
      </w:pPr>
      <w:r w:rsidRPr="006B3F59">
        <w:t>chránit půdu jako základní složku životního prostředí s důrazem na zabezpečení jejích funkcí;</w:t>
      </w:r>
    </w:p>
    <w:p w14:paraId="138FB0FE" w14:textId="77777777" w:rsidR="00CC78F3" w:rsidRPr="006B3F59" w:rsidRDefault="00CC78F3" w:rsidP="00CC78F3">
      <w:pPr>
        <w:pStyle w:val="Odrky2"/>
      </w:pPr>
      <w:r w:rsidRPr="006B3F59">
        <w:t>omezovat negativní působení hluku na zdraví;</w:t>
      </w:r>
    </w:p>
    <w:p w14:paraId="0A85ABCF" w14:textId="77777777" w:rsidR="00CC78F3" w:rsidRPr="006B3F59" w:rsidRDefault="00CC78F3" w:rsidP="00CC78F3">
      <w:pPr>
        <w:pStyle w:val="Odrky2"/>
      </w:pPr>
      <w:r w:rsidRPr="006B3F59">
        <w:t>snižovat expozici hluku prostředky územního plánování;</w:t>
      </w:r>
    </w:p>
    <w:p w14:paraId="451CEC21" w14:textId="77777777" w:rsidR="00CC78F3" w:rsidRPr="006B3F59" w:rsidRDefault="00CC78F3" w:rsidP="00CC78F3">
      <w:r w:rsidRPr="006B3F59">
        <w:t>Hodnocení vztahu vůči posuzovanému dokumentu:</w:t>
      </w:r>
    </w:p>
    <w:tbl>
      <w:tblPr>
        <w:tblStyle w:val="Mkatabulky"/>
        <w:tblW w:w="0" w:type="auto"/>
        <w:tblLook w:val="04A0" w:firstRow="1" w:lastRow="0" w:firstColumn="1" w:lastColumn="0" w:noHBand="0" w:noVBand="1"/>
      </w:tblPr>
      <w:tblGrid>
        <w:gridCol w:w="3050"/>
        <w:gridCol w:w="1695"/>
        <w:gridCol w:w="4883"/>
      </w:tblGrid>
      <w:tr w:rsidR="00CC78F3" w:rsidRPr="006B3F59" w14:paraId="3D4CB523" w14:textId="77777777" w:rsidTr="00F658EF">
        <w:tc>
          <w:tcPr>
            <w:tcW w:w="3050" w:type="dxa"/>
          </w:tcPr>
          <w:p w14:paraId="019B9638" w14:textId="77777777" w:rsidR="00CC78F3" w:rsidRPr="006B3F59" w:rsidRDefault="00CC78F3" w:rsidP="00B34C98">
            <w:r w:rsidRPr="006B3F59">
              <w:t>Relevantní cíl</w:t>
            </w:r>
          </w:p>
        </w:tc>
        <w:tc>
          <w:tcPr>
            <w:tcW w:w="1695" w:type="dxa"/>
          </w:tcPr>
          <w:p w14:paraId="48DE88DB" w14:textId="77777777" w:rsidR="00CC78F3" w:rsidRPr="006B3F59" w:rsidRDefault="00CC78F3" w:rsidP="00B34C98">
            <w:r w:rsidRPr="006B3F59">
              <w:t>Vzájemná vazba</w:t>
            </w:r>
          </w:p>
        </w:tc>
        <w:tc>
          <w:tcPr>
            <w:tcW w:w="4883" w:type="dxa"/>
          </w:tcPr>
          <w:p w14:paraId="1C352157" w14:textId="77777777" w:rsidR="00CC78F3" w:rsidRPr="006B3F59" w:rsidRDefault="00CC78F3" w:rsidP="00B34C98">
            <w:r w:rsidRPr="006B3F59">
              <w:t>Komentář</w:t>
            </w:r>
          </w:p>
        </w:tc>
      </w:tr>
      <w:tr w:rsidR="00F658EF" w:rsidRPr="006B3F59" w14:paraId="1A7F26A4" w14:textId="77777777" w:rsidTr="00F658EF">
        <w:tc>
          <w:tcPr>
            <w:tcW w:w="3050" w:type="dxa"/>
          </w:tcPr>
          <w:p w14:paraId="42CDD1D6" w14:textId="77777777" w:rsidR="00F658EF" w:rsidRPr="006B3F59" w:rsidRDefault="00F658EF" w:rsidP="00F658EF">
            <w:pPr>
              <w:pStyle w:val="Odrky2"/>
              <w:ind w:left="174" w:hanging="174"/>
            </w:pPr>
            <w:r w:rsidRPr="006B3F59">
              <w:t>dále zvyšovat kvalitu ovzduší cestou snižování emisí škodlivin, včetně tzv. skleníkových plynů;</w:t>
            </w:r>
          </w:p>
        </w:tc>
        <w:tc>
          <w:tcPr>
            <w:tcW w:w="1695" w:type="dxa"/>
          </w:tcPr>
          <w:p w14:paraId="6CF7DB93" w14:textId="36E841AF" w:rsidR="00F658EF" w:rsidRPr="006B3F59" w:rsidRDefault="00F658EF" w:rsidP="00F658EF">
            <w:r w:rsidRPr="006B3F59">
              <w:t>1 zprostředkovaně pozitivní</w:t>
            </w:r>
          </w:p>
        </w:tc>
        <w:tc>
          <w:tcPr>
            <w:tcW w:w="4883" w:type="dxa"/>
          </w:tcPr>
          <w:p w14:paraId="7BAF98A0" w14:textId="0E15FC2E" w:rsidR="00F658EF" w:rsidRPr="006B3F59" w:rsidRDefault="00F658EF" w:rsidP="00F658EF">
            <w:r w:rsidRPr="006B3F59">
              <w:t xml:space="preserve">Mírně </w:t>
            </w:r>
            <w:r w:rsidR="00445EBD">
              <w:t>pozitivní</w:t>
            </w:r>
            <w:r w:rsidR="00445EBD" w:rsidRPr="006B3F59">
              <w:t xml:space="preserve"> </w:t>
            </w:r>
            <w:r w:rsidRPr="006B3F59">
              <w:t xml:space="preserve">potenciální vazba z hlediska </w:t>
            </w:r>
            <w:r w:rsidR="00445EBD">
              <w:t>ovzduší</w:t>
            </w:r>
            <w:r w:rsidRPr="006B3F59">
              <w:t>. Posuzovaná koncepce vymezuje smíšené</w:t>
            </w:r>
            <w:r w:rsidR="00F728F6" w:rsidRPr="006B3F59">
              <w:t xml:space="preserve">, smíšené a rezidenční plochy a plochy veřejné vybavenosti </w:t>
            </w:r>
            <w:r w:rsidRPr="006B3F59">
              <w:t xml:space="preserve">v podvyužitém území </w:t>
            </w:r>
            <w:r w:rsidR="00F728F6" w:rsidRPr="006B3F59">
              <w:t xml:space="preserve">v intravilánu </w:t>
            </w:r>
            <w:r w:rsidRPr="006B3F59">
              <w:t>města</w:t>
            </w:r>
            <w:r w:rsidR="00F728F6" w:rsidRPr="006B3F59">
              <w:t xml:space="preserve"> a zároveň vybavuje území kapacitní</w:t>
            </w:r>
            <w:r w:rsidRPr="006B3F59">
              <w:t xml:space="preserve"> bezemisní hromadnou </w:t>
            </w:r>
            <w:r w:rsidR="00F728F6" w:rsidRPr="006B3F59">
              <w:t>d</w:t>
            </w:r>
            <w:r w:rsidRPr="006B3F59">
              <w:t>oprav</w:t>
            </w:r>
            <w:r w:rsidR="00F728F6" w:rsidRPr="006B3F59">
              <w:t>ou v koordinaci s dobudováním dopravního systému jako celku, včetně záchytných kapacit a přestupního terminálu</w:t>
            </w:r>
            <w:r w:rsidRPr="006B3F59">
              <w:t xml:space="preserve"> jako prevence suburbanizace</w:t>
            </w:r>
            <w:r w:rsidR="00445EBD">
              <w:t>,</w:t>
            </w:r>
            <w:r w:rsidRPr="006B3F59">
              <w:t xml:space="preserve"> a s tím spojených zvýšených dopravních vazeb. </w:t>
            </w:r>
          </w:p>
        </w:tc>
      </w:tr>
      <w:tr w:rsidR="00FA6FBD" w:rsidRPr="006B3F59" w14:paraId="3D3543EA" w14:textId="77777777" w:rsidTr="00F658EF">
        <w:tc>
          <w:tcPr>
            <w:tcW w:w="3050" w:type="dxa"/>
          </w:tcPr>
          <w:p w14:paraId="1AFA2671" w14:textId="77777777" w:rsidR="00FA6FBD" w:rsidRPr="006B3F59" w:rsidRDefault="00FA6FBD" w:rsidP="00FA6FBD">
            <w:pPr>
              <w:pStyle w:val="Odrky2"/>
              <w:ind w:left="174" w:hanging="174"/>
            </w:pPr>
            <w:r w:rsidRPr="006B3F59">
              <w:t>omezovat negativní působení hluku na zdraví;</w:t>
            </w:r>
          </w:p>
        </w:tc>
        <w:tc>
          <w:tcPr>
            <w:tcW w:w="1695" w:type="dxa"/>
          </w:tcPr>
          <w:p w14:paraId="09A16DC2" w14:textId="34024512" w:rsidR="00FA6FBD" w:rsidRPr="006B3F59" w:rsidRDefault="00FA6FBD" w:rsidP="00FA6FBD">
            <w:r w:rsidRPr="006B3F59">
              <w:t>1 negativní až 1 zprostředkovaně pozitivní</w:t>
            </w:r>
          </w:p>
        </w:tc>
        <w:tc>
          <w:tcPr>
            <w:tcW w:w="4883" w:type="dxa"/>
          </w:tcPr>
          <w:p w14:paraId="10FC6181" w14:textId="3B9E8B48" w:rsidR="00FA6FBD" w:rsidRPr="006B3F59" w:rsidRDefault="00FA6FBD" w:rsidP="00FA6FBD">
            <w:r w:rsidRPr="006B3F59">
              <w:t xml:space="preserve">Mírně negativní potenciální vazba z hlediska hlukové zátěže. Posuzovaná koncepce vymezuje smíšené, smíšené a rezidenční plochy a plochy veřejné vybavenosti v podvyužitém území v intravilánu města a zároveň vybavuje území kapacitní bezemisní hromadnou dopravou v koordinaci s dobudováním dopravního systému jako celku, včetně záchytných </w:t>
            </w:r>
            <w:r w:rsidRPr="006B3F59">
              <w:lastRenderedPageBreak/>
              <w:t>kapacit a přestupního terminálu jako prevence suburbanizace a s tím spojených zvýšených dopravních vazeb. Na druhou stranu dojde k vytvoření územních předpokladů pro vložení nového zdroje hlukové zátěže do území. Konkrétní ovlivnění a zda k němu vůbec dojde, bude záviset na konkrétním technickém řešení využití území.</w:t>
            </w:r>
          </w:p>
        </w:tc>
      </w:tr>
      <w:tr w:rsidR="00FA6FBD" w:rsidRPr="006B3F59" w14:paraId="0827EFCB" w14:textId="77777777" w:rsidTr="00F658EF">
        <w:tc>
          <w:tcPr>
            <w:tcW w:w="3050" w:type="dxa"/>
          </w:tcPr>
          <w:p w14:paraId="3F7B4EBC" w14:textId="77777777" w:rsidR="00FA6FBD" w:rsidRPr="006B3F59" w:rsidRDefault="00FA6FBD" w:rsidP="00FA6FBD">
            <w:pPr>
              <w:pStyle w:val="Odrky2"/>
              <w:ind w:left="174" w:hanging="174"/>
            </w:pPr>
            <w:r w:rsidRPr="006B3F59">
              <w:t>snižovat expozici hluku prostředky územního plánování;</w:t>
            </w:r>
          </w:p>
        </w:tc>
        <w:tc>
          <w:tcPr>
            <w:tcW w:w="1695" w:type="dxa"/>
          </w:tcPr>
          <w:p w14:paraId="78885D42" w14:textId="7E3084BE" w:rsidR="00FA6FBD" w:rsidRPr="006B3F59" w:rsidRDefault="00FA6FBD" w:rsidP="00FA6FBD">
            <w:r w:rsidRPr="006B3F59">
              <w:t>1 negativní až 1 zprostředkovaně pozitivní</w:t>
            </w:r>
          </w:p>
        </w:tc>
        <w:tc>
          <w:tcPr>
            <w:tcW w:w="4883" w:type="dxa"/>
          </w:tcPr>
          <w:p w14:paraId="226E9A73" w14:textId="02773E18" w:rsidR="00FA6FBD" w:rsidRPr="006B3F59" w:rsidRDefault="00FA6FBD" w:rsidP="00FA6FBD">
            <w:r w:rsidRPr="006B3F59">
              <w:t>Mírně negativní potenciální vazba z hlediska hlukové zátěže. Posuzovaná koncepce vymezuje smíšené, smíšené a rezidenční plochy a plochy veřejné vybavenosti v podvyužitém území v intravilánu města a zároveň vybavuje území kapacitní bezemisní hromadnou dopravou v koordinaci s dobudováním dopravního systému jako celku, včetně záchytných kapacit a přestupního terminálu jako prevence suburbanizace a s tím spojených zvýšených dopravních vazeb. Na druhou stranu dojde k vytvoření územních předpokladů pro vložení nového zdroje hlukové zátěže do území. Konkrétní ovlivnění a zda k němu vůbec dojde, bude záviset na konkrétním technickém řešení využití území.</w:t>
            </w:r>
          </w:p>
        </w:tc>
      </w:tr>
    </w:tbl>
    <w:p w14:paraId="7F26F331" w14:textId="0F424F7A" w:rsidR="00CC78F3" w:rsidRPr="006B3F59" w:rsidRDefault="00CC78F3" w:rsidP="00CC78F3">
      <w:pPr>
        <w:rPr>
          <w:rFonts w:cs="Arial"/>
          <w:i/>
        </w:rPr>
      </w:pPr>
      <w:r w:rsidRPr="006B3F59">
        <w:rPr>
          <w:i/>
        </w:rPr>
        <w:t>Komentář: V důsledku předkládané ÚPD nedojde k významným negativním vazbám vůči prioritám stanoveným NEHAP</w:t>
      </w:r>
      <w:r w:rsidR="005C6482" w:rsidRPr="006B3F59">
        <w:rPr>
          <w:i/>
        </w:rPr>
        <w:t>.</w:t>
      </w:r>
      <w:r w:rsidRPr="006B3F59">
        <w:rPr>
          <w:i/>
        </w:rPr>
        <w:t xml:space="preserve"> </w:t>
      </w:r>
      <w:r w:rsidRPr="006B3F59">
        <w:rPr>
          <w:rFonts w:cs="Arial"/>
          <w:i/>
          <w:iCs/>
        </w:rPr>
        <w:t xml:space="preserve">Posuzovaná změna územního plánu </w:t>
      </w:r>
      <w:r w:rsidRPr="006B3F59">
        <w:rPr>
          <w:i/>
          <w:iCs/>
        </w:rPr>
        <w:t>se při</w:t>
      </w:r>
      <w:r w:rsidRPr="006B3F59">
        <w:rPr>
          <w:i/>
        </w:rPr>
        <w:t xml:space="preserve"> správné aplikaci projeví pozitivně především vůči prioritě</w:t>
      </w:r>
      <w:r w:rsidR="005450BF">
        <w:rPr>
          <w:i/>
        </w:rPr>
        <w:t xml:space="preserve"> zvyšovat kvalitu ovzduší a</w:t>
      </w:r>
      <w:r w:rsidRPr="006B3F59">
        <w:rPr>
          <w:i/>
        </w:rPr>
        <w:t xml:space="preserve"> snižovat expozici hluku prostředky územního plánování. </w:t>
      </w:r>
      <w:r w:rsidRPr="006B3F59">
        <w:rPr>
          <w:rFonts w:cs="Arial"/>
          <w:i/>
        </w:rPr>
        <w:t xml:space="preserve">Navrhovaná ÚPD má vůči cílům NEHAP převážně nepřímý vztah, přímo pozitivně se projeví zejména uplatnění postupů strategického a územního plánování, které jsou koordinovány na úrovni přesahující úroveň jednotlivých obcí. Potenciálně negativní vazba je potom spojena s potenciálem pro vložení nových zdrojů hlukové zátěže, </w:t>
      </w:r>
      <w:r w:rsidR="00FA6FBD" w:rsidRPr="006B3F59">
        <w:rPr>
          <w:rFonts w:cs="Arial"/>
          <w:i/>
        </w:rPr>
        <w:t xml:space="preserve">dílčím </w:t>
      </w:r>
      <w:r w:rsidRPr="006B3F59">
        <w:rPr>
          <w:rFonts w:cs="Arial"/>
          <w:i/>
        </w:rPr>
        <w:t>snížením, retenční schopnosti krajiny a zvyšování teplot povrchů.</w:t>
      </w:r>
    </w:p>
    <w:p w14:paraId="144CA4B3" w14:textId="77777777" w:rsidR="00CC78F3" w:rsidRPr="006B3F59" w:rsidRDefault="00CC78F3" w:rsidP="00CC78F3">
      <w:pPr>
        <w:pStyle w:val="Podnadpis1"/>
      </w:pPr>
      <w:r w:rsidRPr="006B3F59">
        <w:t>Strategický rámec rozvoje péče o zdraví v České republice do roku 2030 - Národní strategický rámec – Zdraví 2030</w:t>
      </w:r>
    </w:p>
    <w:p w14:paraId="5B573148" w14:textId="77777777" w:rsidR="00CC78F3" w:rsidRPr="006B3F59" w:rsidRDefault="00CC78F3" w:rsidP="00CC78F3">
      <w:r w:rsidRPr="006B3F59">
        <w:t>Dne 13. července 2020 Vláda schválila Strategický rámec rozvoje péče o zdraví v České republice do roku 2030 (dále jen „Strategický rámec Zdraví 2030“) a dne 11. ledna 2021 jeho implementační plány.</w:t>
      </w:r>
    </w:p>
    <w:p w14:paraId="3B0A7138" w14:textId="77777777" w:rsidR="00CC78F3" w:rsidRPr="006B3F59" w:rsidRDefault="00CC78F3" w:rsidP="00CC78F3">
      <w:r w:rsidRPr="006B3F59">
        <w:t>Strategický rámec Zdraví 2030 je základním koncepčním materiálem Ministerstva zdravotnictví s meziresortním přesahem, který udává směr rozvoje péče o zdraví občanů ČR do roku 2030.</w:t>
      </w:r>
    </w:p>
    <w:p w14:paraId="1AA657EC" w14:textId="77777777" w:rsidR="00CC78F3" w:rsidRPr="006B3F59" w:rsidRDefault="00CC78F3" w:rsidP="00CC78F3">
      <w:r w:rsidRPr="006B3F59">
        <w:t>Strategický rámec Zdraví 2030 soustřeďuje specifické cíle Strategického rámce Česká republika 2030 do tří strategických cílů:</w:t>
      </w:r>
    </w:p>
    <w:p w14:paraId="7A87C5C2" w14:textId="77777777" w:rsidR="00CC78F3" w:rsidRPr="006B3F59" w:rsidRDefault="00CC78F3" w:rsidP="00CC78F3">
      <w:pPr>
        <w:pStyle w:val="Bullets"/>
        <w:spacing w:after="0"/>
        <w:rPr>
          <w:sz w:val="20"/>
          <w:szCs w:val="20"/>
        </w:rPr>
      </w:pPr>
      <w:r w:rsidRPr="006B3F59">
        <w:rPr>
          <w:sz w:val="20"/>
          <w:szCs w:val="20"/>
        </w:rPr>
        <w:t>Ochrana a zlepšení zdraví obyvatel</w:t>
      </w:r>
    </w:p>
    <w:p w14:paraId="45BA9930" w14:textId="77777777" w:rsidR="00CC78F3" w:rsidRPr="006B3F59" w:rsidRDefault="00CC78F3" w:rsidP="00CC78F3">
      <w:pPr>
        <w:pStyle w:val="Bullets"/>
        <w:spacing w:after="0"/>
        <w:rPr>
          <w:sz w:val="20"/>
          <w:szCs w:val="20"/>
        </w:rPr>
      </w:pPr>
      <w:r w:rsidRPr="006B3F59">
        <w:rPr>
          <w:sz w:val="20"/>
          <w:szCs w:val="20"/>
        </w:rPr>
        <w:t>Optimalizace zdravotnického systému</w:t>
      </w:r>
    </w:p>
    <w:p w14:paraId="2293AE11" w14:textId="77777777" w:rsidR="00CC78F3" w:rsidRPr="006B3F59" w:rsidRDefault="00CC78F3" w:rsidP="00CC78F3">
      <w:pPr>
        <w:pStyle w:val="Bullets"/>
        <w:spacing w:after="0"/>
        <w:rPr>
          <w:sz w:val="20"/>
          <w:szCs w:val="20"/>
        </w:rPr>
      </w:pPr>
      <w:r w:rsidRPr="006B3F59">
        <w:rPr>
          <w:sz w:val="20"/>
          <w:szCs w:val="20"/>
        </w:rPr>
        <w:t>Podpora vědy a výzkumu</w:t>
      </w:r>
    </w:p>
    <w:p w14:paraId="16897DAC" w14:textId="77777777" w:rsidR="00CC78F3" w:rsidRPr="006B3F59" w:rsidRDefault="00CC78F3" w:rsidP="00CC78F3">
      <w:r w:rsidRPr="006B3F59">
        <w:t>Tyto strategické cíle se pak rozpadají na 7 specifických cílů, které kopírují investiční a neinvestiční priority MZ pro programové období politiky hospodářské, sociální a územní soudržnosti EU 2021+ a které budou realizovány prostřednictvím 6 navazujících implementačních plánů. (Specifický cíl 3.1 Zapojení vědy a výzkumu do řešení prioritních úkolů zdravotnictví bude implementován prostřednictvím Národní koncepce zdravotnického výzkumu v gesci Rady vlády pro výzkum, vývoj a inovace).</w:t>
      </w:r>
    </w:p>
    <w:p w14:paraId="33A6EB81" w14:textId="77777777" w:rsidR="00CC78F3" w:rsidRPr="006B3F59" w:rsidRDefault="00CC78F3">
      <w:pPr>
        <w:pStyle w:val="Odstavecseseznamem"/>
        <w:numPr>
          <w:ilvl w:val="0"/>
          <w:numId w:val="34"/>
        </w:numPr>
      </w:pPr>
      <w:r w:rsidRPr="006B3F59">
        <w:t>Implementační plány</w:t>
      </w:r>
    </w:p>
    <w:p w14:paraId="25A57A4C" w14:textId="77777777" w:rsidR="00CC78F3" w:rsidRPr="006B3F59" w:rsidRDefault="00CC78F3">
      <w:pPr>
        <w:pStyle w:val="Odstavecseseznamem"/>
        <w:numPr>
          <w:ilvl w:val="0"/>
          <w:numId w:val="34"/>
        </w:numPr>
      </w:pPr>
      <w:r w:rsidRPr="006B3F59">
        <w:t>Reforma primární péče</w:t>
      </w:r>
    </w:p>
    <w:p w14:paraId="5851858F" w14:textId="77777777" w:rsidR="00CC78F3" w:rsidRPr="006B3F59" w:rsidRDefault="00CC78F3">
      <w:pPr>
        <w:pStyle w:val="Odstavecseseznamem"/>
        <w:numPr>
          <w:ilvl w:val="0"/>
          <w:numId w:val="34"/>
        </w:numPr>
      </w:pPr>
      <w:r w:rsidRPr="006B3F59">
        <w:t>Prevence nemocí, podpora a ochrana zdraví; zvyšování zdravotní gramotnosti</w:t>
      </w:r>
    </w:p>
    <w:p w14:paraId="4A7D9185" w14:textId="77777777" w:rsidR="00CC78F3" w:rsidRPr="006B3F59" w:rsidRDefault="00CC78F3">
      <w:pPr>
        <w:pStyle w:val="Odstavecseseznamem"/>
        <w:numPr>
          <w:ilvl w:val="0"/>
          <w:numId w:val="34"/>
        </w:numPr>
      </w:pPr>
      <w:r w:rsidRPr="006B3F59">
        <w:t>Implementace modelů integrované péče, integrace zdravotní a sociální péče, reforma péče o duševní zdraví</w:t>
      </w:r>
    </w:p>
    <w:p w14:paraId="4E447B99" w14:textId="77777777" w:rsidR="00CC78F3" w:rsidRPr="006B3F59" w:rsidRDefault="00CC78F3">
      <w:pPr>
        <w:pStyle w:val="Odstavecseseznamem"/>
        <w:numPr>
          <w:ilvl w:val="0"/>
          <w:numId w:val="34"/>
        </w:numPr>
      </w:pPr>
      <w:r w:rsidRPr="006B3F59">
        <w:t>Personální stabilizace resortu zdravotnictví</w:t>
      </w:r>
    </w:p>
    <w:p w14:paraId="34468615" w14:textId="77777777" w:rsidR="00CC78F3" w:rsidRPr="006B3F59" w:rsidRDefault="00CC78F3">
      <w:pPr>
        <w:pStyle w:val="Odstavecseseznamem"/>
        <w:numPr>
          <w:ilvl w:val="0"/>
          <w:numId w:val="34"/>
        </w:numPr>
      </w:pPr>
      <w:r w:rsidRPr="006B3F59">
        <w:t>Digitalizace zdravotnictví</w:t>
      </w:r>
    </w:p>
    <w:p w14:paraId="1092A3E1" w14:textId="77777777" w:rsidR="00CC78F3" w:rsidRPr="006B3F59" w:rsidRDefault="00CC78F3">
      <w:pPr>
        <w:pStyle w:val="Odstavecseseznamem"/>
        <w:numPr>
          <w:ilvl w:val="0"/>
          <w:numId w:val="34"/>
        </w:numPr>
      </w:pPr>
      <w:r w:rsidRPr="006B3F59">
        <w:t>Optimalizace systému úhrad ve zdravotnictví</w:t>
      </w:r>
    </w:p>
    <w:p w14:paraId="64A5B6D1" w14:textId="77777777" w:rsidR="00CC78F3" w:rsidRPr="006B3F59" w:rsidRDefault="00CC78F3" w:rsidP="00CC78F3">
      <w:r w:rsidRPr="006B3F59">
        <w:t xml:space="preserve">Vůči územně plánovací dokumentaci je pak relevantní především třetí výše uvedený specifický cíl a v rámci něj následující dílčí cíl: </w:t>
      </w:r>
    </w:p>
    <w:p w14:paraId="44636616" w14:textId="77777777" w:rsidR="00CC78F3" w:rsidRPr="006B3F59" w:rsidRDefault="00CC78F3" w:rsidP="00CC78F3">
      <w:r w:rsidRPr="006B3F59">
        <w:lastRenderedPageBreak/>
        <w:t>1.2.2. Ochrana zdraví obyvatel ČR v kontextu environmentálních rizik (chemické látky, nadměrná hluková zátěž, projevy změny klimatu apod.).</w:t>
      </w:r>
    </w:p>
    <w:p w14:paraId="345044FE" w14:textId="77777777" w:rsidR="00CC78F3" w:rsidRPr="006B3F59" w:rsidRDefault="00CC78F3" w:rsidP="00CC78F3">
      <w:r w:rsidRPr="006B3F59">
        <w:t>Hodnocení vztahu vůči posuzovanému dokumentu:</w:t>
      </w:r>
    </w:p>
    <w:tbl>
      <w:tblPr>
        <w:tblStyle w:val="Mkatabulky"/>
        <w:tblW w:w="0" w:type="auto"/>
        <w:tblLook w:val="04A0" w:firstRow="1" w:lastRow="0" w:firstColumn="1" w:lastColumn="0" w:noHBand="0" w:noVBand="1"/>
      </w:tblPr>
      <w:tblGrid>
        <w:gridCol w:w="3078"/>
        <w:gridCol w:w="1695"/>
        <w:gridCol w:w="4855"/>
      </w:tblGrid>
      <w:tr w:rsidR="00CC78F3" w:rsidRPr="006B3F59" w14:paraId="65A9FA17" w14:textId="77777777" w:rsidTr="00FE57C6">
        <w:tc>
          <w:tcPr>
            <w:tcW w:w="3133" w:type="dxa"/>
          </w:tcPr>
          <w:p w14:paraId="06738670" w14:textId="77777777" w:rsidR="00CC78F3" w:rsidRPr="006B3F59" w:rsidRDefault="00CC78F3" w:rsidP="00B34C98">
            <w:r w:rsidRPr="006B3F59">
              <w:t>Relevantní cíl</w:t>
            </w:r>
          </w:p>
        </w:tc>
        <w:tc>
          <w:tcPr>
            <w:tcW w:w="1695" w:type="dxa"/>
          </w:tcPr>
          <w:p w14:paraId="18F93914" w14:textId="77777777" w:rsidR="00CC78F3" w:rsidRPr="006B3F59" w:rsidRDefault="00CC78F3" w:rsidP="00B34C98">
            <w:r w:rsidRPr="006B3F59">
              <w:t>Vzájemná vazba</w:t>
            </w:r>
          </w:p>
        </w:tc>
        <w:tc>
          <w:tcPr>
            <w:tcW w:w="5026" w:type="dxa"/>
          </w:tcPr>
          <w:p w14:paraId="2C0F6532" w14:textId="77777777" w:rsidR="00CC78F3" w:rsidRPr="006B3F59" w:rsidRDefault="00CC78F3" w:rsidP="00B34C98">
            <w:r w:rsidRPr="006B3F59">
              <w:t>Komentář</w:t>
            </w:r>
          </w:p>
        </w:tc>
      </w:tr>
      <w:tr w:rsidR="00FE57C6" w:rsidRPr="006B3F59" w14:paraId="1B5DA516" w14:textId="77777777" w:rsidTr="00FE57C6">
        <w:tc>
          <w:tcPr>
            <w:tcW w:w="3133" w:type="dxa"/>
          </w:tcPr>
          <w:p w14:paraId="44EC36C5" w14:textId="77777777" w:rsidR="00FE57C6" w:rsidRPr="006B3F59" w:rsidRDefault="00FE57C6" w:rsidP="00FE57C6">
            <w:pPr>
              <w:pStyle w:val="Odrky1"/>
              <w:ind w:left="169" w:hanging="142"/>
            </w:pPr>
            <w:r w:rsidRPr="006B3F59">
              <w:t>1.2.2. Ochrana zdraví obyvatel ČR v kontextu environmentálních rizik (chemické látky, nadměrná hluková zátěž, projevy změny klimatu apod.).</w:t>
            </w:r>
          </w:p>
        </w:tc>
        <w:tc>
          <w:tcPr>
            <w:tcW w:w="1695" w:type="dxa"/>
          </w:tcPr>
          <w:p w14:paraId="34FE0B6B" w14:textId="5B4D5076" w:rsidR="00FE57C6" w:rsidRPr="006B3F59" w:rsidRDefault="00FE57C6" w:rsidP="00FE57C6">
            <w:r w:rsidRPr="006B3F59">
              <w:t>1 negativní až 1 zprostředkovaně pozitivní</w:t>
            </w:r>
          </w:p>
        </w:tc>
        <w:tc>
          <w:tcPr>
            <w:tcW w:w="5026" w:type="dxa"/>
          </w:tcPr>
          <w:p w14:paraId="1108D846" w14:textId="73B9EC53" w:rsidR="00FE57C6" w:rsidRPr="006B3F59" w:rsidRDefault="00FE57C6" w:rsidP="00FE57C6">
            <w:r w:rsidRPr="006B3F59">
              <w:t xml:space="preserve">Mírně negativní potenciální vazba z hlediska hlukové zátěže. </w:t>
            </w:r>
            <w:bookmarkStart w:id="68" w:name="_Hlk136604316"/>
            <w:r w:rsidRPr="006B3F59">
              <w:t>Posuzovaná koncepce vymezuje smíšené, smíšené a rezidenční plochy a plochy veřejné vybavenosti v podvyužitém území v intravilánu města a zároveň vybavuje území kapacitní bezemisní hromadnou dopravou v koordinaci s dobudováním dopravního systému jako celku, včetně záchytných kapacit a přestupního terminálu jako prevence suburbanizace a s tím spojených zvýšených dopravních vazeb. Na druhou stranu dojde k vytvoření územních předpokladů pro vložení nového zdroje hlukové zátěže do území. Konkrétní ovlivnění a zda k němu vůbec dojde, bude záviset na konkrétním technickém řešení využití území.</w:t>
            </w:r>
            <w:bookmarkEnd w:id="68"/>
          </w:p>
        </w:tc>
      </w:tr>
    </w:tbl>
    <w:p w14:paraId="7293048C" w14:textId="76FD8430" w:rsidR="00CC78F3" w:rsidRPr="006B3F59" w:rsidRDefault="00CC78F3" w:rsidP="00CC78F3">
      <w:pPr>
        <w:rPr>
          <w:rFonts w:cs="Arial"/>
          <w:i/>
        </w:rPr>
      </w:pPr>
      <w:r w:rsidRPr="006B3F59">
        <w:rPr>
          <w:i/>
        </w:rPr>
        <w:t xml:space="preserve">Komentář: V důsledku předkládané ÚPD nedojde k významným negativním vazbám vůči prioritám stanoveným Zdraví 2030, </w:t>
      </w:r>
      <w:r w:rsidRPr="006B3F59">
        <w:rPr>
          <w:rFonts w:cs="Arial"/>
        </w:rPr>
        <w:t xml:space="preserve">posuzovaná změna územního plánu </w:t>
      </w:r>
      <w:r w:rsidRPr="006B3F59">
        <w:rPr>
          <w:i/>
        </w:rPr>
        <w:t>se při správné aplikaci projeví pozitivně především z hlediska bezpečnosti dopravy, podpory nízkoemisní dopravy.</w:t>
      </w:r>
      <w:r w:rsidR="005450BF">
        <w:rPr>
          <w:i/>
        </w:rPr>
        <w:t xml:space="preserve"> Mírně n</w:t>
      </w:r>
      <w:r w:rsidRPr="006B3F59">
        <w:rPr>
          <w:i/>
        </w:rPr>
        <w:t xml:space="preserve">egativní vazbu lze spatřovat </w:t>
      </w:r>
      <w:r w:rsidR="005450BF">
        <w:rPr>
          <w:i/>
        </w:rPr>
        <w:t>ve vložení nového zdroje hlukové zátěže v podobě tramvajové trati, které má ovšem přímo pozitivní vlivy na ostatní determinanty veřejného zdraví</w:t>
      </w:r>
      <w:r w:rsidRPr="006B3F59">
        <w:rPr>
          <w:rFonts w:cs="Arial"/>
          <w:i/>
        </w:rPr>
        <w:t>.</w:t>
      </w:r>
    </w:p>
    <w:p w14:paraId="0D225A9C" w14:textId="77777777" w:rsidR="00CC78F3" w:rsidRPr="006B3F59" w:rsidRDefault="00CC78F3" w:rsidP="00CC78F3">
      <w:pPr>
        <w:pStyle w:val="Podnadpis1"/>
      </w:pPr>
      <w:r w:rsidRPr="006B3F59">
        <w:t>Zásady územního rozvoje hl. města Prahy, ve znění pozdějších aktualizací</w:t>
      </w:r>
    </w:p>
    <w:p w14:paraId="79FACDF0" w14:textId="77777777" w:rsidR="00CC78F3" w:rsidRPr="006B3F59" w:rsidRDefault="00CC78F3" w:rsidP="00CC78F3">
      <w:pPr>
        <w:pStyle w:val="Textkomente"/>
      </w:pPr>
      <w:r w:rsidRPr="006B3F59">
        <w:t xml:space="preserve">Zásady územního rozvoje (dále jen „ZÚR“) jsou krajským nástrojem územního plánování, který dle stavebního zákona určuje požadavky na účelné a hospodárné uspořádání území kraje, vymezuje plochy a koridory nadmístního významu a stanovuje požadavky na jejich využití. ZÚR zpřesňují a rozvíjejí cíle a úkoly uvedené v PÚR a určují strategii pro jejich naplňování. </w:t>
      </w:r>
    </w:p>
    <w:p w14:paraId="63EB56A7" w14:textId="77777777" w:rsidR="0089521C" w:rsidRPr="006B3F59" w:rsidRDefault="0089521C" w:rsidP="0089521C">
      <w:pPr>
        <w:rPr>
          <w:lang w:eastAsia="cs-CZ"/>
        </w:rPr>
      </w:pPr>
      <w:r w:rsidRPr="006B3F59">
        <w:rPr>
          <w:lang w:eastAsia="cs-CZ"/>
        </w:rPr>
        <w:t>Zastupitelstvo hlavního města Prahy rozhodlo o vydání ZÚR hl. m. Prahy dne 17. 12. 2009 usnesením číslo 32/59 k návrhu Zásad územního rozvoje hl. m. Prahy, ZÚR hl. m. Prahy byly vydány formou opatření obecné povahy č. 8/2009. Součástí této dokumentace bylo vymezení koridoru pro železniční trať Praha – Letiště Václava Havla Praha – Kladno. Dne 11. 9. 2014 Zastupitelstvo hlavního města Prahy rozhodlo o vydání Aktualizace č. 1 ZÚR hl. m. Prahy usnesením číslo 41/1 k návrhu Aktualizace č. 1 Zásad územního rozvoje hl. m. Prahy. Aktualizace č. 1 ZÚR hl. m. Prahy byla vydána formou opatření obecné povahy č. 43/2014. Součástí této aktualizace bylo rozšíření koridoru dotčené tratě. Dne 6. 9. 2018 Zastupitelstvo hlavního města Prahy rozhodlo o vydání Aktualizace č. 4 ZÚR hl. m. Prahy usnesením číslo 39/119 k návrhu na vydání Aktualizace č. 4 Zásad územního rozvoje hl. m. Prahy (dopravní infrastruktura – koridor železnice v úseku Dejvice – Veleslavín). Aktualizace č. 4 ZÚR hl. m. Prahy byla vydána formou opatření obecné povahy č. 58/2018. Tato aktualizace upravila vymezení koridoru v úseku Praha-Dejvice – Praha-Veleslavín z důvodu nalezení vhodnější stopy vedení železniční tratě územím mimo současnou polohu tratě.</w:t>
      </w:r>
    </w:p>
    <w:p w14:paraId="56682B78" w14:textId="77777777" w:rsidR="0089521C" w:rsidRPr="006B3F59" w:rsidRDefault="0089521C" w:rsidP="0089521C">
      <w:pPr>
        <w:rPr>
          <w:lang w:eastAsia="cs-CZ"/>
        </w:rPr>
      </w:pPr>
      <w:r w:rsidRPr="006B3F59">
        <w:rPr>
          <w:lang w:eastAsia="cs-CZ"/>
        </w:rPr>
        <w:t>Dne 14. 10. 2021 Zastupitelstvo hlavního města Prahy rozhodlo o vydání Aktualizace č. 6 ZÚR hl. m. Prahy usnesením číslo 30/14 k návrhu na vydání Aktualizace č. 6 Zásad územního rozvoje hl. m. Prahy. Aktualizace č. 6 ZÚR hl. m. Prahy byla vydána formou opatření obecné povahy č. 121/2021. Tato aktualizace rovněž upravila vymezení koridoru v úseku Praha-Dejvice – Praha-Veleslavín z důvodu nalezení vhodnější stopy vedení železniční tratě územím mimo současnou polohu tratě.</w:t>
      </w:r>
    </w:p>
    <w:p w14:paraId="75587C86" w14:textId="4C518006" w:rsidR="0089521C" w:rsidRPr="006B3F59" w:rsidRDefault="0089521C" w:rsidP="0089521C">
      <w:pPr>
        <w:rPr>
          <w:rFonts w:ascii="Roboto" w:hAnsi="Roboto"/>
          <w:color w:val="414141"/>
          <w:sz w:val="21"/>
          <w:szCs w:val="21"/>
          <w:shd w:val="clear" w:color="auto" w:fill="DDDDDD"/>
        </w:rPr>
      </w:pPr>
      <w:r w:rsidRPr="006B3F59">
        <w:rPr>
          <w:lang w:eastAsia="cs-CZ"/>
        </w:rPr>
        <w:t xml:space="preserve">V průběhu byly schváleny ještě další dílčí aktualizace (Aktualizace č. 2 ZÚR hl. m. Prahy, Aktualizace č. 3 ZÚR hl. m. Prahy, Aktualizace č. 9 ZÚR hl. m. Prahy, Aktualizace č. 7 ZÚR hl. m. Prahy </w:t>
      </w:r>
      <w:r w:rsidR="003577E4" w:rsidRPr="006B3F59">
        <w:rPr>
          <w:lang w:eastAsia="cs-CZ"/>
        </w:rPr>
        <w:t>a,</w:t>
      </w:r>
      <w:r w:rsidRPr="006B3F59">
        <w:rPr>
          <w:lang w:eastAsia="cs-CZ"/>
        </w:rPr>
        <w:t xml:space="preserve"> Aktualizace č. 11 ZÚR hl. m. Prahy), které však nemají přímou vazbu na koridor řešený Aktualizací č. 6 ZÚR hl. m. Prahy. </w:t>
      </w:r>
    </w:p>
    <w:p w14:paraId="116DAFE2" w14:textId="77777777" w:rsidR="00CC78F3" w:rsidRPr="006B3F59" w:rsidRDefault="00CC78F3" w:rsidP="00CC78F3">
      <w:r w:rsidRPr="006B3F59">
        <w:t>Z Obecných zásad územního rozvoje hl. m. Prahy vychází v ZÚR vymezené rozvojové oblasti, rozvojové osy a specifické oblasti nadmístního významu stejně jako zpřesnění ploch a koridorů vymezených v Politice územního rozvoje a stanovení ploch a koridorů nadmístního a celoměstského významu, vymezení veřejně prospěšných staveb a veřejně prospěšných opatření a ostatních požadavků podle vyhlášky č. 500/2006 Sb., v platném znění.</w:t>
      </w:r>
    </w:p>
    <w:p w14:paraId="38011CDC" w14:textId="77777777" w:rsidR="00CC78F3" w:rsidRPr="006B3F59" w:rsidRDefault="00CC78F3" w:rsidP="00CC78F3">
      <w:r w:rsidRPr="006B3F59">
        <w:t xml:space="preserve">Obecné zásady územního rozvoje jsou rozděleny do čtyř částí: </w:t>
      </w:r>
    </w:p>
    <w:p w14:paraId="1DBD00C3" w14:textId="77777777" w:rsidR="00CC78F3" w:rsidRPr="006B3F59" w:rsidRDefault="00CC78F3">
      <w:pPr>
        <w:pStyle w:val="Odrky1"/>
        <w:numPr>
          <w:ilvl w:val="0"/>
          <w:numId w:val="22"/>
        </w:numPr>
        <w:spacing w:before="120"/>
        <w:ind w:hanging="436"/>
      </w:pPr>
      <w:r w:rsidRPr="006B3F59">
        <w:lastRenderedPageBreak/>
        <w:t>role Prahy v ČR a v Evropě,</w:t>
      </w:r>
    </w:p>
    <w:p w14:paraId="76D2EE56" w14:textId="77777777" w:rsidR="00CC78F3" w:rsidRPr="006B3F59" w:rsidRDefault="00CC78F3">
      <w:pPr>
        <w:pStyle w:val="Odrky1"/>
        <w:numPr>
          <w:ilvl w:val="0"/>
          <w:numId w:val="22"/>
        </w:numPr>
        <w:spacing w:before="0"/>
        <w:ind w:left="721" w:hanging="437"/>
      </w:pPr>
      <w:r w:rsidRPr="006B3F59">
        <w:t>účelné a hospodárné uspořádání hl. m. Prahy,</w:t>
      </w:r>
    </w:p>
    <w:p w14:paraId="150E4D9C" w14:textId="77777777" w:rsidR="00CC78F3" w:rsidRPr="006B3F59" w:rsidRDefault="00CC78F3">
      <w:pPr>
        <w:pStyle w:val="Odrky1"/>
        <w:numPr>
          <w:ilvl w:val="0"/>
          <w:numId w:val="22"/>
        </w:numPr>
        <w:spacing w:before="0"/>
        <w:ind w:left="721" w:hanging="437"/>
      </w:pPr>
      <w:r w:rsidRPr="006B3F59">
        <w:t>hospodářský rozvoj,</w:t>
      </w:r>
    </w:p>
    <w:p w14:paraId="60C41098" w14:textId="77777777" w:rsidR="00CC78F3" w:rsidRPr="006B3F59" w:rsidRDefault="00CC78F3">
      <w:pPr>
        <w:pStyle w:val="Odrky1"/>
        <w:numPr>
          <w:ilvl w:val="0"/>
          <w:numId w:val="22"/>
        </w:numPr>
        <w:spacing w:before="0"/>
        <w:ind w:left="721" w:hanging="437"/>
      </w:pPr>
      <w:r w:rsidRPr="006B3F59">
        <w:t>ochrana kulturních, přírodních a civilizačních hodnot.</w:t>
      </w:r>
    </w:p>
    <w:p w14:paraId="5CBD7687" w14:textId="77777777" w:rsidR="00CC78F3" w:rsidRPr="006B3F59" w:rsidRDefault="00CC78F3" w:rsidP="00CC78F3">
      <w:r w:rsidRPr="006B3F59">
        <w:t>Zásady územního rozvoje hl. m. Prahy vycházejí z následujících priorit územního plánování hl. m. Praha pro zajištění udržitelného rozvoje území pomocí nástrojů územního plánování:</w:t>
      </w:r>
    </w:p>
    <w:p w14:paraId="6B78F4AE" w14:textId="77777777" w:rsidR="00CC78F3" w:rsidRPr="006B3F59" w:rsidRDefault="00CC78F3" w:rsidP="00CC78F3">
      <w:pPr>
        <w:pStyle w:val="Odrky1"/>
        <w:spacing w:before="120"/>
      </w:pPr>
      <w:r w:rsidRPr="006B3F59">
        <w:t>Vycházet z výjimečného postavení Prahy jako hlavního města České republiky, přirozeného centra Pražského regionu a významného města Evropy.</w:t>
      </w:r>
    </w:p>
    <w:p w14:paraId="1A4F96AC" w14:textId="77777777" w:rsidR="00CC78F3" w:rsidRPr="006B3F59" w:rsidRDefault="00CC78F3" w:rsidP="00CC78F3">
      <w:pPr>
        <w:pStyle w:val="Odrky1"/>
        <w:spacing w:before="120"/>
      </w:pPr>
      <w:r w:rsidRPr="006B3F59">
        <w:t>Upřednostnit využití transformačních území oproti rozvoji v dosud nezastavěném území.</w:t>
      </w:r>
    </w:p>
    <w:p w14:paraId="7A5407D7" w14:textId="77777777" w:rsidR="00CC78F3" w:rsidRPr="006B3F59" w:rsidRDefault="00CC78F3" w:rsidP="00CC78F3">
      <w:pPr>
        <w:pStyle w:val="Odrky1"/>
        <w:spacing w:before="120"/>
      </w:pPr>
      <w:r w:rsidRPr="006B3F59">
        <w:t>Zajistit podmínky pro rozvoj všech dopravních systémů nezbytných pro fungování města, přednostně pro rozvoj integrované veřejné dopravy s potřebným přesahem do Středočeského kraje.</w:t>
      </w:r>
    </w:p>
    <w:p w14:paraId="04BDCEA0" w14:textId="77777777" w:rsidR="00CC78F3" w:rsidRPr="006B3F59" w:rsidRDefault="00CC78F3" w:rsidP="00CC78F3">
      <w:r w:rsidRPr="006B3F59">
        <w:t>Obecné zásady jsou založeny na předpokládaném demografickém vývoji, potvrzují historické, kulturní, přírodní a civilizační hodnoty města. Definují základní zásady urbanistické koncepce, včetně koncepce dopravy, technické infrastruktury a tvorby a ochrany životního prostředí, která by měla být následně rozpracována v územním plánu hl. m. Prahy.</w:t>
      </w:r>
    </w:p>
    <w:p w14:paraId="00AC8BFF" w14:textId="77777777" w:rsidR="00CC78F3" w:rsidRPr="006B3F59" w:rsidRDefault="00CC78F3" w:rsidP="005450BF">
      <w:pPr>
        <w:keepNext/>
      </w:pPr>
      <w:r w:rsidRPr="006B3F59">
        <w:t>Hodnocení vztahu vůči posuzovanému dokumentu:</w:t>
      </w:r>
    </w:p>
    <w:tbl>
      <w:tblPr>
        <w:tblStyle w:val="Mkatabulky"/>
        <w:tblW w:w="0" w:type="auto"/>
        <w:tblLook w:val="04A0" w:firstRow="1" w:lastRow="0" w:firstColumn="1" w:lastColumn="0" w:noHBand="0" w:noVBand="1"/>
      </w:tblPr>
      <w:tblGrid>
        <w:gridCol w:w="3209"/>
        <w:gridCol w:w="1181"/>
        <w:gridCol w:w="5238"/>
      </w:tblGrid>
      <w:tr w:rsidR="00CC78F3" w:rsidRPr="006B3F59" w14:paraId="2E7A7AB5" w14:textId="77777777" w:rsidTr="00B34C98">
        <w:tc>
          <w:tcPr>
            <w:tcW w:w="3209" w:type="dxa"/>
          </w:tcPr>
          <w:p w14:paraId="76836E21" w14:textId="77777777" w:rsidR="00CC78F3" w:rsidRPr="006B3F59" w:rsidRDefault="00CC78F3" w:rsidP="00B34C98">
            <w:r w:rsidRPr="006B3F59">
              <w:t>Relevantní cíl</w:t>
            </w:r>
          </w:p>
        </w:tc>
        <w:tc>
          <w:tcPr>
            <w:tcW w:w="1181" w:type="dxa"/>
          </w:tcPr>
          <w:p w14:paraId="2B24E68C" w14:textId="77777777" w:rsidR="00CC78F3" w:rsidRPr="006B3F59" w:rsidRDefault="00CC78F3" w:rsidP="00B34C98">
            <w:r w:rsidRPr="006B3F59">
              <w:t>Vzájemná vazba</w:t>
            </w:r>
          </w:p>
        </w:tc>
        <w:tc>
          <w:tcPr>
            <w:tcW w:w="5238" w:type="dxa"/>
          </w:tcPr>
          <w:p w14:paraId="41AD3FEF" w14:textId="77777777" w:rsidR="00CC78F3" w:rsidRPr="006B3F59" w:rsidRDefault="00CC78F3" w:rsidP="00B34C98">
            <w:r w:rsidRPr="006B3F59">
              <w:t>Komentář</w:t>
            </w:r>
          </w:p>
        </w:tc>
      </w:tr>
      <w:tr w:rsidR="00CC78F3" w:rsidRPr="006B3F59" w14:paraId="4EAC8421" w14:textId="77777777" w:rsidTr="00B34C98">
        <w:tc>
          <w:tcPr>
            <w:tcW w:w="3209" w:type="dxa"/>
          </w:tcPr>
          <w:p w14:paraId="2BC24527" w14:textId="77777777" w:rsidR="00CC78F3" w:rsidRPr="006B3F59" w:rsidRDefault="00CC78F3">
            <w:pPr>
              <w:pStyle w:val="Odstavecseseznamem"/>
              <w:numPr>
                <w:ilvl w:val="0"/>
                <w:numId w:val="29"/>
              </w:numPr>
              <w:ind w:left="169" w:hanging="169"/>
              <w:rPr>
                <w:lang w:eastAsia="cs-CZ"/>
              </w:rPr>
            </w:pPr>
            <w:r w:rsidRPr="006B3F59">
              <w:rPr>
                <w:lang w:eastAsia="cs-CZ"/>
              </w:rPr>
              <w:t>Vycházet z výjimečného postavení Prahy jako hlavního města České republiky, přirozeného centra Pražského regionu a významného města Evropy.</w:t>
            </w:r>
          </w:p>
        </w:tc>
        <w:tc>
          <w:tcPr>
            <w:tcW w:w="1181" w:type="dxa"/>
          </w:tcPr>
          <w:p w14:paraId="56E3A303" w14:textId="77777777" w:rsidR="00CC78F3" w:rsidRPr="006B3F59" w:rsidRDefault="00CC78F3" w:rsidP="00B34C98">
            <w:r w:rsidRPr="006B3F59">
              <w:t>1 pozitivní</w:t>
            </w:r>
          </w:p>
        </w:tc>
        <w:tc>
          <w:tcPr>
            <w:tcW w:w="5238" w:type="dxa"/>
          </w:tcPr>
          <w:p w14:paraId="75F18C9E" w14:textId="5C3278A8" w:rsidR="00CC78F3" w:rsidRPr="006B3F59" w:rsidRDefault="00CC78F3" w:rsidP="00B34C98">
            <w:r w:rsidRPr="006B3F59">
              <w:t xml:space="preserve">Mírně pozitivní vazba na tuto prioritu ZÚR HMP. </w:t>
            </w:r>
            <w:r w:rsidRPr="006B3F59">
              <w:rPr>
                <w:rFonts w:cs="Arial"/>
                <w:szCs w:val="16"/>
              </w:rPr>
              <w:t xml:space="preserve">Posuzovaná aktualizace podrobněji prověřuje, upravuje a </w:t>
            </w:r>
            <w:r w:rsidR="00FE57C6" w:rsidRPr="006B3F59">
              <w:rPr>
                <w:rFonts w:cs="Arial"/>
                <w:szCs w:val="16"/>
              </w:rPr>
              <w:t>transformuje atraktivní plochy v intravilánu</w:t>
            </w:r>
            <w:r w:rsidRPr="006B3F59">
              <w:rPr>
                <w:rFonts w:cs="Arial"/>
                <w:szCs w:val="16"/>
              </w:rPr>
              <w:t xml:space="preserve"> města s výjimečnými možnostmi dopravní obsluhy.</w:t>
            </w:r>
          </w:p>
        </w:tc>
      </w:tr>
      <w:tr w:rsidR="00CC78F3" w:rsidRPr="006B3F59" w14:paraId="70E90B24" w14:textId="77777777" w:rsidTr="00B34C98">
        <w:tc>
          <w:tcPr>
            <w:tcW w:w="3209" w:type="dxa"/>
          </w:tcPr>
          <w:p w14:paraId="4B55D435" w14:textId="77777777" w:rsidR="00CC78F3" w:rsidRPr="006B3F59" w:rsidRDefault="00CC78F3" w:rsidP="00B34C98">
            <w:pPr>
              <w:pStyle w:val="Odrky1"/>
              <w:spacing w:before="120"/>
              <w:ind w:left="169" w:hanging="169"/>
            </w:pPr>
            <w:r w:rsidRPr="006B3F59">
              <w:t>Upřednostnit využití transformačních území oproti rozvoji v dosud nezastavěném území.</w:t>
            </w:r>
          </w:p>
          <w:p w14:paraId="36BAD683" w14:textId="77777777" w:rsidR="00CC78F3" w:rsidRPr="006B3F59" w:rsidRDefault="00CC78F3" w:rsidP="00B34C98">
            <w:pPr>
              <w:ind w:left="169" w:hanging="169"/>
            </w:pPr>
          </w:p>
        </w:tc>
        <w:tc>
          <w:tcPr>
            <w:tcW w:w="1181" w:type="dxa"/>
          </w:tcPr>
          <w:p w14:paraId="38C43097" w14:textId="77777777" w:rsidR="00CC78F3" w:rsidRPr="006B3F59" w:rsidRDefault="00CC78F3" w:rsidP="00B34C98">
            <w:r w:rsidRPr="006B3F59">
              <w:t>2 pozitivní</w:t>
            </w:r>
          </w:p>
        </w:tc>
        <w:tc>
          <w:tcPr>
            <w:tcW w:w="5238" w:type="dxa"/>
          </w:tcPr>
          <w:p w14:paraId="5988D1E4" w14:textId="77777777" w:rsidR="00CC78F3" w:rsidRPr="006B3F59" w:rsidRDefault="00CC78F3" w:rsidP="00B34C98">
            <w:r w:rsidRPr="006B3F59">
              <w:t xml:space="preserve">Silná pozitivní vazba na sledovaný cíl, posuzovaná koncepce využívá transformace v již urbanizovaném území jako prevenci suburbanizace. </w:t>
            </w:r>
          </w:p>
        </w:tc>
      </w:tr>
      <w:tr w:rsidR="00CC78F3" w:rsidRPr="006B3F59" w14:paraId="44C8458B" w14:textId="77777777" w:rsidTr="00B34C98">
        <w:tc>
          <w:tcPr>
            <w:tcW w:w="3209" w:type="dxa"/>
          </w:tcPr>
          <w:p w14:paraId="375D52D3" w14:textId="77777777" w:rsidR="00CC78F3" w:rsidRPr="006B3F59" w:rsidRDefault="00CC78F3" w:rsidP="00B34C98">
            <w:pPr>
              <w:pStyle w:val="Odrky1"/>
              <w:spacing w:before="120"/>
              <w:ind w:left="169" w:hanging="169"/>
            </w:pPr>
            <w:r w:rsidRPr="006B3F59">
              <w:t>Vytvořit podmínky pro rozvoj druhů dopravy šetrných k životnímu prostředí.</w:t>
            </w:r>
          </w:p>
        </w:tc>
        <w:tc>
          <w:tcPr>
            <w:tcW w:w="1181" w:type="dxa"/>
          </w:tcPr>
          <w:p w14:paraId="123F2E1D" w14:textId="77777777" w:rsidR="00CC78F3" w:rsidRPr="006B3F59" w:rsidRDefault="00CC78F3" w:rsidP="00B34C98">
            <w:r w:rsidRPr="006B3F59">
              <w:t>1 pozitivní až 1 negativní</w:t>
            </w:r>
          </w:p>
        </w:tc>
        <w:tc>
          <w:tcPr>
            <w:tcW w:w="5238" w:type="dxa"/>
          </w:tcPr>
          <w:p w14:paraId="1CD8D0A0" w14:textId="0D4D34D9" w:rsidR="00CC78F3" w:rsidRPr="006B3F59" w:rsidRDefault="00CC78F3" w:rsidP="00B34C98">
            <w:r w:rsidRPr="006B3F59">
              <w:t xml:space="preserve">Silně pozitivní až mírně negativní vazba. Posuzovaná změna reaguje na související strategická </w:t>
            </w:r>
            <w:proofErr w:type="gramStart"/>
            <w:r w:rsidRPr="006B3F59">
              <w:t>rozhodnutí,.</w:t>
            </w:r>
            <w:proofErr w:type="gramEnd"/>
            <w:r w:rsidRPr="006B3F59">
              <w:t xml:space="preserve"> Na druhou stranu vytvoření územních předpokladů pro záměry generující vyvolanou dopravu.</w:t>
            </w:r>
          </w:p>
        </w:tc>
      </w:tr>
    </w:tbl>
    <w:p w14:paraId="5220C0E8" w14:textId="65F1138A" w:rsidR="00CC78F3" w:rsidRPr="006B3F59" w:rsidRDefault="00CC78F3" w:rsidP="00CC78F3">
      <w:pPr>
        <w:rPr>
          <w:i/>
        </w:rPr>
      </w:pPr>
      <w:r w:rsidRPr="006B3F59">
        <w:rPr>
          <w:i/>
        </w:rPr>
        <w:t xml:space="preserve">Komentář: Zásady a priority územního plánování stanovené </w:t>
      </w:r>
      <w:proofErr w:type="gramStart"/>
      <w:r w:rsidRPr="006B3F59">
        <w:rPr>
          <w:i/>
        </w:rPr>
        <w:t>v  ZÚR</w:t>
      </w:r>
      <w:proofErr w:type="gramEnd"/>
      <w:r w:rsidRPr="006B3F59">
        <w:rPr>
          <w:i/>
        </w:rPr>
        <w:t xml:space="preserve"> Prahy jsou v rámci posuzované změny nadále rozvíjeny především z hlediska rozvoje a optimalizace vnitřní obslužnosti území a zintenzivnění rozvoje zastavěného území. </w:t>
      </w:r>
    </w:p>
    <w:p w14:paraId="4D957533" w14:textId="77777777" w:rsidR="00CC78F3" w:rsidRPr="006B3F59" w:rsidRDefault="00CC78F3" w:rsidP="00CC78F3">
      <w:pPr>
        <w:pStyle w:val="Podnadpis1"/>
      </w:pPr>
      <w:r w:rsidRPr="006B3F59">
        <w:t>Strategický plán hl. m. Prahy, aktualizace 2016</w:t>
      </w:r>
    </w:p>
    <w:p w14:paraId="79BDF519" w14:textId="77777777" w:rsidR="00CC78F3" w:rsidRPr="006B3F59" w:rsidRDefault="00CC78F3" w:rsidP="00CC78F3">
      <w:r w:rsidRPr="006B3F59">
        <w:t xml:space="preserve">Strategický plán hl. m. Prahy je dlouhodobý koncepční dokument, který stanovuje cíle, priority a cesty k řešení klíčových otázek rozvoje města na období 15 až 20 let. Původní Strategický plán Prahy schválilo Zastupitelstvo hl. m. Prahy v roce 2000, v roce 2008 proběhla jeho aktualizace. V současnosti je připravena aktualizace nová z roku 2016. </w:t>
      </w:r>
    </w:p>
    <w:p w14:paraId="0770BC8B" w14:textId="77777777" w:rsidR="00CC78F3" w:rsidRPr="006B3F59" w:rsidRDefault="00CC78F3" w:rsidP="00CC78F3">
      <w:r w:rsidRPr="006B3F59">
        <w:t xml:space="preserve">Na základě hlavních analytických zjištění byly v rámci aktualizace definovány 3 rozvojové směry:  </w:t>
      </w:r>
    </w:p>
    <w:p w14:paraId="0AFDC8BC" w14:textId="77777777" w:rsidR="00CC78F3" w:rsidRPr="006B3F59" w:rsidRDefault="00CC78F3" w:rsidP="00CC78F3">
      <w:r w:rsidRPr="006B3F59">
        <w:t>1) Soudržná a zdravá metropole</w:t>
      </w:r>
    </w:p>
    <w:p w14:paraId="450A9C87" w14:textId="77777777" w:rsidR="00CC78F3" w:rsidRPr="006B3F59" w:rsidRDefault="00CC78F3" w:rsidP="00CC78F3">
      <w:r w:rsidRPr="006B3F59">
        <w:t>2) Prosperující a kreativní metropole</w:t>
      </w:r>
    </w:p>
    <w:p w14:paraId="4323C4C7" w14:textId="77777777" w:rsidR="00CC78F3" w:rsidRPr="006B3F59" w:rsidRDefault="00CC78F3" w:rsidP="00CC78F3">
      <w:r w:rsidRPr="006B3F59">
        <w:t>3) Dobře spravovaná metropole</w:t>
      </w:r>
    </w:p>
    <w:p w14:paraId="4E40E90C" w14:textId="77777777" w:rsidR="00CC78F3" w:rsidRPr="006B3F59" w:rsidRDefault="00CC78F3" w:rsidP="00CC78F3">
      <w:r w:rsidRPr="006B3F59">
        <w:t xml:space="preserve">Každý strategický směr (Soudržná a zdravá metropole; Prosperující a kreativní metropole; Dobře spravovaná metropole) bude v následujících fázích rozpracována ve střednědobém (čtyřletém) horizontu vlastním realizačním programem, který zároveň popisuje nastavení kompetencí do činnosti úřadů a institucí hlavního města a městských částí. Následně budou zpracovány i roční prováděcí plány, které objasňují </w:t>
      </w:r>
      <w:r w:rsidRPr="006B3F59">
        <w:lastRenderedPageBreak/>
        <w:t>detailní postup přípravy jednotlivých projektů. Účelem tohoto procesu je završit proces implementace do činností a chodu města a jeho městských částí.</w:t>
      </w:r>
    </w:p>
    <w:p w14:paraId="2B395AA3" w14:textId="1DA1DE3A" w:rsidR="00CC78F3" w:rsidRPr="006B3F59" w:rsidRDefault="00CC78F3" w:rsidP="00CC78F3">
      <w:r w:rsidRPr="006B3F59">
        <w:t>V rámci strategického směru Soudržná a zdravá metropole, je navrhována priorita Udržitelná mobilita a její strategická opatření Preference veřejné dopravy</w:t>
      </w:r>
      <w:r w:rsidR="0089521C" w:rsidRPr="006B3F59">
        <w:t xml:space="preserve"> </w:t>
      </w:r>
      <w:r w:rsidRPr="006B3F59">
        <w:t>a Kvalita veřejný prostranství, která rozvíjejí klíčová opatření:</w:t>
      </w:r>
    </w:p>
    <w:p w14:paraId="5256DA8F" w14:textId="77777777" w:rsidR="00CC78F3" w:rsidRPr="006B3F59" w:rsidRDefault="00CC78F3" w:rsidP="00CC78F3">
      <w:pPr>
        <w:pStyle w:val="Odrky1"/>
        <w:spacing w:before="120"/>
      </w:pPr>
      <w:r w:rsidRPr="006B3F59">
        <w:t>Zvyšovat komfort užívání veřejné dopravy</w:t>
      </w:r>
    </w:p>
    <w:p w14:paraId="777D155D" w14:textId="77777777" w:rsidR="00CC78F3" w:rsidRPr="006B3F59" w:rsidRDefault="00CC78F3" w:rsidP="00CC78F3">
      <w:pPr>
        <w:pStyle w:val="Odrky1"/>
        <w:spacing w:before="120"/>
      </w:pPr>
      <w:r w:rsidRPr="006B3F59">
        <w:t>Sledovat vyšší kvalitu veřejných prostranství při návrhu dopravních řešení</w:t>
      </w:r>
    </w:p>
    <w:p w14:paraId="14A9865A" w14:textId="77777777" w:rsidR="00CC78F3" w:rsidRPr="006B3F59" w:rsidRDefault="00CC78F3" w:rsidP="00CC78F3">
      <w:r w:rsidRPr="006B3F59">
        <w:t>Hodnocení vztahu vůči posuzovanému dokumentu:</w:t>
      </w:r>
    </w:p>
    <w:tbl>
      <w:tblPr>
        <w:tblStyle w:val="Mkatabulky"/>
        <w:tblW w:w="0" w:type="auto"/>
        <w:tblLook w:val="04A0" w:firstRow="1" w:lastRow="0" w:firstColumn="1" w:lastColumn="0" w:noHBand="0" w:noVBand="1"/>
      </w:tblPr>
      <w:tblGrid>
        <w:gridCol w:w="3209"/>
        <w:gridCol w:w="1181"/>
        <w:gridCol w:w="5238"/>
      </w:tblGrid>
      <w:tr w:rsidR="00CC78F3" w:rsidRPr="006B3F59" w14:paraId="644E520D" w14:textId="77777777" w:rsidTr="00B34C98">
        <w:tc>
          <w:tcPr>
            <w:tcW w:w="3209" w:type="dxa"/>
          </w:tcPr>
          <w:p w14:paraId="4693DE05" w14:textId="77777777" w:rsidR="00CC78F3" w:rsidRPr="006B3F59" w:rsidRDefault="00CC78F3" w:rsidP="00B34C98">
            <w:r w:rsidRPr="006B3F59">
              <w:t>Relevantní cíl</w:t>
            </w:r>
          </w:p>
        </w:tc>
        <w:tc>
          <w:tcPr>
            <w:tcW w:w="1181" w:type="dxa"/>
          </w:tcPr>
          <w:p w14:paraId="31B94FEB" w14:textId="77777777" w:rsidR="00CC78F3" w:rsidRPr="006B3F59" w:rsidRDefault="00CC78F3" w:rsidP="00B34C98">
            <w:r w:rsidRPr="006B3F59">
              <w:t>Vzájemná vazba</w:t>
            </w:r>
          </w:p>
        </w:tc>
        <w:tc>
          <w:tcPr>
            <w:tcW w:w="5238" w:type="dxa"/>
          </w:tcPr>
          <w:p w14:paraId="2D3BA5A4" w14:textId="77777777" w:rsidR="00CC78F3" w:rsidRPr="006B3F59" w:rsidRDefault="00CC78F3" w:rsidP="00B34C98">
            <w:r w:rsidRPr="006B3F59">
              <w:t>Komentář</w:t>
            </w:r>
          </w:p>
        </w:tc>
      </w:tr>
      <w:tr w:rsidR="00CC78F3" w:rsidRPr="006B3F59" w14:paraId="5181A12B" w14:textId="77777777" w:rsidTr="00B34C98">
        <w:tc>
          <w:tcPr>
            <w:tcW w:w="3209" w:type="dxa"/>
          </w:tcPr>
          <w:p w14:paraId="2BAEB5E2" w14:textId="77777777" w:rsidR="00CC78F3" w:rsidRPr="006B3F59" w:rsidRDefault="00CC78F3">
            <w:pPr>
              <w:pStyle w:val="Odstavecseseznamem"/>
              <w:numPr>
                <w:ilvl w:val="0"/>
                <w:numId w:val="29"/>
              </w:numPr>
              <w:ind w:left="306" w:hanging="284"/>
              <w:rPr>
                <w:lang w:eastAsia="cs-CZ"/>
              </w:rPr>
            </w:pPr>
            <w:r w:rsidRPr="006B3F59">
              <w:rPr>
                <w:lang w:eastAsia="cs-CZ"/>
              </w:rPr>
              <w:t>Zvyšovat komfort užívání veřejné dopravy</w:t>
            </w:r>
          </w:p>
        </w:tc>
        <w:tc>
          <w:tcPr>
            <w:tcW w:w="1181" w:type="dxa"/>
          </w:tcPr>
          <w:p w14:paraId="68846DED" w14:textId="77777777" w:rsidR="00CC78F3" w:rsidRPr="006B3F59" w:rsidRDefault="00CC78F3" w:rsidP="00B34C98">
            <w:r w:rsidRPr="006B3F59">
              <w:t>1 pozitivní</w:t>
            </w:r>
          </w:p>
        </w:tc>
        <w:tc>
          <w:tcPr>
            <w:tcW w:w="5238" w:type="dxa"/>
          </w:tcPr>
          <w:p w14:paraId="3B79FA3C" w14:textId="7E870C6B" w:rsidR="00CC78F3" w:rsidRPr="006B3F59" w:rsidRDefault="00CC78F3" w:rsidP="00B34C98">
            <w:r w:rsidRPr="006B3F59">
              <w:t xml:space="preserve">Mírně pozitivní vazba na tuto prioritu. </w:t>
            </w:r>
            <w:r w:rsidRPr="006B3F59">
              <w:rPr>
                <w:rFonts w:cs="Arial"/>
                <w:szCs w:val="16"/>
              </w:rPr>
              <w:t xml:space="preserve">Posuzovaná </w:t>
            </w:r>
            <w:r w:rsidR="0089521C" w:rsidRPr="006B3F59">
              <w:rPr>
                <w:rFonts w:cs="Arial"/>
                <w:szCs w:val="16"/>
              </w:rPr>
              <w:t>změna</w:t>
            </w:r>
            <w:r w:rsidRPr="006B3F59">
              <w:rPr>
                <w:rFonts w:cs="Arial"/>
                <w:szCs w:val="16"/>
              </w:rPr>
              <w:t xml:space="preserve"> podrobněji prověřuje, upravuje a prostor v zázemí centra města s výjimečnými možnostmi dopravní obsluhy a dotváří územní předpoklady pro vytvoření komfortních přestupních vazeb</w:t>
            </w:r>
            <w:r w:rsidR="003411C7">
              <w:rPr>
                <w:rFonts w:cs="Arial"/>
                <w:szCs w:val="16"/>
              </w:rPr>
              <w:t xml:space="preserve"> a zlepšení kapacity a komfortu VHD</w:t>
            </w:r>
            <w:r w:rsidRPr="006B3F59">
              <w:rPr>
                <w:rFonts w:cs="Arial"/>
                <w:szCs w:val="16"/>
              </w:rPr>
              <w:t>.</w:t>
            </w:r>
          </w:p>
        </w:tc>
      </w:tr>
      <w:tr w:rsidR="00CC78F3" w:rsidRPr="006B3F59" w14:paraId="7262AF8B" w14:textId="77777777" w:rsidTr="00B34C98">
        <w:tc>
          <w:tcPr>
            <w:tcW w:w="3209" w:type="dxa"/>
          </w:tcPr>
          <w:p w14:paraId="2CD737B6" w14:textId="77777777" w:rsidR="00CC78F3" w:rsidRPr="006B3F59" w:rsidRDefault="00CC78F3" w:rsidP="00B34C98">
            <w:pPr>
              <w:pStyle w:val="Odrky1"/>
              <w:spacing w:before="120"/>
            </w:pPr>
            <w:r w:rsidRPr="006B3F59">
              <w:t>Sledovat vyšší kvalitu veřejných prostranství při návrhu dopravních řešení</w:t>
            </w:r>
          </w:p>
        </w:tc>
        <w:tc>
          <w:tcPr>
            <w:tcW w:w="1181" w:type="dxa"/>
          </w:tcPr>
          <w:p w14:paraId="57811077" w14:textId="1828C46B" w:rsidR="00CC78F3" w:rsidRPr="006B3F59" w:rsidRDefault="0089521C" w:rsidP="00B34C98">
            <w:r w:rsidRPr="006B3F59">
              <w:t>2</w:t>
            </w:r>
            <w:r w:rsidR="00CC78F3" w:rsidRPr="006B3F59">
              <w:t xml:space="preserve"> pozitivní </w:t>
            </w:r>
          </w:p>
        </w:tc>
        <w:tc>
          <w:tcPr>
            <w:tcW w:w="5238" w:type="dxa"/>
          </w:tcPr>
          <w:p w14:paraId="0D618CC9" w14:textId="53D9B163" w:rsidR="00CC78F3" w:rsidRPr="006B3F59" w:rsidRDefault="0089521C" w:rsidP="00B34C98">
            <w:r w:rsidRPr="006B3F59">
              <w:t>Silně</w:t>
            </w:r>
            <w:r w:rsidR="00CC78F3" w:rsidRPr="006B3F59">
              <w:t xml:space="preserve"> pozitivní vazba. Posuzovaná změna reaguje na související strategická rozhodnutí</w:t>
            </w:r>
            <w:r w:rsidRPr="006B3F59">
              <w:t xml:space="preserve"> </w:t>
            </w:r>
            <w:r w:rsidR="003411C7">
              <w:t xml:space="preserve">vytváří územní předpoklady pro </w:t>
            </w:r>
            <w:r w:rsidRPr="006B3F59">
              <w:rPr>
                <w:rFonts w:cs="Arial"/>
                <w:szCs w:val="16"/>
              </w:rPr>
              <w:t xml:space="preserve">veřejná prostranství </w:t>
            </w:r>
            <w:r w:rsidR="004A5172" w:rsidRPr="006B3F59">
              <w:rPr>
                <w:rFonts w:cs="Arial"/>
                <w:szCs w:val="16"/>
              </w:rPr>
              <w:t xml:space="preserve">v již urbanizovaném </w:t>
            </w:r>
            <w:r w:rsidR="003577E4" w:rsidRPr="006B3F59">
              <w:rPr>
                <w:rFonts w:cs="Arial"/>
                <w:szCs w:val="16"/>
              </w:rPr>
              <w:t>území s</w:t>
            </w:r>
            <w:r w:rsidR="00CC78F3" w:rsidRPr="006B3F59">
              <w:rPr>
                <w:rFonts w:cs="Arial"/>
                <w:szCs w:val="16"/>
              </w:rPr>
              <w:t> výjimečnými možnostmi dopravní obsluhy</w:t>
            </w:r>
            <w:r w:rsidR="004A5172" w:rsidRPr="006B3F59">
              <w:rPr>
                <w:rFonts w:cs="Arial"/>
                <w:szCs w:val="16"/>
              </w:rPr>
              <w:t>.</w:t>
            </w:r>
          </w:p>
        </w:tc>
      </w:tr>
    </w:tbl>
    <w:p w14:paraId="4EF54DFF" w14:textId="4787D3A1" w:rsidR="00CC78F3" w:rsidRPr="006B3F59" w:rsidRDefault="00CC78F3" w:rsidP="00CC78F3">
      <w:pPr>
        <w:rPr>
          <w:i/>
        </w:rPr>
      </w:pPr>
      <w:r w:rsidRPr="006B3F59">
        <w:rPr>
          <w:i/>
        </w:rPr>
        <w:t>Komentář: Posuzovaná změna územního plánu má vůči této koncepcí přímo pozitivní vazbu v otázce zlepšení kvality veřejných prostranství přímo pozitivně se potom projeví vybavení území bezemisní VHD. Vzájemný vztah je tedy významně pozitivní.</w:t>
      </w:r>
    </w:p>
    <w:p w14:paraId="4FDC7E89" w14:textId="77777777" w:rsidR="00AB4563" w:rsidRPr="006B3F59" w:rsidRDefault="00AB4563" w:rsidP="00AB4563">
      <w:pPr>
        <w:pStyle w:val="Podnadpis1"/>
      </w:pPr>
      <w:r w:rsidRPr="006B3F59">
        <w:t xml:space="preserve">Plán udržitelné mobility Prahy a okolí </w:t>
      </w:r>
    </w:p>
    <w:p w14:paraId="6A0E9A7F" w14:textId="77777777" w:rsidR="00AB4563" w:rsidRPr="006B3F59" w:rsidRDefault="00AB4563" w:rsidP="00AB4563">
      <w:r w:rsidRPr="006B3F59">
        <w:t xml:space="preserve">Plán udržitelné mobility Prahy a okolí (ve světě zvané anglicky </w:t>
      </w:r>
      <w:proofErr w:type="spellStart"/>
      <w:r w:rsidRPr="006B3F59">
        <w:t>Sustainable</w:t>
      </w:r>
      <w:proofErr w:type="spellEnd"/>
      <w:r w:rsidRPr="006B3F59">
        <w:t xml:space="preserve"> Urban Mobility Plan) je novým strategickým dokumentem – plánem v oblasti dopravy. Plán udržitelné mobility Prahy a okolí má vést ke zlepšení kvality života v městském prostředí hlavního města Prahy s přesahem do spádového území ve Středočeském kraji – tzv. metropolitní oblasti. </w:t>
      </w:r>
    </w:p>
    <w:p w14:paraId="4D49EBF4" w14:textId="77777777" w:rsidR="00AB4563" w:rsidRPr="006B3F59" w:rsidRDefault="00AB4563" w:rsidP="00AB4563">
      <w:r w:rsidRPr="006B3F59">
        <w:t>Plán udržitelné mobility Prahy a okolí je vypracováván pro samotnou Prahu a pro tzv. metropolitní oblast – část Středočeského kraje kolem hlavního města. Jeho cílem je střednědobé koncepční a strategické řešení dopravního systému jako celku v souladu s principy udržitelné mobility, vycházejícím z evropských dokumentů Akčního plánu pro městskou mobilitu (2009) a Bílé knihy: Plán jednotného evropského dopravního prostoru – vytvoření konkurenceschopného dopravního systému účinně využívajícího zdroje (2011).</w:t>
      </w:r>
    </w:p>
    <w:p w14:paraId="27EDC61C" w14:textId="77777777" w:rsidR="00AB4563" w:rsidRPr="006B3F59" w:rsidRDefault="00AB4563" w:rsidP="00AB4563">
      <w:r w:rsidRPr="006B3F59">
        <w:t>Plán udržitelné mobility Prahy a okolí je nyní hlavním koncepčním dokumentem v oblasti dopravy pro Hlavní město Prahu s přesahem do Středočeského kraje, čímž nahradil současné Zásady dopravní politiky (schválené usnesením Zastupitelstva HMP č. 13/21 dne 11. 1. 1996).</w:t>
      </w:r>
    </w:p>
    <w:p w14:paraId="67D5EB2C" w14:textId="77777777" w:rsidR="00AB4563" w:rsidRPr="006B3F59" w:rsidRDefault="00AB4563" w:rsidP="00AB4563">
      <w:r w:rsidRPr="006B3F59">
        <w:t xml:space="preserve">Cílem Plánu udržitelné mobility Prahy a okolí je zajistit dopravu obyvatel a přepravu zboží tak, aby všechny způsoby pohybu po městě fungovaly v souladu. Aby se navzájem zbytečně neomezovaly, řídily se zejména potřebami lidí, kteří ve městě a jeho okolí žijí, a zároveň aby se zlepšila kvalita života v Praze a okolí. </w:t>
      </w:r>
    </w:p>
    <w:p w14:paraId="14ABF05F" w14:textId="2A8C6097" w:rsidR="00AB4563" w:rsidRPr="006B3F59" w:rsidRDefault="00AB4563" w:rsidP="00AB4563">
      <w:r w:rsidRPr="006B3F59">
        <w:t xml:space="preserve">Plán udržitelné mobility Prahy a okolí řeší dopravu jako celek s důrazem na vzájemnou provázanost jednotlivých módů a má vést ke zlepšení kvality života v městském prostředí hlavního města Prahy s přesahem do spádového území ve Středočeském kraji. V rámci postupu přípravy Strategickými cíli je zvýšení prostorové efektivity dopravy, snížení uhlíkové stopy, zvýšení výkonnosti a </w:t>
      </w:r>
      <w:r w:rsidR="001D749A" w:rsidRPr="006B3F59">
        <w:t>spolehlivosti</w:t>
      </w:r>
      <w:r w:rsidRPr="006B3F59">
        <w:t xml:space="preserve"> atd. S tím přímo souvisí klíčový nástroj vedoucí k dosažení </w:t>
      </w:r>
      <w:r w:rsidR="001D749A" w:rsidRPr="006B3F59">
        <w:t>cílů – rozvoj</w:t>
      </w:r>
      <w:r w:rsidRPr="006B3F59">
        <w:t xml:space="preserve"> železniční infrastruktury spočívající ve zkapacitnění infrastruktury, elektrifikaci, zlepšení přestupních vazeb VHD a návaznost na P+R.</w:t>
      </w:r>
    </w:p>
    <w:p w14:paraId="233129E1" w14:textId="77777777" w:rsidR="00AB4563" w:rsidRPr="006B3F59" w:rsidRDefault="00AB4563" w:rsidP="00AB4563">
      <w:pPr>
        <w:pStyle w:val="Odrky1"/>
        <w:numPr>
          <w:ilvl w:val="0"/>
          <w:numId w:val="0"/>
        </w:numPr>
        <w:spacing w:before="120"/>
        <w:ind w:left="360" w:hanging="360"/>
      </w:pPr>
      <w:r w:rsidRPr="006B3F59">
        <w:t>Hlavní zásady Plánu udržitelné mobility Prahy a okolí jsou následující:</w:t>
      </w:r>
    </w:p>
    <w:p w14:paraId="30206D83" w14:textId="77777777" w:rsidR="00AB4563" w:rsidRPr="006B3F59" w:rsidRDefault="00AB4563" w:rsidP="00AB4563">
      <w:pPr>
        <w:pStyle w:val="Odrky1"/>
      </w:pPr>
      <w:r w:rsidRPr="006B3F59">
        <w:t xml:space="preserve">Preferování veřejné dopravy a rozvoj kolejové dopravy </w:t>
      </w:r>
    </w:p>
    <w:p w14:paraId="67160D15" w14:textId="77777777" w:rsidR="00AB4563" w:rsidRPr="006B3F59" w:rsidRDefault="00AB4563" w:rsidP="00AB4563">
      <w:pPr>
        <w:pStyle w:val="Odrky1"/>
      </w:pPr>
      <w:r w:rsidRPr="006B3F59">
        <w:t xml:space="preserve">Provázanost veřejné dopravy s ostatními druhy dopravy </w:t>
      </w:r>
    </w:p>
    <w:p w14:paraId="5400DE4E" w14:textId="77777777" w:rsidR="00AB4563" w:rsidRPr="006B3F59" w:rsidRDefault="00AB4563" w:rsidP="00AB4563">
      <w:pPr>
        <w:pStyle w:val="Odrky1"/>
      </w:pPr>
      <w:r w:rsidRPr="006B3F59">
        <w:t xml:space="preserve">Snížení citlivosti a zmírnění kapacitních problémů v dopravní síti </w:t>
      </w:r>
    </w:p>
    <w:p w14:paraId="405D43F5" w14:textId="77777777" w:rsidR="00AB4563" w:rsidRPr="006B3F59" w:rsidRDefault="00AB4563" w:rsidP="00AB4563">
      <w:pPr>
        <w:pStyle w:val="Odrky1"/>
      </w:pPr>
      <w:r w:rsidRPr="006B3F59">
        <w:t xml:space="preserve">Nová propojení pro různé druhy dopravy </w:t>
      </w:r>
    </w:p>
    <w:p w14:paraId="5504DDE0" w14:textId="77777777" w:rsidR="00AB4563" w:rsidRPr="006B3F59" w:rsidRDefault="00AB4563" w:rsidP="00AB4563">
      <w:pPr>
        <w:pStyle w:val="Odrky1"/>
      </w:pPr>
      <w:r w:rsidRPr="006B3F59">
        <w:t xml:space="preserve">Podpora chůze a dopravní cyklistiky </w:t>
      </w:r>
    </w:p>
    <w:p w14:paraId="36C0CC58" w14:textId="77777777" w:rsidR="00AB4563" w:rsidRPr="006B3F59" w:rsidRDefault="00AB4563" w:rsidP="00AB4563">
      <w:pPr>
        <w:pStyle w:val="Odrky1"/>
      </w:pPr>
      <w:r w:rsidRPr="006B3F59">
        <w:t xml:space="preserve">Optimalizace zásobování města </w:t>
      </w:r>
    </w:p>
    <w:p w14:paraId="1D6C0A03" w14:textId="77777777" w:rsidR="00AB4563" w:rsidRPr="006B3F59" w:rsidRDefault="00AB4563" w:rsidP="00AB4563">
      <w:pPr>
        <w:pStyle w:val="Odrky1"/>
      </w:pPr>
      <w:r w:rsidRPr="006B3F59">
        <w:t xml:space="preserve">Zlepšení přístupnosti dopravy, dopravní infrastruktury a veřejných prostranství pro různé skupiny obyvatel </w:t>
      </w:r>
    </w:p>
    <w:p w14:paraId="54C8D7DA" w14:textId="77777777" w:rsidR="00AB4563" w:rsidRPr="006B3F59" w:rsidRDefault="00AB4563" w:rsidP="00AB4563">
      <w:pPr>
        <w:pStyle w:val="Odrky1"/>
      </w:pPr>
      <w:r w:rsidRPr="006B3F59">
        <w:lastRenderedPageBreak/>
        <w:t xml:space="preserve">Zlepšení kvality veřejných prostranství </w:t>
      </w:r>
    </w:p>
    <w:p w14:paraId="380D99F7" w14:textId="77777777" w:rsidR="00AB4563" w:rsidRPr="006B3F59" w:rsidRDefault="00AB4563" w:rsidP="00AB4563">
      <w:pPr>
        <w:pStyle w:val="Odrky1"/>
      </w:pPr>
      <w:r w:rsidRPr="006B3F59">
        <w:t xml:space="preserve">Snížení znečištění ovzduší, hlukové zátěže a uhlíkové stopy </w:t>
      </w:r>
    </w:p>
    <w:p w14:paraId="7CD8756A" w14:textId="77777777" w:rsidR="00AB4563" w:rsidRPr="006B3F59" w:rsidRDefault="00AB4563" w:rsidP="00AB4563">
      <w:pPr>
        <w:pStyle w:val="Odrky1"/>
      </w:pPr>
      <w:r w:rsidRPr="006B3F59">
        <w:t xml:space="preserve">Snížení prostorových nároků dopravy </w:t>
      </w:r>
    </w:p>
    <w:p w14:paraId="171D57CD" w14:textId="77777777" w:rsidR="00AB4563" w:rsidRPr="006B3F59" w:rsidRDefault="00AB4563" w:rsidP="00AB4563">
      <w:pPr>
        <w:pStyle w:val="Odrky1"/>
      </w:pPr>
      <w:r w:rsidRPr="006B3F59">
        <w:t xml:space="preserve">Snížení dopravní nehodovosti </w:t>
      </w:r>
    </w:p>
    <w:p w14:paraId="5BBE035A" w14:textId="77777777" w:rsidR="00AB4563" w:rsidRPr="006B3F59" w:rsidRDefault="00AB4563" w:rsidP="00AB4563">
      <w:pPr>
        <w:pStyle w:val="Odrky1"/>
      </w:pPr>
      <w:r w:rsidRPr="006B3F59">
        <w:t xml:space="preserve">Finanční udržitelnost dopravního systému </w:t>
      </w:r>
    </w:p>
    <w:p w14:paraId="23937029" w14:textId="77777777" w:rsidR="00AB4563" w:rsidRPr="006B3F59" w:rsidRDefault="00AB4563" w:rsidP="00AB4563">
      <w:pPr>
        <w:pStyle w:val="Odrky1"/>
      </w:pPr>
      <w:r w:rsidRPr="006B3F59">
        <w:t xml:space="preserve">Procesní podpora udržitelné mobility a efektivní správy města </w:t>
      </w:r>
    </w:p>
    <w:p w14:paraId="6A428DEA" w14:textId="77777777" w:rsidR="00AB4563" w:rsidRPr="006B3F59" w:rsidRDefault="00AB4563" w:rsidP="00AB4563">
      <w:pPr>
        <w:pStyle w:val="Odrky1"/>
      </w:pPr>
      <w:r w:rsidRPr="006B3F59">
        <w:t xml:space="preserve">Udržitelný územní rozvoj Pražské metropolitní oblasti </w:t>
      </w:r>
    </w:p>
    <w:p w14:paraId="164B2C9E" w14:textId="14260011" w:rsidR="00AB4563" w:rsidRPr="006B3F59" w:rsidRDefault="00AB4563" w:rsidP="00AB4563">
      <w:pPr>
        <w:pStyle w:val="Odrky1"/>
      </w:pPr>
      <w:r w:rsidRPr="006B3F59">
        <w:t>Ekonomický rozvoj města</w:t>
      </w:r>
    </w:p>
    <w:p w14:paraId="130AD967" w14:textId="77777777" w:rsidR="000965AD" w:rsidRPr="006B3F59" w:rsidRDefault="000965AD" w:rsidP="000965AD">
      <w:r w:rsidRPr="006B3F59">
        <w:t>Hodnocení vztahu vůči posuzovanému dokumentu:</w:t>
      </w:r>
    </w:p>
    <w:tbl>
      <w:tblPr>
        <w:tblStyle w:val="Mkatabulky"/>
        <w:tblW w:w="0" w:type="auto"/>
        <w:tblLook w:val="04A0" w:firstRow="1" w:lastRow="0" w:firstColumn="1" w:lastColumn="0" w:noHBand="0" w:noVBand="1"/>
      </w:tblPr>
      <w:tblGrid>
        <w:gridCol w:w="3209"/>
        <w:gridCol w:w="1181"/>
        <w:gridCol w:w="5238"/>
      </w:tblGrid>
      <w:tr w:rsidR="000965AD" w:rsidRPr="006B3F59" w14:paraId="5D6E7235" w14:textId="77777777" w:rsidTr="00B34C98">
        <w:tc>
          <w:tcPr>
            <w:tcW w:w="3209" w:type="dxa"/>
          </w:tcPr>
          <w:p w14:paraId="2243065B" w14:textId="77777777" w:rsidR="000965AD" w:rsidRPr="006B3F59" w:rsidRDefault="000965AD" w:rsidP="00B34C98">
            <w:r w:rsidRPr="006B3F59">
              <w:t>Relevantní cíl</w:t>
            </w:r>
          </w:p>
        </w:tc>
        <w:tc>
          <w:tcPr>
            <w:tcW w:w="1181" w:type="dxa"/>
          </w:tcPr>
          <w:p w14:paraId="0057A4E8" w14:textId="77777777" w:rsidR="000965AD" w:rsidRPr="006B3F59" w:rsidRDefault="000965AD" w:rsidP="00B34C98">
            <w:r w:rsidRPr="006B3F59">
              <w:t>Vzájemná vazba</w:t>
            </w:r>
          </w:p>
        </w:tc>
        <w:tc>
          <w:tcPr>
            <w:tcW w:w="5238" w:type="dxa"/>
          </w:tcPr>
          <w:p w14:paraId="3D5E1593" w14:textId="77777777" w:rsidR="000965AD" w:rsidRPr="006B3F59" w:rsidRDefault="000965AD" w:rsidP="00B34C98">
            <w:r w:rsidRPr="006B3F59">
              <w:t>Komentář</w:t>
            </w:r>
          </w:p>
        </w:tc>
      </w:tr>
      <w:tr w:rsidR="000965AD" w:rsidRPr="006B3F59" w14:paraId="037E933B" w14:textId="77777777" w:rsidTr="00B34C98">
        <w:tc>
          <w:tcPr>
            <w:tcW w:w="3209" w:type="dxa"/>
          </w:tcPr>
          <w:p w14:paraId="71204041" w14:textId="1DB382A9" w:rsidR="000965AD" w:rsidRPr="006B3F59" w:rsidRDefault="000965AD" w:rsidP="000965AD">
            <w:pPr>
              <w:pStyle w:val="Odstavecseseznamem"/>
              <w:numPr>
                <w:ilvl w:val="0"/>
                <w:numId w:val="29"/>
              </w:numPr>
              <w:ind w:left="306" w:hanging="284"/>
              <w:rPr>
                <w:lang w:eastAsia="cs-CZ"/>
              </w:rPr>
            </w:pPr>
            <w:r w:rsidRPr="006B3F59">
              <w:t xml:space="preserve">Preferování veřejné dopravy a rozvoj kolejové dopravy </w:t>
            </w:r>
          </w:p>
        </w:tc>
        <w:tc>
          <w:tcPr>
            <w:tcW w:w="1181" w:type="dxa"/>
          </w:tcPr>
          <w:p w14:paraId="7D4DF81E" w14:textId="0FA34218" w:rsidR="000965AD" w:rsidRPr="006B3F59" w:rsidRDefault="000965AD" w:rsidP="000965AD">
            <w:r w:rsidRPr="006B3F59">
              <w:t>2 pozitivní</w:t>
            </w:r>
          </w:p>
        </w:tc>
        <w:tc>
          <w:tcPr>
            <w:tcW w:w="5238" w:type="dxa"/>
          </w:tcPr>
          <w:p w14:paraId="33349681" w14:textId="2CF783AF" w:rsidR="000965AD" w:rsidRPr="006B3F59" w:rsidRDefault="000965AD" w:rsidP="000965AD">
            <w:r w:rsidRPr="006B3F59">
              <w:t xml:space="preserve">Silně pozitivní vazba na tuto prioritu. </w:t>
            </w:r>
            <w:r w:rsidRPr="006B3F59">
              <w:rPr>
                <w:rFonts w:cs="Arial"/>
                <w:szCs w:val="16"/>
              </w:rPr>
              <w:t>Posuzovaná změna podrobněji prověřuje, upravuje možnosti dopravní obsluhy území kolejovou dopravou a návaznosti na sousední regiony a dotváří územní předpoklady pro vytvoření komfortních přestupních vazeb.</w:t>
            </w:r>
          </w:p>
        </w:tc>
      </w:tr>
      <w:tr w:rsidR="000965AD" w:rsidRPr="006B3F59" w14:paraId="751DB031" w14:textId="77777777" w:rsidTr="00B34C98">
        <w:tc>
          <w:tcPr>
            <w:tcW w:w="3209" w:type="dxa"/>
          </w:tcPr>
          <w:p w14:paraId="29E2F309" w14:textId="771A96A9" w:rsidR="000965AD" w:rsidRPr="006B3F59" w:rsidRDefault="000965AD" w:rsidP="000965AD">
            <w:pPr>
              <w:pStyle w:val="Odrky1"/>
              <w:spacing w:before="120"/>
            </w:pPr>
            <w:r w:rsidRPr="006B3F59">
              <w:t xml:space="preserve">Provázanost veřejné dopravy s ostatními druhy dopravy </w:t>
            </w:r>
          </w:p>
        </w:tc>
        <w:tc>
          <w:tcPr>
            <w:tcW w:w="1181" w:type="dxa"/>
          </w:tcPr>
          <w:p w14:paraId="02926761" w14:textId="77777777" w:rsidR="000965AD" w:rsidRPr="006B3F59" w:rsidRDefault="000965AD" w:rsidP="000965AD">
            <w:r w:rsidRPr="006B3F59">
              <w:t xml:space="preserve">2 pozitivní </w:t>
            </w:r>
          </w:p>
        </w:tc>
        <w:tc>
          <w:tcPr>
            <w:tcW w:w="5238" w:type="dxa"/>
          </w:tcPr>
          <w:p w14:paraId="4594B62D" w14:textId="16F4A47A" w:rsidR="000965AD" w:rsidRPr="006B3F59" w:rsidRDefault="000965AD" w:rsidP="000965AD">
            <w:r w:rsidRPr="006B3F59">
              <w:t>Silně pozitivní vazba. Posuzovaná změna reaguje na související strategická rozhodnutí a</w:t>
            </w:r>
            <w:r w:rsidRPr="006B3F59">
              <w:rPr>
                <w:rFonts w:cs="Arial"/>
                <w:szCs w:val="16"/>
              </w:rPr>
              <w:t xml:space="preserve"> podrobněji prověřuje, upravuje parkování P+R a dopravní provázanost ve vazbě na jednotlivé druhy dopravy a sousední region</w:t>
            </w:r>
          </w:p>
        </w:tc>
      </w:tr>
      <w:tr w:rsidR="000965AD" w:rsidRPr="006B3F59" w14:paraId="513CFE42" w14:textId="77777777" w:rsidTr="00B34C98">
        <w:tc>
          <w:tcPr>
            <w:tcW w:w="3209" w:type="dxa"/>
          </w:tcPr>
          <w:p w14:paraId="03CD8037" w14:textId="3B6BEE4B" w:rsidR="000965AD" w:rsidRPr="006B3F59" w:rsidRDefault="000965AD" w:rsidP="000965AD">
            <w:pPr>
              <w:pStyle w:val="Odrky1"/>
              <w:spacing w:before="120"/>
            </w:pPr>
            <w:r w:rsidRPr="006B3F59">
              <w:t xml:space="preserve">Nová propojení pro různé druhy dopravy </w:t>
            </w:r>
          </w:p>
        </w:tc>
        <w:tc>
          <w:tcPr>
            <w:tcW w:w="1181" w:type="dxa"/>
          </w:tcPr>
          <w:p w14:paraId="7DBC69A9" w14:textId="7A2F44F2" w:rsidR="000965AD" w:rsidRPr="006B3F59" w:rsidRDefault="000965AD" w:rsidP="000965AD">
            <w:r w:rsidRPr="006B3F59">
              <w:t xml:space="preserve">2 pozitivní </w:t>
            </w:r>
          </w:p>
        </w:tc>
        <w:tc>
          <w:tcPr>
            <w:tcW w:w="5238" w:type="dxa"/>
          </w:tcPr>
          <w:p w14:paraId="402E74A0" w14:textId="02750229" w:rsidR="000965AD" w:rsidRPr="006B3F59" w:rsidRDefault="000965AD" w:rsidP="000965AD">
            <w:r w:rsidRPr="006B3F59">
              <w:t>Silně pozitivní vazba. Posuzovaná změna reaguje na související strategická rozhodnutí a</w:t>
            </w:r>
            <w:r w:rsidRPr="006B3F59">
              <w:rPr>
                <w:rFonts w:cs="Arial"/>
                <w:szCs w:val="16"/>
              </w:rPr>
              <w:t xml:space="preserve"> podrobněji prověřuje, upravuje parkování P+R a dopravní provázanost ve vazbě na jednotlivé druhy dopravy a sousední region</w:t>
            </w:r>
          </w:p>
        </w:tc>
      </w:tr>
      <w:tr w:rsidR="000965AD" w:rsidRPr="006B3F59" w14:paraId="001A7B36" w14:textId="77777777" w:rsidTr="00B34C98">
        <w:tc>
          <w:tcPr>
            <w:tcW w:w="3209" w:type="dxa"/>
          </w:tcPr>
          <w:p w14:paraId="4A05CB58" w14:textId="36A17D5A" w:rsidR="000965AD" w:rsidRPr="006B3F59" w:rsidRDefault="000965AD" w:rsidP="000965AD">
            <w:pPr>
              <w:pStyle w:val="Odrky1"/>
              <w:spacing w:before="120"/>
            </w:pPr>
            <w:r w:rsidRPr="006B3F59">
              <w:t xml:space="preserve">Podpora chůze a dopravní cyklistiky </w:t>
            </w:r>
          </w:p>
        </w:tc>
        <w:tc>
          <w:tcPr>
            <w:tcW w:w="1181" w:type="dxa"/>
          </w:tcPr>
          <w:p w14:paraId="5B56DCD0" w14:textId="36AEEE74" w:rsidR="000965AD" w:rsidRPr="006B3F59" w:rsidRDefault="000965AD" w:rsidP="000965AD">
            <w:r w:rsidRPr="006B3F59">
              <w:t>1 pozitivní</w:t>
            </w:r>
          </w:p>
        </w:tc>
        <w:tc>
          <w:tcPr>
            <w:tcW w:w="5238" w:type="dxa"/>
          </w:tcPr>
          <w:p w14:paraId="2E61FC58" w14:textId="14FC2DA9" w:rsidR="000965AD" w:rsidRPr="006B3F59" w:rsidRDefault="000965AD" w:rsidP="000965AD">
            <w:r w:rsidRPr="006B3F59">
              <w:t>Mírně pozitivní. Posuzovaná změna prostřednictvím podmínek využití ploch vytváří územní předpoklady pro zlepšení prostupnosti území a obsluhy nemotorovou dopravou.</w:t>
            </w:r>
          </w:p>
        </w:tc>
      </w:tr>
      <w:tr w:rsidR="004D779E" w:rsidRPr="006B3F59" w14:paraId="5FE8F1BD" w14:textId="77777777" w:rsidTr="00B34C98">
        <w:tc>
          <w:tcPr>
            <w:tcW w:w="3209" w:type="dxa"/>
          </w:tcPr>
          <w:p w14:paraId="42CB6CEC" w14:textId="6C6B2D16" w:rsidR="004D779E" w:rsidRPr="006B3F59" w:rsidRDefault="004D779E" w:rsidP="004D779E">
            <w:pPr>
              <w:pStyle w:val="Odrky1"/>
            </w:pPr>
            <w:r w:rsidRPr="006B3F59">
              <w:t xml:space="preserve">Zlepšení kvality veřejných prostranství  </w:t>
            </w:r>
          </w:p>
        </w:tc>
        <w:tc>
          <w:tcPr>
            <w:tcW w:w="1181" w:type="dxa"/>
          </w:tcPr>
          <w:p w14:paraId="111E6A5C" w14:textId="23F6E7DF" w:rsidR="004D779E" w:rsidRPr="006B3F59" w:rsidRDefault="004D779E" w:rsidP="004D779E">
            <w:r w:rsidRPr="006B3F59">
              <w:t>1 pozitivní</w:t>
            </w:r>
          </w:p>
        </w:tc>
        <w:tc>
          <w:tcPr>
            <w:tcW w:w="5238" w:type="dxa"/>
          </w:tcPr>
          <w:p w14:paraId="56E30FFB" w14:textId="1E25AC24" w:rsidR="004D779E" w:rsidRPr="006B3F59" w:rsidRDefault="004D779E" w:rsidP="004D779E">
            <w:r w:rsidRPr="006B3F59">
              <w:t>Mírně pozitivní. Posuzovaná změna</w:t>
            </w:r>
            <w:r w:rsidR="00FB2E11">
              <w:t>,</w:t>
            </w:r>
            <w:r w:rsidRPr="006B3F59">
              <w:t xml:space="preserve"> prostřednictvím podmínek využití ploch</w:t>
            </w:r>
            <w:r w:rsidR="00FB2E11">
              <w:t>,</w:t>
            </w:r>
            <w:r w:rsidRPr="006B3F59">
              <w:t xml:space="preserve"> vytváří územní předpoklady pro zlepšení stávajících a vytvoření nových veřejných prostranství včetně ploch veřejné zeleně.</w:t>
            </w:r>
          </w:p>
        </w:tc>
      </w:tr>
      <w:tr w:rsidR="004D779E" w:rsidRPr="006B3F59" w14:paraId="0A7CB221" w14:textId="77777777" w:rsidTr="00B34C98">
        <w:tc>
          <w:tcPr>
            <w:tcW w:w="3209" w:type="dxa"/>
          </w:tcPr>
          <w:p w14:paraId="38EC580C" w14:textId="299CF43A" w:rsidR="004D779E" w:rsidRPr="006B3F59" w:rsidRDefault="004D779E" w:rsidP="004D779E">
            <w:pPr>
              <w:pStyle w:val="Odrky1"/>
            </w:pPr>
            <w:r w:rsidRPr="006B3F59">
              <w:t xml:space="preserve">Snížení znečištění ovzduší, hlukové zátěže a uhlíkové stopy </w:t>
            </w:r>
          </w:p>
        </w:tc>
        <w:tc>
          <w:tcPr>
            <w:tcW w:w="1181" w:type="dxa"/>
          </w:tcPr>
          <w:p w14:paraId="5DFA8ADE" w14:textId="0DC23E75" w:rsidR="004D779E" w:rsidRPr="006B3F59" w:rsidRDefault="004D779E" w:rsidP="004D779E">
            <w:r w:rsidRPr="006B3F59">
              <w:t>1 pozitivní až 1 negativní</w:t>
            </w:r>
          </w:p>
        </w:tc>
        <w:tc>
          <w:tcPr>
            <w:tcW w:w="5238" w:type="dxa"/>
          </w:tcPr>
          <w:p w14:paraId="6FAE3D90" w14:textId="6DD15B3F" w:rsidR="004D779E" w:rsidRPr="006B3F59" w:rsidRDefault="004D779E" w:rsidP="004D779E">
            <w:r w:rsidRPr="006B3F59">
              <w:t>Mírně pozitivní. Posuzovaná změna</w:t>
            </w:r>
            <w:r w:rsidR="00FB2E11">
              <w:t>,</w:t>
            </w:r>
            <w:r w:rsidRPr="006B3F59">
              <w:t xml:space="preserve"> prostřednictvím vybavení území dopravní infrastrukturou pro bezemisní dopravy, provázanosti jednotlivých druhů dopravy a podmínek využití ploch</w:t>
            </w:r>
            <w:r w:rsidR="00FB2E11">
              <w:t>,</w:t>
            </w:r>
            <w:r w:rsidRPr="006B3F59">
              <w:t xml:space="preserve"> vytváří územní předpoklady pro zlepšení prostupnosti území a obsluhy nemotorovou dopravou</w:t>
            </w:r>
            <w:r w:rsidR="00FE57C6" w:rsidRPr="006B3F59">
              <w:t>,</w:t>
            </w:r>
            <w:r w:rsidRPr="006B3F59">
              <w:t xml:space="preserve"> a tím i zprostředkovaně přispívá ke snížení negativních vlivů dopravy. Na druhou stranu je vymezen koridor pro novou tramvajovou trať a parkoviště P+R jako nový zdroj hlukové zátěže</w:t>
            </w:r>
            <w:r w:rsidR="00642C05">
              <w:t xml:space="preserve"> – </w:t>
            </w:r>
            <w:r w:rsidR="003411C7">
              <w:t xml:space="preserve">potenciálně </w:t>
            </w:r>
            <w:r w:rsidR="00642C05">
              <w:t xml:space="preserve">mírně </w:t>
            </w:r>
            <w:r w:rsidR="00E8312B">
              <w:t>negativní</w:t>
            </w:r>
            <w:r w:rsidR="003411C7">
              <w:t xml:space="preserve"> vliv z hlediska hlukové zátěže</w:t>
            </w:r>
            <w:r w:rsidRPr="006B3F59">
              <w:t xml:space="preserve">. </w:t>
            </w:r>
          </w:p>
        </w:tc>
      </w:tr>
      <w:tr w:rsidR="004D779E" w:rsidRPr="006B3F59" w14:paraId="11AF37D1" w14:textId="77777777" w:rsidTr="00B34C98">
        <w:tc>
          <w:tcPr>
            <w:tcW w:w="3209" w:type="dxa"/>
          </w:tcPr>
          <w:p w14:paraId="46BD5352" w14:textId="055226D2" w:rsidR="004D779E" w:rsidRPr="006B3F59" w:rsidRDefault="004D779E" w:rsidP="004D779E">
            <w:pPr>
              <w:pStyle w:val="Odrky1"/>
            </w:pPr>
            <w:r w:rsidRPr="006B3F59">
              <w:t xml:space="preserve">Snížení prostorových nároků dopravy </w:t>
            </w:r>
          </w:p>
        </w:tc>
        <w:tc>
          <w:tcPr>
            <w:tcW w:w="1181" w:type="dxa"/>
          </w:tcPr>
          <w:p w14:paraId="68324994" w14:textId="121095B9" w:rsidR="004D779E" w:rsidRPr="006B3F59" w:rsidRDefault="004D779E" w:rsidP="004D779E">
            <w:r w:rsidRPr="006B3F59">
              <w:t>1 negativní</w:t>
            </w:r>
          </w:p>
        </w:tc>
        <w:tc>
          <w:tcPr>
            <w:tcW w:w="5238" w:type="dxa"/>
          </w:tcPr>
          <w:p w14:paraId="6C3D95F8" w14:textId="287F7EB7" w:rsidR="004D779E" w:rsidRPr="006B3F59" w:rsidRDefault="004D779E" w:rsidP="004D779E">
            <w:r w:rsidRPr="006B3F59">
              <w:t>Mírně negativní. Jsou vymezovány nové plochy pro rozšíření dopravních ploch, a to i ve volné krajině.</w:t>
            </w:r>
          </w:p>
        </w:tc>
      </w:tr>
    </w:tbl>
    <w:p w14:paraId="5CFB5E5F" w14:textId="2CB4956E" w:rsidR="00AB4563" w:rsidRPr="006B3F59" w:rsidRDefault="00AB4563" w:rsidP="00AB4563">
      <w:pPr>
        <w:rPr>
          <w:i/>
        </w:rPr>
      </w:pPr>
      <w:r w:rsidRPr="006B3F59">
        <w:rPr>
          <w:i/>
        </w:rPr>
        <w:t xml:space="preserve">Komentář: Posuzovaná změna územního plánu má vůči této koncepcí přímo pozitivní vazbu v otázce zlepšení dopravní obslužnosti území VHD a vytvoření územních předpokladů pro novou tramvajovou trať, nepřímo pozitivně se projeví zlepšení kvality veřejných prostranství a dopravní obslužnosti území včetně bezpečnosti dopravy. </w:t>
      </w:r>
    </w:p>
    <w:p w14:paraId="7BA74DE6" w14:textId="77777777" w:rsidR="00CC78F3" w:rsidRPr="006B3F59" w:rsidRDefault="00CC78F3" w:rsidP="00CC78F3">
      <w:pPr>
        <w:pStyle w:val="Podnadpis1"/>
      </w:pPr>
      <w:r w:rsidRPr="006B3F59">
        <w:t>Shrnutí</w:t>
      </w:r>
    </w:p>
    <w:p w14:paraId="4BA6E8D3" w14:textId="6B57F6E3" w:rsidR="00B66572" w:rsidRPr="006B3F59" w:rsidRDefault="00CC78F3" w:rsidP="00025DDF">
      <w:pPr>
        <w:pStyle w:val="Odrky1"/>
        <w:numPr>
          <w:ilvl w:val="0"/>
          <w:numId w:val="0"/>
        </w:numPr>
        <w:rPr>
          <w:rFonts w:eastAsia="Times New Roman" w:cs="Arial"/>
          <w:i/>
          <w:color w:val="000000"/>
          <w:szCs w:val="20"/>
        </w:rPr>
      </w:pPr>
      <w:r w:rsidRPr="006B3F59">
        <w:rPr>
          <w:i/>
          <w:color w:val="000000"/>
        </w:rPr>
        <w:t xml:space="preserve">Na úrovni posouzení vlivů na životní prostředí (SEA) pro řešenou ÚPD lze konstatovat, že návrh změny je vzhledem ke svému charakteru a lokálnímu dopadu většinou bez přímého vztahu vůči ostatním strategickým dokumentům přijatým na evropské, národní a místní úrovni a jejich cílům v oblasti ochrany životního prostředí a veřejného zdraví, s výjimkou strategických dokumentů v oblasti územního plánování. </w:t>
      </w:r>
      <w:bookmarkStart w:id="69" w:name="_Toc531606241"/>
    </w:p>
    <w:p w14:paraId="6479D768" w14:textId="119C48EB" w:rsidR="00F766E8" w:rsidRPr="006B3F59" w:rsidRDefault="00FE57C6" w:rsidP="00FE57C6">
      <w:pPr>
        <w:rPr>
          <w:i/>
        </w:rPr>
      </w:pPr>
      <w:r w:rsidRPr="006B3F59">
        <w:rPr>
          <w:i/>
        </w:rPr>
        <w:lastRenderedPageBreak/>
        <w:t>Řešená koncepce vkládá plochy pro umístění liniové stavby a zastavitelných ploch s bariérovým efektem do území v jehož blízkosti jsou přítomny chráněné environmentální hodnoty, z tohoto pohledu je třeba konstatovat formálně negativní vazbu vůči Strategii ochrany biologické rozmanitosti. Nicméně je třeba konstatovat, že v posuzované koncepci jsou obsažená územně plánovací opatření pro minimalizaci reálných vlivů na environmentálně cenné části území, zejména z hlediska volby trasy průchodu TT územím a rozvojem transformačních ploch.</w:t>
      </w:r>
      <w:r w:rsidRPr="006B3F59">
        <w:rPr>
          <w:bCs/>
        </w:rPr>
        <w:t xml:space="preserve"> </w:t>
      </w:r>
      <w:r w:rsidRPr="006B3F59">
        <w:rPr>
          <w:bCs/>
          <w:i/>
          <w:iCs/>
        </w:rPr>
        <w:t>Návrh se snaží</w:t>
      </w:r>
      <w:r w:rsidR="000A6B26">
        <w:rPr>
          <w:bCs/>
          <w:i/>
          <w:iCs/>
        </w:rPr>
        <w:t>,</w:t>
      </w:r>
      <w:r w:rsidRPr="006B3F59">
        <w:rPr>
          <w:bCs/>
          <w:i/>
          <w:iCs/>
        </w:rPr>
        <w:t xml:space="preserve"> v maximální možné míře</w:t>
      </w:r>
      <w:r w:rsidR="000A6B26">
        <w:rPr>
          <w:bCs/>
          <w:i/>
          <w:iCs/>
        </w:rPr>
        <w:t>,</w:t>
      </w:r>
      <w:r w:rsidRPr="006B3F59">
        <w:rPr>
          <w:bCs/>
          <w:i/>
          <w:iCs/>
        </w:rPr>
        <w:t xml:space="preserve"> oddálit obytnou zástavbu od hrany Podbabských skal. Záměrem je zároveň směřovat atraktivní rekreační plochy i na jiná místa území, a tím snížit počet návštěvníků těchto chráněných oblastí. V těsném kontaktu s řešeným územím Nového Sedlce je Přírodní park Šárka – Lysolaje, který navazuje na jižní až jihozápadní hranu území</w:t>
      </w:r>
      <w:r w:rsidRPr="006B3F59">
        <w:rPr>
          <w:b/>
          <w:bCs/>
          <w:i/>
          <w:iCs/>
        </w:rPr>
        <w:t>.</w:t>
      </w:r>
      <w:r w:rsidRPr="006B3F59">
        <w:rPr>
          <w:bCs/>
        </w:rPr>
        <w:t xml:space="preserve"> </w:t>
      </w:r>
      <w:r w:rsidRPr="006B3F59">
        <w:rPr>
          <w:i/>
        </w:rPr>
        <w:t>Na této strategické úrovni nepředpokládáme významný zásah do populací nebo životních podmínek chráněných druhů. Dotčení konkrétních druhů, resp. biotopů je třeba řešit se znalostí konkrétní podoby umisťovaných záměrů a způsobu jejich realizace v navazujících řízeních. Pro zásah do chráněných území a biotopů chráněných druhů je třeba vyžádat si výjimku dle zákona č. 114/1992 Sb., o ochraně přírody a krajiny, v platném znění.</w:t>
      </w:r>
    </w:p>
    <w:p w14:paraId="76467B82" w14:textId="77777777" w:rsidR="00F766E8" w:rsidRPr="006B3F59" w:rsidRDefault="00FE57C6" w:rsidP="00F766E8">
      <w:pPr>
        <w:rPr>
          <w:i/>
          <w:iCs/>
          <w:lang w:eastAsia="cs-CZ"/>
        </w:rPr>
      </w:pPr>
      <w:r w:rsidRPr="006B3F59">
        <w:rPr>
          <w:i/>
          <w:iCs/>
          <w:lang w:eastAsia="cs-CZ"/>
        </w:rPr>
        <w:t>Posuzovaná koncepce vymezuje smíšené, smíšené a rezidenční plochy a plochy veřejné vybavenosti v podvyužitém území v intravilánu města a zároveň vybavuje území kapacitní bezemisní hromadnou dopravou v koordinaci s dobudováním dopravního systému jako celku, včetně záchytných kapacit a přestupního terminálu jako prevence suburbanizace a s tím spojených zvýšených dopravních vazeb. Na druhou stranu dojde k vytvoření územních předpokladů pro vložení nového zdroje hlukové zátěže do území. Konkrétní ovlivnění a zda k němu vůbec dojde, bude záviset na konkrétním technickém řešení využití území.</w:t>
      </w:r>
      <w:r w:rsidR="00F766E8" w:rsidRPr="006B3F59">
        <w:rPr>
          <w:i/>
          <w:iCs/>
          <w:lang w:eastAsia="cs-CZ"/>
        </w:rPr>
        <w:t xml:space="preserve"> </w:t>
      </w:r>
    </w:p>
    <w:p w14:paraId="4FEDC126" w14:textId="511620A7" w:rsidR="006F02C0" w:rsidRPr="006B3F59" w:rsidRDefault="00F766E8" w:rsidP="00F766E8">
      <w:pPr>
        <w:rPr>
          <w:rFonts w:eastAsia="Times New Roman" w:cs="Arial"/>
          <w:i/>
          <w:color w:val="000000"/>
          <w:szCs w:val="20"/>
        </w:rPr>
      </w:pPr>
      <w:r w:rsidRPr="006B3F59">
        <w:rPr>
          <w:i/>
          <w:color w:val="000000"/>
        </w:rPr>
        <w:t>Změna bude mít pozitivní důsledky především z hlediska sociálního a ekonomického pilíře udržitelného rozvoje, negeneruje významné negativní vlivy na environmentální pilíř udržitelného rozvoje ani sledované cíle ochrany životního prostředí přijaté v ostatních strategických dokumentech</w:t>
      </w:r>
      <w:r w:rsidRPr="006B3F59">
        <w:rPr>
          <w:rFonts w:cs="Arial"/>
          <w:i/>
        </w:rPr>
        <w:t>.</w:t>
      </w:r>
      <w:r w:rsidRPr="006B3F59">
        <w:rPr>
          <w:rFonts w:ascii="Calibri" w:eastAsia="Times New Roman" w:hAnsi="Calibri" w:cs="Calibri"/>
          <w:color w:val="000000"/>
          <w:sz w:val="21"/>
          <w:szCs w:val="21"/>
        </w:rPr>
        <w:t xml:space="preserve"> </w:t>
      </w:r>
      <w:r w:rsidRPr="006B3F59">
        <w:rPr>
          <w:rFonts w:eastAsia="Times New Roman" w:cs="Arial"/>
          <w:i/>
          <w:color w:val="000000"/>
          <w:szCs w:val="20"/>
        </w:rPr>
        <w:t xml:space="preserve">Při implementaci je třeba respektovat podmínky a opatření pro minimalizaci negativních vlivů navržené v rámci SEA. </w:t>
      </w:r>
      <w:r w:rsidR="006F02C0" w:rsidRPr="006B3F59">
        <w:rPr>
          <w:i/>
          <w:color w:val="000000"/>
        </w:rPr>
        <w:t>Cíle výše uvedených koncepcí, u kterých byla identifikována významná relevantní vazba vůči posuzovanému dokumentu</w:t>
      </w:r>
      <w:r w:rsidR="000A6B26">
        <w:rPr>
          <w:i/>
          <w:color w:val="000000"/>
        </w:rPr>
        <w:t>,</w:t>
      </w:r>
      <w:r w:rsidR="006F02C0" w:rsidRPr="006B3F59">
        <w:rPr>
          <w:i/>
          <w:color w:val="000000"/>
        </w:rPr>
        <w:t xml:space="preserve"> slouží jako jeden z podkladů pro stanovení referenčního rámce hodnocení v podobě sady referenčních cílů, podrobněji viz kapitola A.VI.1.</w:t>
      </w:r>
    </w:p>
    <w:p w14:paraId="22267A6C" w14:textId="3AEE1E7F" w:rsidR="00794578" w:rsidRPr="006B3F59" w:rsidRDefault="00794578" w:rsidP="00BA72D5">
      <w:pPr>
        <w:pStyle w:val="Nadpis2"/>
      </w:pPr>
      <w:bookmarkStart w:id="70" w:name="_Toc29298324"/>
      <w:bookmarkStart w:id="71" w:name="_Toc138848103"/>
      <w:r w:rsidRPr="006B3F59">
        <w:t>Údaje o současném stavu životního prostředí v řešeném území a</w:t>
      </w:r>
      <w:r w:rsidR="00A15B83" w:rsidRPr="006B3F59">
        <w:t> </w:t>
      </w:r>
      <w:r w:rsidRPr="006B3F59">
        <w:t>jeho předpokládaném vývoji, pokud by nebyla uplatněna územně plánovací dokumentace.</w:t>
      </w:r>
      <w:bookmarkEnd w:id="69"/>
      <w:bookmarkEnd w:id="70"/>
      <w:bookmarkEnd w:id="71"/>
    </w:p>
    <w:p w14:paraId="2A0B11F9" w14:textId="77777777" w:rsidR="003F0E5A" w:rsidRPr="006B3F59" w:rsidRDefault="003F0E5A" w:rsidP="00A67277">
      <w:pPr>
        <w:pStyle w:val="Nadpis3"/>
      </w:pPr>
      <w:bookmarkStart w:id="72" w:name="_Toc393781522"/>
      <w:bookmarkStart w:id="73" w:name="_Toc29298325"/>
      <w:bookmarkStart w:id="74" w:name="_Toc138848104"/>
      <w:r w:rsidRPr="006B3F59">
        <w:t>Sledované složky životního prostředí a veřejného zdraví</w:t>
      </w:r>
      <w:bookmarkEnd w:id="72"/>
      <w:bookmarkEnd w:id="73"/>
      <w:bookmarkEnd w:id="74"/>
    </w:p>
    <w:p w14:paraId="7F540FFD" w14:textId="11816DE7" w:rsidR="003F0E5A" w:rsidRPr="006B3F59" w:rsidRDefault="003F0E5A" w:rsidP="003F0E5A">
      <w:bookmarkStart w:id="75" w:name="_Toc253478471"/>
      <w:r w:rsidRPr="006B3F59">
        <w:t>Údaje o současném stavu životního prostředí v řešeném území a jeho předpokládaném vývoji, pokud by nebyla uplatněna územně plánovací dokumentace</w:t>
      </w:r>
      <w:bookmarkEnd w:id="75"/>
      <w:r w:rsidRPr="006B3F59">
        <w:t xml:space="preserve">, jsou obsahem Územně analytických podkladů </w:t>
      </w:r>
      <w:r w:rsidR="00C349A2" w:rsidRPr="006B3F59">
        <w:t>Prahy</w:t>
      </w:r>
      <w:r w:rsidRPr="006B3F59">
        <w:t xml:space="preserve"> z roku </w:t>
      </w:r>
      <w:r w:rsidR="007B53D9" w:rsidRPr="006B3F59">
        <w:t>202</w:t>
      </w:r>
      <w:r w:rsidR="00F21238" w:rsidRPr="006B3F59">
        <w:t>0</w:t>
      </w:r>
      <w:r w:rsidRPr="006B3F59">
        <w:t xml:space="preserve">. Údaje v nich obsažené jsou dostatečné a v rámci </w:t>
      </w:r>
      <w:r w:rsidR="009700E6" w:rsidRPr="006B3F59">
        <w:t>v</w:t>
      </w:r>
      <w:r w:rsidRPr="006B3F59">
        <w:t xml:space="preserve">yhodnocení vlivů návrhu </w:t>
      </w:r>
      <w:r w:rsidR="00512A5E" w:rsidRPr="006B3F59">
        <w:t>posuzované změny</w:t>
      </w:r>
      <w:r w:rsidRPr="006B3F59">
        <w:t xml:space="preserve"> na životní prostředí nepovažuje zpracovatel za nutné tuto analýzu rozšiřovat. Níže je uvedeno shrnutí stavu a vývojových trendů životního prostředí dle jednotlivých sledovaných složek a problémových okruhů</w:t>
      </w:r>
      <w:r w:rsidR="001A4F05" w:rsidRPr="006B3F59">
        <w:t xml:space="preserve"> odpovídajíc</w:t>
      </w:r>
      <w:r w:rsidRPr="006B3F59">
        <w:t>í</w:t>
      </w:r>
      <w:r w:rsidR="001A4F05" w:rsidRPr="006B3F59">
        <w:t xml:space="preserve"> v zásadě složkám životního prostředí</w:t>
      </w:r>
      <w:r w:rsidRPr="006B3F59">
        <w:t>. Jedná se o následující složky životního prostředí a problémové okruh</w:t>
      </w:r>
      <w:r w:rsidR="004A5172" w:rsidRPr="006B3F59">
        <w:t>y</w:t>
      </w:r>
      <w:r w:rsidRPr="006B3F59">
        <w:t xml:space="preserve"> územního plánování</w:t>
      </w:r>
      <w:r w:rsidR="00251312" w:rsidRPr="006B3F59">
        <w:t>:</w:t>
      </w:r>
    </w:p>
    <w:p w14:paraId="5F0BC449" w14:textId="77777777" w:rsidR="004A5172" w:rsidRPr="006B3F59" w:rsidRDefault="004A5172">
      <w:pPr>
        <w:pStyle w:val="Odrky1"/>
        <w:numPr>
          <w:ilvl w:val="0"/>
          <w:numId w:val="19"/>
        </w:numPr>
        <w:ind w:left="426" w:hanging="426"/>
      </w:pPr>
      <w:bookmarkStart w:id="76" w:name="_Toc531606242"/>
      <w:bookmarkStart w:id="77" w:name="_Toc13424572"/>
      <w:bookmarkStart w:id="78" w:name="_Toc29298326"/>
      <w:bookmarkStart w:id="79" w:name="_Toc531548306"/>
      <w:r w:rsidRPr="006B3F59">
        <w:t>Obyvatelstvo a veřejné zdraví;</w:t>
      </w:r>
    </w:p>
    <w:p w14:paraId="6175FB6F" w14:textId="77777777" w:rsidR="004A5172" w:rsidRPr="006B3F59" w:rsidRDefault="004A5172">
      <w:pPr>
        <w:pStyle w:val="Odrky1"/>
        <w:numPr>
          <w:ilvl w:val="0"/>
          <w:numId w:val="19"/>
        </w:numPr>
        <w:ind w:left="426" w:hanging="426"/>
      </w:pPr>
      <w:r w:rsidRPr="006B3F59">
        <w:t>Fauna, flóra, biodiverzita, ochrana přírody a krajiny;</w:t>
      </w:r>
    </w:p>
    <w:p w14:paraId="063BC624" w14:textId="77777777" w:rsidR="004A5172" w:rsidRPr="006B3F59" w:rsidRDefault="004A5172">
      <w:pPr>
        <w:pStyle w:val="Odrky1"/>
        <w:numPr>
          <w:ilvl w:val="0"/>
          <w:numId w:val="19"/>
        </w:numPr>
        <w:ind w:left="426" w:hanging="426"/>
      </w:pPr>
      <w:r w:rsidRPr="006B3F59">
        <w:t>Půda a horninové prostředí;</w:t>
      </w:r>
    </w:p>
    <w:p w14:paraId="3E2D0D5F" w14:textId="77777777" w:rsidR="004A5172" w:rsidRPr="006B3F59" w:rsidRDefault="004A5172">
      <w:pPr>
        <w:pStyle w:val="Odrky1"/>
        <w:numPr>
          <w:ilvl w:val="0"/>
          <w:numId w:val="19"/>
        </w:numPr>
        <w:ind w:left="426" w:hanging="426"/>
      </w:pPr>
      <w:r w:rsidRPr="006B3F59">
        <w:t>Voda;</w:t>
      </w:r>
    </w:p>
    <w:p w14:paraId="6166DB7D" w14:textId="77777777" w:rsidR="004A5172" w:rsidRPr="006B3F59" w:rsidRDefault="004A5172">
      <w:pPr>
        <w:pStyle w:val="Odrky1"/>
        <w:numPr>
          <w:ilvl w:val="0"/>
          <w:numId w:val="19"/>
        </w:numPr>
        <w:ind w:left="426" w:hanging="426"/>
      </w:pPr>
      <w:r w:rsidRPr="006B3F59">
        <w:t>Ovzduší, klima;</w:t>
      </w:r>
    </w:p>
    <w:p w14:paraId="41FF2C6B" w14:textId="77777777" w:rsidR="004A5172" w:rsidRPr="006B3F59" w:rsidRDefault="004A5172">
      <w:pPr>
        <w:pStyle w:val="Odrky1"/>
        <w:numPr>
          <w:ilvl w:val="0"/>
          <w:numId w:val="19"/>
        </w:numPr>
        <w:ind w:left="426" w:hanging="426"/>
      </w:pPr>
      <w:r w:rsidRPr="006B3F59">
        <w:t>Hluková zátěž;</w:t>
      </w:r>
    </w:p>
    <w:p w14:paraId="7557CED3" w14:textId="77777777" w:rsidR="004A5172" w:rsidRPr="006B3F59" w:rsidRDefault="004A5172">
      <w:pPr>
        <w:pStyle w:val="Odrky1"/>
        <w:numPr>
          <w:ilvl w:val="0"/>
          <w:numId w:val="19"/>
        </w:numPr>
        <w:ind w:left="426" w:hanging="426"/>
      </w:pPr>
      <w:r w:rsidRPr="006B3F59">
        <w:t xml:space="preserve">Krajina, Sídla, urbanismus, </w:t>
      </w:r>
    </w:p>
    <w:p w14:paraId="44A65935" w14:textId="77777777" w:rsidR="004A5172" w:rsidRPr="006B3F59" w:rsidRDefault="004A5172">
      <w:pPr>
        <w:pStyle w:val="Odrky1"/>
        <w:numPr>
          <w:ilvl w:val="0"/>
          <w:numId w:val="19"/>
        </w:numPr>
        <w:ind w:left="426" w:hanging="426"/>
      </w:pPr>
      <w:bookmarkStart w:id="80" w:name="_Hlk126585045"/>
      <w:r w:rsidRPr="006B3F59">
        <w:t>Hmotný majetek, nemovité památky, kulturní dědictví včetně dědictví architektonického a archeologického</w:t>
      </w:r>
      <w:bookmarkEnd w:id="80"/>
      <w:r w:rsidRPr="006B3F59">
        <w:t>.</w:t>
      </w:r>
    </w:p>
    <w:p w14:paraId="0BE03FBD" w14:textId="77777777" w:rsidR="00782CFA" w:rsidRPr="006B3F59" w:rsidRDefault="00782CFA" w:rsidP="00A67277">
      <w:pPr>
        <w:pStyle w:val="Nadpis3"/>
      </w:pPr>
      <w:bookmarkStart w:id="81" w:name="_Toc138848105"/>
      <w:r w:rsidRPr="006B3F59">
        <w:t>Obyvatelstvo a veřejné zdraví</w:t>
      </w:r>
      <w:bookmarkEnd w:id="76"/>
      <w:bookmarkEnd w:id="77"/>
      <w:bookmarkEnd w:id="78"/>
      <w:bookmarkEnd w:id="81"/>
    </w:p>
    <w:p w14:paraId="156CAC52" w14:textId="250EAF2D" w:rsidR="00611324" w:rsidRPr="006B3F59" w:rsidRDefault="00611324" w:rsidP="00611324">
      <w:r w:rsidRPr="006B3F59">
        <w:t xml:space="preserve">Z hlediska vlivů na obyvatelstvo a veřejné zdraví </w:t>
      </w:r>
      <w:r w:rsidR="000C5ED8" w:rsidRPr="006B3F59">
        <w:t>posuzovaná změna</w:t>
      </w:r>
      <w:r w:rsidRPr="006B3F59">
        <w:t xml:space="preserve"> dopady </w:t>
      </w:r>
      <w:r w:rsidR="000C5ED8" w:rsidRPr="006B3F59">
        <w:t>především</w:t>
      </w:r>
      <w:r w:rsidRPr="006B3F59">
        <w:t xml:space="preserve"> do bezprostředního okolí řešených ploch</w:t>
      </w:r>
      <w:r w:rsidR="00A46993" w:rsidRPr="006B3F59">
        <w:t>, v MČ Praha-Suchdol. Praha-Suchdol leží na severovýchodě hlavního města ve vzdálenosti přibližně 8 km od jeho centra</w:t>
      </w:r>
      <w:r w:rsidR="00FB745D" w:rsidRPr="006B3F59">
        <w:t xml:space="preserve"> a levém břehu Vltavy</w:t>
      </w:r>
      <w:r w:rsidR="00A46993" w:rsidRPr="006B3F59">
        <w:t xml:space="preserve">. </w:t>
      </w:r>
      <w:r w:rsidR="00FB745D" w:rsidRPr="006B3F59">
        <w:t>MČ má rozlohu 512 ha a skládá se z katastrálního území Suchdol a cca 2/3 katastrálního území Sedlec</w:t>
      </w:r>
      <w:r w:rsidR="00A46993" w:rsidRPr="006B3F59">
        <w:t>.</w:t>
      </w:r>
    </w:p>
    <w:p w14:paraId="3D2A07C8" w14:textId="4D4B1B61" w:rsidR="00A46993" w:rsidRPr="006B3F59" w:rsidRDefault="00A46993" w:rsidP="00611324">
      <w:r w:rsidRPr="006B3F59">
        <w:lastRenderedPageBreak/>
        <w:t>Součástí Suchdola je od roku 1990 také bývalá obec Sedlec. Obě vsi založili Přemyslovci v 10. století na cestě mezi Prahou a Levým Hradcem. Nejstarší osídlení území dokazují nálezy valounové industrie z období před 300 000 lety. Nálezy z doby bronzové, bronzy knovízské kultury v Kozích hřbetech a náramek z keltského pohřebiště v Suchdole svědčí o téměř nepřetržitém osídlení. Městská část Praha-Suchdol se rozkládá na kopci nad Vltavou, která spolu s hercynským vrásněním utvářela od období starohor dnešní podobu romanticky krásné krajiny chráněné přírodní rezervace.</w:t>
      </w:r>
    </w:p>
    <w:p w14:paraId="46D244CA" w14:textId="77777777" w:rsidR="001D3DB5" w:rsidRPr="006B3F59" w:rsidRDefault="001D3DB5" w:rsidP="00611324">
      <w:r w:rsidRPr="006B3F59">
        <w:t xml:space="preserve">Suchdol se rozkládá na severu města na kopci nad Vltavou. Zástavba je tvořena zejména rodinnými domy a zahrádkářskými koloniemi, výrazný je areál České zemědělské univerzity. MČ je možno rozdělit do několika charakteristických částí. Starý Suchdol je tvořen historickou zástavbou. Ulice Stržná s původně drobnou zástavbou dělnického obyvatelstva směrem k Roztockému háji a ulici Havraní prolínající se s prvorepublikovými vilami a novou zástavbou po 2. světové válce. Budovec je vilová část doplněna novými bytovými domy u ul. Kamýcké. Výhledy mají podobný charakter, avšak s vyšším zastoupením novodobé zástavby, komplex bytových domů je situován v ul. Holubí. Nejdynamičtější částí Suchdola je areál ČZÚ, který vytváří jedinečný univerzitní kampus a zabírá zhruba 1/5 zastavěné plochy Suchdola. Významnou částí je také koridor dlouhodobě vymezený pro SOKP stavební uzávěrou, kde se nacházejí zahrádkářské osady. </w:t>
      </w:r>
    </w:p>
    <w:p w14:paraId="4E2DDB9E" w14:textId="50B4E56C" w:rsidR="001D3DB5" w:rsidRPr="006B3F59" w:rsidRDefault="001D3DB5" w:rsidP="00611324">
      <w:r w:rsidRPr="006B3F59">
        <w:t>Sedlec je klidná zelená čtvrť v sepětí s řekou Vltavou. Je tvořena rodinnými domy s komerčními objekty mrazíren. Lokalita Sedlce je sevřena zvedajícím se masivem Sedleckých skal z jedné strany a z druhé strany řekou Vltavou, významné je vedení železniční trati. Cca 80 % plochy je využíváno průmyslově (mrazírny, sklady aj.), podél železnice a ul. Roztocká se nachází rodinné domy.</w:t>
      </w:r>
    </w:p>
    <w:p w14:paraId="2BF1A26B" w14:textId="323C7170" w:rsidR="000C5ED8" w:rsidRDefault="00661EAC" w:rsidP="000C5ED8">
      <w:r w:rsidRPr="006B3F59">
        <w:t xml:space="preserve">MČ Praha – Suchdol </w:t>
      </w:r>
      <w:r w:rsidR="00903B1D" w:rsidRPr="006B3F59">
        <w:t xml:space="preserve">měla </w:t>
      </w:r>
      <w:r w:rsidR="007C18E0" w:rsidRPr="006B3F59">
        <w:t xml:space="preserve">dle dat Ministerstva vnitra </w:t>
      </w:r>
      <w:r w:rsidR="00903B1D" w:rsidRPr="006B3F59">
        <w:t>k 1. 1. 202</w:t>
      </w:r>
      <w:r w:rsidR="007C18E0" w:rsidRPr="006B3F59">
        <w:t>3</w:t>
      </w:r>
      <w:r w:rsidR="00903B1D" w:rsidRPr="006B3F59">
        <w:t xml:space="preserve"> </w:t>
      </w:r>
      <w:r w:rsidRPr="006B3F59">
        <w:t xml:space="preserve">5 776 </w:t>
      </w:r>
      <w:r w:rsidR="00903B1D" w:rsidRPr="006B3F59">
        <w:t xml:space="preserve">obyvatel. </w:t>
      </w:r>
      <w:r w:rsidR="00845607" w:rsidRPr="006B3F59">
        <w:t xml:space="preserve">Dle dat </w:t>
      </w:r>
      <w:r w:rsidR="007C18E0" w:rsidRPr="006B3F59">
        <w:t xml:space="preserve">Českého statistického úřadu </w:t>
      </w:r>
      <w:r w:rsidR="00845607" w:rsidRPr="006B3F59">
        <w:t xml:space="preserve">ze </w:t>
      </w:r>
      <w:r w:rsidR="007C18E0" w:rsidRPr="006B3F59">
        <w:t>Sčítání lidi, domů a bytů v roce</w:t>
      </w:r>
      <w:r w:rsidR="00845607" w:rsidRPr="006B3F59">
        <w:t xml:space="preserve"> 2021 v hl. m. Praze </w:t>
      </w:r>
      <w:r w:rsidR="007C18E0" w:rsidRPr="006B3F59">
        <w:t xml:space="preserve">vztaženým ke dni </w:t>
      </w:r>
      <w:r w:rsidR="00845607" w:rsidRPr="006B3F59">
        <w:t xml:space="preserve">26.3.2021 v základní sídelní jednotce </w:t>
      </w:r>
      <w:r w:rsidRPr="006B3F59">
        <w:t>Starý Sedlec</w:t>
      </w:r>
      <w:r w:rsidR="00845607" w:rsidRPr="006B3F59">
        <w:t xml:space="preserve"> byl počet osob obvykle bydlících </w:t>
      </w:r>
      <w:r w:rsidRPr="006B3F59">
        <w:t>301</w:t>
      </w:r>
      <w:r w:rsidR="00845607" w:rsidRPr="006B3F59">
        <w:t xml:space="preserve"> a počet osob s registrovaným pobytem 3</w:t>
      </w:r>
      <w:r w:rsidRPr="006B3F59">
        <w:t>12</w:t>
      </w:r>
      <w:r w:rsidR="00A608E6" w:rsidRPr="006B3F59">
        <w:t>, v základní sídelní jednotce Sedlec – U Výtopny byl počet osob obvykle bydlících 10 a počet osob s registrovaným pobytem 7</w:t>
      </w:r>
      <w:r w:rsidR="00FB745D" w:rsidRPr="006B3F59">
        <w:t xml:space="preserve">, v sídelní jednotce </w:t>
      </w:r>
      <w:r w:rsidR="00253ACE" w:rsidRPr="006B3F59">
        <w:t>Budovec byl počet osob obvykle bydlících 559 a počet 531 osob s registrovaným pobytem</w:t>
      </w:r>
      <w:r w:rsidR="00845607" w:rsidRPr="006B3F59">
        <w:t>.</w:t>
      </w:r>
      <w:r w:rsidR="009D768A" w:rsidRPr="006B3F59">
        <w:t xml:space="preserve"> V sídelní jednotce Suchdol – Výhledy byl počet osob obvykle bydlících 1431 a počet 1400 osob s registrovaným pobytem. </w:t>
      </w:r>
      <w:r w:rsidR="00FB745D" w:rsidRPr="006B3F59">
        <w:t xml:space="preserve">Dle webu městské části žilo k 1.1.2021 na území městské části 6 964 obyvatel, dle odhadu MČ zde reálně žije cca 10 tisíc obyvatel. Zástavbu tvoří rodinné a bytové domy, areál České zemědělské univerzity a rozvojové území v Dolním Sedlci. Nachází se zde dvě mateřské školy a škola základní. </w:t>
      </w:r>
    </w:p>
    <w:p w14:paraId="24C0E6E5" w14:textId="77777777" w:rsidR="00C80C21" w:rsidRDefault="00C80C21" w:rsidP="000C5ED8"/>
    <w:p w14:paraId="4B1986EA" w14:textId="77777777" w:rsidR="00C80C21" w:rsidRDefault="00C80C21" w:rsidP="000C5ED8"/>
    <w:p w14:paraId="5FA021A4" w14:textId="77777777" w:rsidR="00C80C21" w:rsidRDefault="00C80C21" w:rsidP="000C5ED8"/>
    <w:p w14:paraId="771361D3" w14:textId="77777777" w:rsidR="00C80C21" w:rsidRDefault="00C80C21" w:rsidP="000C5ED8"/>
    <w:p w14:paraId="46ED23D2" w14:textId="77777777" w:rsidR="00C80C21" w:rsidRPr="006B3F59" w:rsidRDefault="00C80C21" w:rsidP="000C5ED8"/>
    <w:p w14:paraId="7F631D94" w14:textId="470DC481" w:rsidR="007C18E0" w:rsidRPr="006B3F59" w:rsidRDefault="00661EAC" w:rsidP="000C5ED8">
      <w:r w:rsidRPr="006B3F59">
        <w:rPr>
          <w:noProof/>
        </w:rPr>
        <w:lastRenderedPageBreak/>
        <w:drawing>
          <wp:inline distT="0" distB="0" distL="0" distR="0" wp14:anchorId="525979EC" wp14:editId="3F15EC0F">
            <wp:extent cx="6120130" cy="3482975"/>
            <wp:effectExtent l="0" t="0" r="0" b="3175"/>
            <wp:docPr id="60" name="Obrázek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0130" cy="3482975"/>
                    </a:xfrm>
                    <a:prstGeom prst="rect">
                      <a:avLst/>
                    </a:prstGeom>
                  </pic:spPr>
                </pic:pic>
              </a:graphicData>
            </a:graphic>
          </wp:inline>
        </w:drawing>
      </w:r>
    </w:p>
    <w:p w14:paraId="76386685" w14:textId="544DD8D2" w:rsidR="00661EAC" w:rsidRPr="006B3F59" w:rsidRDefault="00661EAC" w:rsidP="000C5ED8">
      <w:r w:rsidRPr="006B3F59">
        <w:rPr>
          <w:noProof/>
        </w:rPr>
        <w:drawing>
          <wp:inline distT="0" distB="0" distL="0" distR="0" wp14:anchorId="4983C94E" wp14:editId="7B858855">
            <wp:extent cx="6036097" cy="2434355"/>
            <wp:effectExtent l="0" t="0" r="0" b="0"/>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040000" cy="2435929"/>
                    </a:xfrm>
                    <a:prstGeom prst="rect">
                      <a:avLst/>
                    </a:prstGeom>
                  </pic:spPr>
                </pic:pic>
              </a:graphicData>
            </a:graphic>
          </wp:inline>
        </w:drawing>
      </w:r>
    </w:p>
    <w:p w14:paraId="4E6819C1" w14:textId="34B6B486" w:rsidR="007C18E0" w:rsidRPr="006B3F59" w:rsidRDefault="007C18E0" w:rsidP="007C18E0">
      <w:pPr>
        <w:pStyle w:val="Obrnadpis"/>
      </w:pPr>
      <w:bookmarkStart w:id="82" w:name="_Toc138848196"/>
      <w:r w:rsidRPr="006B3F59">
        <w:t xml:space="preserve">Počet obyvatel MČ </w:t>
      </w:r>
      <w:r w:rsidR="00661EAC" w:rsidRPr="006B3F59">
        <w:t>Praha - Suchdol</w:t>
      </w:r>
      <w:r w:rsidRPr="006B3F59">
        <w:t xml:space="preserve"> k 1.1.2023, dle dat Ministerstva vnitra ČR, zdroj:mistopisy.cz</w:t>
      </w:r>
      <w:r w:rsidR="00FA0753" w:rsidRPr="006B3F59">
        <w:t>, citováno 7.</w:t>
      </w:r>
      <w:r w:rsidR="00661EAC" w:rsidRPr="006B3F59">
        <w:t>4</w:t>
      </w:r>
      <w:r w:rsidR="00FA0753" w:rsidRPr="006B3F59">
        <w:t>.2023</w:t>
      </w:r>
      <w:bookmarkEnd w:id="82"/>
    </w:p>
    <w:p w14:paraId="72465327" w14:textId="2D7E72D8" w:rsidR="001D3DB5" w:rsidRPr="006B3F59" w:rsidRDefault="001D3DB5" w:rsidP="001D3DB5">
      <w:r w:rsidRPr="006B3F59">
        <w:t>Podle demografické prognózy ČSÚ bude počet obyvatel Prahy v následujících desetiletích postupně vzrůstat (na 1,29 mil v roce 2035 a 1,39 milionu v roce 2050). Rozvoj osídlení těsně za hranici Prahy je často intenzivnější než ve vlastní Praze, v okrajových částech Prahy je vysoký zájem o bytovou i komerční výstavbu. Z hlediska nebytových funkcí lze očekávat tlak na rozvoj logistických a skladových center v okrajové části metropole ve vazbě na dopravní infrastrukturu – leteckou i automobilovou.</w:t>
      </w:r>
    </w:p>
    <w:p w14:paraId="152BEC42" w14:textId="7052D866" w:rsidR="00372712" w:rsidRPr="006B3F59" w:rsidRDefault="00372712" w:rsidP="001D3DB5">
      <w:r w:rsidRPr="006B3F59">
        <w:t>Na Suchdole mají nové výstavby charakter především doplnění volných proluk v již kompaktní zástavbě. Podél ul. Internacionální vyrostly zejména bytové domy na Suchdolském a Brandejsovo náměstí. Okrajová zástavba bytových domů vznikla v ul. Holubí na západním okraji Suchdola, rodinné domy byly dostavěny v průtahu ul. Kosova. Komplex bytových domů vyrostl také v Budovci ve východním kvadrantu křižovatky ul. Suchdolská a Kamýcká (Terasy Budovec).</w:t>
      </w:r>
    </w:p>
    <w:p w14:paraId="1840F30E" w14:textId="2553F3DE" w:rsidR="00372712" w:rsidRPr="006B3F59" w:rsidRDefault="00372712" w:rsidP="001D3DB5">
      <w:pPr>
        <w:rPr>
          <w:lang w:eastAsia="cs-CZ"/>
        </w:rPr>
      </w:pPr>
      <w:r w:rsidRPr="006B3F59">
        <w:t>Prakticky veškeré nové výstavby mají obytnou funkci, pouze v areálu ČZÚ se jedná o nové budovy pro potřeby univerzity (výukové a vědecké prostory). Výrobní či komerční zóny se zde nenacházejí, pouze místně dochází k doplnění či modernizaci již existujících areálů (např. v Sedlci). Tomu odpovídá i vymezení ploch dle Územního plánu, kde v rámci jednotlivých městských částí převládají zejména plochy obytné či všeobecně smíšené.</w:t>
      </w:r>
    </w:p>
    <w:p w14:paraId="2CFAB492" w14:textId="625D915A" w:rsidR="003F0E5A" w:rsidRPr="006B3F59" w:rsidRDefault="003F0E5A" w:rsidP="007127E5">
      <w:pPr>
        <w:pStyle w:val="Nadpis3"/>
      </w:pPr>
      <w:bookmarkStart w:id="83" w:name="_Toc531606248"/>
      <w:bookmarkStart w:id="84" w:name="_Toc29298327"/>
      <w:bookmarkStart w:id="85" w:name="_Toc138848106"/>
      <w:bookmarkStart w:id="86" w:name="_Toc531606243"/>
      <w:bookmarkEnd w:id="79"/>
      <w:r w:rsidRPr="006B3F59">
        <w:lastRenderedPageBreak/>
        <w:t>Fauna a flóra, biodiverzita, ochrana přírody a krajiny</w:t>
      </w:r>
      <w:bookmarkEnd w:id="83"/>
      <w:bookmarkEnd w:id="84"/>
      <w:bookmarkEnd w:id="85"/>
    </w:p>
    <w:p w14:paraId="756F640F" w14:textId="77777777" w:rsidR="00782CFA" w:rsidRPr="006B3F59" w:rsidRDefault="00782CFA" w:rsidP="00492791">
      <w:pPr>
        <w:pStyle w:val="Podnadpis1"/>
      </w:pPr>
      <w:bookmarkStart w:id="87" w:name="_Toc531606244"/>
      <w:r w:rsidRPr="006B3F59">
        <w:t>Biogeografická charakteristika území</w:t>
      </w:r>
    </w:p>
    <w:p w14:paraId="1CB8D3EC" w14:textId="0CD03777" w:rsidR="00CC6FBC" w:rsidRPr="006B3F59" w:rsidRDefault="000C5ED8" w:rsidP="000C5ED8">
      <w:r w:rsidRPr="006B3F59">
        <w:t xml:space="preserve">Dle biogeografického členění České republiky se řešené území nachází v Řipském bioregionu (1.2). Bioregion Řipský, tvoří opuková tabule s pauperizovanou teplomilnou biotou 2. (bukovo-dubového) vegetačního stupně. Území Je součástí fytogeografického okresu 41. Střední Povltaví, vegetační stupeň dubo-bukový suprakolinní (dubo-bukový). </w:t>
      </w:r>
      <w:r w:rsidR="00CC6FBC" w:rsidRPr="006B3F59">
        <w:t>Bioregion tvoří opuková tabule s ochuzenou teplomilnou biotou 2. bukovo-dubového vegetačního stupně, ve vyšších polohách s přechody do 3. dubovo-bukového vegetačního stupně. V kaňonech Vltavy a jejích přítoků, podobně jako na ojedinělých neovulkanitových elevacích, se nachází pestrá biota se zbytky teplomilné lesní a stepní vegetace. Bioregion patří k nejstarším sídelním oblastem u nás, osídlení je souvislé od neolitu. Bioregion byl již v prehistorické době odlesněn na většině plochy. V současnosti v bioregionu dominuje orná půda, cenné jsou fragmenty travních lad a skalního řídkolesí. Lesy jsou menší, převážně kulturní bory, jsou zde také zbytky dubohabřin a doubrav.</w:t>
      </w:r>
    </w:p>
    <w:p w14:paraId="194A0FEE" w14:textId="7B08D3F8" w:rsidR="00CC6FBC" w:rsidRPr="006B3F59" w:rsidRDefault="00BC433E" w:rsidP="000C5ED8">
      <w:r w:rsidRPr="006B3F59">
        <w:t>Jedná se o území s převažujícím zastoupením ploch zdevastovaných lidskou činností či člověkem uměle vytvořených s druhovým složením ochuzeným lidskou rušivou činností. Převážně jde o intenzivně využívané agrocenózy, sporadicky rozčleněné rozptýlenou polní zelení (stromořadí podél cest a meze), a plochy sídel. Specifické jsou chatové a zahrádkářské kolonie s mozaikou více či méně antropogenně ovlivněné přirozené vegetace, na něž v Suchdole navazují opuštěná zarůstající lada. Výjimečné postavení zaujímají plochy skalních výchozů v údolí Vltavy s přítomností kvalitních biotopů, které si svůj přirozený charakter uchovaly díky obtížné přístupnosti a hospodářské nevyužitelnosti.</w:t>
      </w:r>
      <w:r w:rsidR="00CC6FBC" w:rsidRPr="006B3F59">
        <w:t xml:space="preserve"> </w:t>
      </w:r>
    </w:p>
    <w:p w14:paraId="12D49DA5" w14:textId="77777777" w:rsidR="00CC6FBC" w:rsidRPr="006B3F59" w:rsidRDefault="000C5ED8" w:rsidP="000C5ED8">
      <w:r w:rsidRPr="006B3F59">
        <w:t xml:space="preserve">Z hlediska fytogeografického členění se zájmové území nachází v českém termofytiku, fytogeografickém okrese </w:t>
      </w:r>
      <w:r w:rsidR="00CC6FBC" w:rsidRPr="006B3F59">
        <w:t>Středočeská tabule a Dolní Povltaví</w:t>
      </w:r>
      <w:r w:rsidRPr="006B3F59">
        <w:t xml:space="preserve">, podokrese </w:t>
      </w:r>
      <w:r w:rsidR="00CC6FBC" w:rsidRPr="006B3F59">
        <w:t>Bělohorská tabule</w:t>
      </w:r>
      <w:r w:rsidRPr="006B3F59">
        <w:t xml:space="preserve">. Potenciální přirozenou vegetaci tvoří přirozené </w:t>
      </w:r>
      <w:r w:rsidR="00CC6FBC" w:rsidRPr="006B3F59">
        <w:t>černýšové dubohabřiny se včleněnými lipovými doubravami. Ostrůvkovitě biková nebo jedlová doubrava, v údolí Vltavy jilmová doubrava.</w:t>
      </w:r>
    </w:p>
    <w:p w14:paraId="6C9017F3" w14:textId="0654E0EC" w:rsidR="00CC6FBC" w:rsidRPr="006B3F59" w:rsidRDefault="00CC6FBC" w:rsidP="000C5ED8">
      <w:r w:rsidRPr="006B3F59">
        <w:t>Současná květena má přirozený charakter většinou jen na xerotermních stanovištích vltavského údolí a nepočetných dalších lokalit. Jinak ve vegetačním pokryvu vysoce převažují náhradní společenstva zemědělsky zkulturnělé a urbanizované krajiny, zejména pak orná půda</w:t>
      </w:r>
      <w:r w:rsidR="002F0C99" w:rsidRPr="006B3F59">
        <w:t xml:space="preserve">. </w:t>
      </w:r>
      <w:r w:rsidRPr="006B3F59">
        <w:t xml:space="preserve">Specifickým pokryvem jsou chatové a zahrádkářské kolonie. Jejich rostlinstvo představuje mozaiku zbytků více či méně antropogenně ovlivněné přirozené vegetace, s plochami záhonů a výsadbami ovocných i okrasných dřevin. Botanická hodnota i ekologická stabilita těchto lokalit je tedy značně proměnlivá, zpravidla však </w:t>
      </w:r>
      <w:proofErr w:type="gramStart"/>
      <w:r w:rsidRPr="006B3F59">
        <w:t>větší,</w:t>
      </w:r>
      <w:proofErr w:type="gramEnd"/>
      <w:r w:rsidRPr="006B3F59">
        <w:t xml:space="preserve"> než u intenzivně zemědělsky obhospodařovaných pozemků, včetně trvalých travních porostů. Ty jsou ve větších plochách opuštěné a neudržované, spontánně zarůstající. Vegetaci sídel představují jednak plochy udržované zeleně v zahrádkách a na veřejných prostranstvích, jednak ruderální vegetace na neudržovaných plochách. Rozsáhlé polnosti jsou sporadicky rozčleněny rozptýlenou zelení, tj. stromořadími podél cest a mezí, skupinami keřů a stromů na zemědělsky nevyužitelných plochách. V jejich druhovém složení převažují ovocné dřeviny (jabloně, třešně, švestky či ořešák), doplněné náletovými keři – např. bezem černým, šípkovou růží. Bylinný podrost má zpravidla charakter degradující ovsíkové louky, často s nástupem nitrofilních bylin a ostružiníků, na vysýchavých půdách jsou místy časté ostrůvky subxerotermní vegetace. Zcela výjimečné postavení zaujímá vegetace skalních výchozů, soustředěných především na skalních výchozech Vltavy. Tyto ekotypy jsou primárně bezlesé, neboť málo vyvinuté půdy a vyhraněné mikroklima tu neumožnily vznik zapojeného porostu dřevin.</w:t>
      </w:r>
    </w:p>
    <w:p w14:paraId="7C6563A4" w14:textId="3A881D30" w:rsidR="000C5ED8" w:rsidRPr="006B3F59" w:rsidRDefault="000C5ED8" w:rsidP="000C5ED8">
      <w:r w:rsidRPr="006B3F59">
        <w:t>V řešeném území a jeho nejužším okolí se nachází tyto biochory:</w:t>
      </w:r>
    </w:p>
    <w:p w14:paraId="1F53CB21" w14:textId="77777777" w:rsidR="00C73FA1" w:rsidRPr="006B3F59" w:rsidRDefault="000C5ED8" w:rsidP="008F562F">
      <w:r w:rsidRPr="006B3F59">
        <w:t xml:space="preserve">• </w:t>
      </w:r>
      <w:r w:rsidR="008F562F" w:rsidRPr="006B3F59">
        <w:t>-</w:t>
      </w:r>
      <w:r w:rsidRPr="006B3F59">
        <w:t>2</w:t>
      </w:r>
      <w:r w:rsidR="008F562F" w:rsidRPr="006B3F59">
        <w:t>BE</w:t>
      </w:r>
      <w:r w:rsidRPr="006B3F59">
        <w:t xml:space="preserve"> – </w:t>
      </w:r>
      <w:r w:rsidR="008F562F" w:rsidRPr="006B3F59">
        <w:t>Erodované plošiny na spraších v suché oblasti</w:t>
      </w:r>
      <w:r w:rsidRPr="006B3F59">
        <w:t xml:space="preserve"> (druhý vegetační stupeň),</w:t>
      </w:r>
    </w:p>
    <w:p w14:paraId="0A93DD0F" w14:textId="6CFCCB95" w:rsidR="008F562F" w:rsidRPr="006B3F59" w:rsidRDefault="00C73FA1" w:rsidP="00C73FA1">
      <w:pPr>
        <w:pStyle w:val="Odstavecseseznamem"/>
        <w:numPr>
          <w:ilvl w:val="0"/>
          <w:numId w:val="54"/>
        </w:numPr>
        <w:ind w:left="142" w:hanging="142"/>
      </w:pPr>
      <w:r w:rsidRPr="006B3F59">
        <w:t>-</w:t>
      </w:r>
      <w:r w:rsidR="008F562F" w:rsidRPr="006B3F59">
        <w:t>2UM – Výrazná údolí v drobách suché oblasti (druhý vegetační stupeň)</w:t>
      </w:r>
    </w:p>
    <w:p w14:paraId="3ED9CB27" w14:textId="79E8A9A5" w:rsidR="008B2D5F" w:rsidRPr="006B3F59" w:rsidRDefault="008B2D5F" w:rsidP="008B2D5F">
      <w:pPr>
        <w:pStyle w:val="Podnadpis1"/>
      </w:pPr>
      <w:r w:rsidRPr="006B3F59">
        <w:t>F</w:t>
      </w:r>
      <w:r w:rsidR="009A3F81" w:rsidRPr="006B3F59">
        <w:t>auna, f</w:t>
      </w:r>
      <w:r w:rsidRPr="006B3F59">
        <w:t>lóra</w:t>
      </w:r>
      <w:r w:rsidR="009A3F81" w:rsidRPr="006B3F59">
        <w:t>, ekosystémy a biodiverzita</w:t>
      </w:r>
    </w:p>
    <w:p w14:paraId="292DA34B" w14:textId="77777777" w:rsidR="005A4832" w:rsidRPr="006B3F59" w:rsidRDefault="000C5ED8" w:rsidP="000C5ED8">
      <w:r w:rsidRPr="006B3F59">
        <w:t xml:space="preserve">Původní fauna dané oblasti je hercynská, se západoevropským vlivem. Výskyt živočichů je ovlivněn vegetační strukturou a skladbou jednotlivých enkláv. Vyskytují se zde druhy teplomilné i druhy vázané na mokřadní a nivní biotopy. Většina lokalit sušších stanovišť je druhově ochuzená. V zastavěném území jde většinou o malé plochy vegetace bez většího významu pro faunu vlivem narůstajícího tlaku lidské činnosti. </w:t>
      </w:r>
    </w:p>
    <w:p w14:paraId="3454F4CF" w14:textId="7EC9C55B" w:rsidR="000C5ED8" w:rsidRPr="006B3F59" w:rsidRDefault="005A4832" w:rsidP="000C5ED8">
      <w:r w:rsidRPr="006B3F59">
        <w:t>V území lze</w:t>
      </w:r>
      <w:r w:rsidR="000C5ED8" w:rsidRPr="006B3F59">
        <w:t xml:space="preserve"> očekávat běžné druhy živočichů vázaných na příbřežní biotopy, není předpoklad, že by realizace změny podstatným způsobem ovlivnila jejich životní podmínky. V území se vyskytuje slepýš křehký (Anguis fragilis), veverka obecná (Sciurus vulgaris) z hmyzožravců, zejména ježek západní (Erinaceus europaeus) a běžné druhy ptáků vázaných na řídké křoviny. Okrajové plochy především v blízkosti řeky mohou představovat biotop pro běžné synantropní druhy a ptactvo vázané na rozptýlenou zeleň či křoviny. Na předmětném území s vymezenými plochami s rozdílným způsobem využití je však jejich výskyt minimální. Na hodnoceném území </w:t>
      </w:r>
      <w:r w:rsidR="000C5ED8" w:rsidRPr="006B3F59">
        <w:lastRenderedPageBreak/>
        <w:t>a v jeho bezprostředním okolí je možné spatřit druhy jako hrdlička zahradní (</w:t>
      </w:r>
      <w:proofErr w:type="spellStart"/>
      <w:r w:rsidR="000C5ED8" w:rsidRPr="006B3F59">
        <w:rPr>
          <w:i/>
          <w:iCs/>
        </w:rPr>
        <w:t>Streptopelia</w:t>
      </w:r>
      <w:proofErr w:type="spellEnd"/>
      <w:r w:rsidR="000C5ED8" w:rsidRPr="006B3F59">
        <w:rPr>
          <w:i/>
          <w:iCs/>
        </w:rPr>
        <w:t xml:space="preserve"> </w:t>
      </w:r>
      <w:proofErr w:type="spellStart"/>
      <w:r w:rsidR="000C5ED8" w:rsidRPr="006B3F59">
        <w:rPr>
          <w:i/>
          <w:iCs/>
        </w:rPr>
        <w:t>decaocto</w:t>
      </w:r>
      <w:proofErr w:type="spellEnd"/>
      <w:r w:rsidR="000C5ED8" w:rsidRPr="006B3F59">
        <w:t xml:space="preserve">), holub </w:t>
      </w:r>
      <w:r w:rsidR="000C5ED8" w:rsidRPr="006B3F59">
        <w:rPr>
          <w:i/>
          <w:iCs/>
        </w:rPr>
        <w:t xml:space="preserve">(Columba </w:t>
      </w:r>
      <w:proofErr w:type="spellStart"/>
      <w:r w:rsidR="000C5ED8" w:rsidRPr="006B3F59">
        <w:rPr>
          <w:i/>
          <w:iCs/>
        </w:rPr>
        <w:t>livia</w:t>
      </w:r>
      <w:proofErr w:type="spellEnd"/>
      <w:r w:rsidR="000C5ED8" w:rsidRPr="006B3F59">
        <w:rPr>
          <w:i/>
          <w:iCs/>
        </w:rPr>
        <w:t xml:space="preserve"> f. </w:t>
      </w:r>
      <w:proofErr w:type="spellStart"/>
      <w:r w:rsidR="000C5ED8" w:rsidRPr="006B3F59">
        <w:rPr>
          <w:i/>
          <w:iCs/>
        </w:rPr>
        <w:t>domestica</w:t>
      </w:r>
      <w:proofErr w:type="spellEnd"/>
      <w:r w:rsidR="000C5ED8" w:rsidRPr="006B3F59">
        <w:t>), kos černý (</w:t>
      </w:r>
      <w:proofErr w:type="spellStart"/>
      <w:r w:rsidR="000C5ED8" w:rsidRPr="006B3F59">
        <w:rPr>
          <w:i/>
          <w:iCs/>
        </w:rPr>
        <w:t>Turdus</w:t>
      </w:r>
      <w:proofErr w:type="spellEnd"/>
      <w:r w:rsidR="000C5ED8" w:rsidRPr="006B3F59">
        <w:rPr>
          <w:i/>
          <w:iCs/>
        </w:rPr>
        <w:t xml:space="preserve"> </w:t>
      </w:r>
      <w:proofErr w:type="spellStart"/>
      <w:r w:rsidR="000C5ED8" w:rsidRPr="006B3F59">
        <w:rPr>
          <w:i/>
          <w:iCs/>
        </w:rPr>
        <w:t>merula</w:t>
      </w:r>
      <w:proofErr w:type="spellEnd"/>
      <w:r w:rsidR="000C5ED8" w:rsidRPr="006B3F59">
        <w:t xml:space="preserve">), sýkora koňadra </w:t>
      </w:r>
      <w:r w:rsidR="000C5ED8" w:rsidRPr="006B3F59">
        <w:rPr>
          <w:i/>
          <w:iCs/>
        </w:rPr>
        <w:t>(</w:t>
      </w:r>
      <w:proofErr w:type="spellStart"/>
      <w:r w:rsidR="000C5ED8" w:rsidRPr="006B3F59">
        <w:rPr>
          <w:i/>
          <w:iCs/>
        </w:rPr>
        <w:t>Parus</w:t>
      </w:r>
      <w:proofErr w:type="spellEnd"/>
      <w:r w:rsidR="000C5ED8" w:rsidRPr="006B3F59">
        <w:rPr>
          <w:i/>
          <w:iCs/>
        </w:rPr>
        <w:t xml:space="preserve"> major)</w:t>
      </w:r>
      <w:r w:rsidR="000C5ED8" w:rsidRPr="006B3F59">
        <w:t xml:space="preserve">, sýkora modřinka </w:t>
      </w:r>
      <w:r w:rsidR="000C5ED8" w:rsidRPr="006B3F59">
        <w:rPr>
          <w:i/>
          <w:iCs/>
        </w:rPr>
        <w:t>(</w:t>
      </w:r>
      <w:proofErr w:type="spellStart"/>
      <w:r w:rsidR="000C5ED8" w:rsidRPr="006B3F59">
        <w:rPr>
          <w:i/>
          <w:iCs/>
        </w:rPr>
        <w:t>Parus</w:t>
      </w:r>
      <w:proofErr w:type="spellEnd"/>
      <w:r w:rsidR="000C5ED8" w:rsidRPr="006B3F59">
        <w:rPr>
          <w:i/>
          <w:iCs/>
        </w:rPr>
        <w:t xml:space="preserve"> </w:t>
      </w:r>
      <w:proofErr w:type="spellStart"/>
      <w:r w:rsidR="000C5ED8" w:rsidRPr="006B3F59">
        <w:rPr>
          <w:i/>
          <w:iCs/>
        </w:rPr>
        <w:t>caeruleus</w:t>
      </w:r>
      <w:proofErr w:type="spellEnd"/>
      <w:r w:rsidR="000C5ED8" w:rsidRPr="006B3F59">
        <w:t>), zvonek zelený (</w:t>
      </w:r>
      <w:proofErr w:type="spellStart"/>
      <w:r w:rsidR="000C5ED8" w:rsidRPr="006B3F59">
        <w:rPr>
          <w:i/>
          <w:iCs/>
        </w:rPr>
        <w:t>Carduelis</w:t>
      </w:r>
      <w:proofErr w:type="spellEnd"/>
      <w:r w:rsidR="000C5ED8" w:rsidRPr="006B3F59">
        <w:rPr>
          <w:i/>
          <w:iCs/>
        </w:rPr>
        <w:t xml:space="preserve"> </w:t>
      </w:r>
      <w:proofErr w:type="spellStart"/>
      <w:r w:rsidR="000C5ED8" w:rsidRPr="006B3F59">
        <w:rPr>
          <w:i/>
          <w:iCs/>
        </w:rPr>
        <w:t>chloris</w:t>
      </w:r>
      <w:proofErr w:type="spellEnd"/>
      <w:r w:rsidR="000C5ED8" w:rsidRPr="006B3F59">
        <w:t xml:space="preserve">), vrabec domácí </w:t>
      </w:r>
      <w:r w:rsidR="000C5ED8" w:rsidRPr="006B3F59">
        <w:rPr>
          <w:i/>
          <w:iCs/>
        </w:rPr>
        <w:t xml:space="preserve">(Passer </w:t>
      </w:r>
      <w:proofErr w:type="spellStart"/>
      <w:r w:rsidR="000C5ED8" w:rsidRPr="006B3F59">
        <w:rPr>
          <w:i/>
          <w:iCs/>
        </w:rPr>
        <w:t>domesticus</w:t>
      </w:r>
      <w:proofErr w:type="spellEnd"/>
      <w:r w:rsidR="000C5ED8" w:rsidRPr="006B3F59">
        <w:t xml:space="preserve">), straka obecná </w:t>
      </w:r>
      <w:r w:rsidR="000C5ED8" w:rsidRPr="006B3F59">
        <w:rPr>
          <w:i/>
          <w:iCs/>
        </w:rPr>
        <w:t>(</w:t>
      </w:r>
      <w:proofErr w:type="spellStart"/>
      <w:r w:rsidR="000C5ED8" w:rsidRPr="006B3F59">
        <w:rPr>
          <w:i/>
          <w:iCs/>
        </w:rPr>
        <w:t>Pica</w:t>
      </w:r>
      <w:proofErr w:type="spellEnd"/>
      <w:r w:rsidR="000C5ED8" w:rsidRPr="006B3F59">
        <w:rPr>
          <w:i/>
          <w:iCs/>
        </w:rPr>
        <w:t xml:space="preserve"> </w:t>
      </w:r>
      <w:proofErr w:type="spellStart"/>
      <w:r w:rsidR="000C5ED8" w:rsidRPr="006B3F59">
        <w:rPr>
          <w:i/>
          <w:iCs/>
        </w:rPr>
        <w:t>pica</w:t>
      </w:r>
      <w:proofErr w:type="spellEnd"/>
      <w:r w:rsidR="000C5ED8" w:rsidRPr="006B3F59">
        <w:t>), poštolka obecná (</w:t>
      </w:r>
      <w:proofErr w:type="spellStart"/>
      <w:r w:rsidR="000C5ED8" w:rsidRPr="006B3F59">
        <w:t>Falco</w:t>
      </w:r>
      <w:proofErr w:type="spellEnd"/>
      <w:r w:rsidR="000C5ED8" w:rsidRPr="006B3F59">
        <w:t xml:space="preserve"> </w:t>
      </w:r>
      <w:proofErr w:type="spellStart"/>
      <w:r w:rsidR="000C5ED8" w:rsidRPr="006B3F59">
        <w:t>tinnunculus</w:t>
      </w:r>
      <w:proofErr w:type="spellEnd"/>
      <w:r w:rsidR="000C5ED8" w:rsidRPr="006B3F59">
        <w:t>), v zimních měsících je možné zastihnout havrana polního (</w:t>
      </w:r>
      <w:r w:rsidR="000C5ED8" w:rsidRPr="006B3F59">
        <w:rPr>
          <w:i/>
          <w:iCs/>
        </w:rPr>
        <w:t xml:space="preserve">Corvus </w:t>
      </w:r>
      <w:proofErr w:type="spellStart"/>
      <w:r w:rsidR="000C5ED8" w:rsidRPr="006B3F59">
        <w:rPr>
          <w:i/>
          <w:iCs/>
        </w:rPr>
        <w:t>frugilegus</w:t>
      </w:r>
      <w:proofErr w:type="spellEnd"/>
      <w:r w:rsidR="000C5ED8" w:rsidRPr="006B3F59">
        <w:t xml:space="preserve">). Vzhledem k charakteru lokality </w:t>
      </w:r>
      <w:r w:rsidR="00F21238" w:rsidRPr="006B3F59">
        <w:t>n</w:t>
      </w:r>
      <w:r w:rsidR="000C5ED8" w:rsidRPr="006B3F59">
        <w:t>elze vyloučit občasný výskyt potkana (</w:t>
      </w:r>
      <w:proofErr w:type="spellStart"/>
      <w:r w:rsidR="000C5ED8" w:rsidRPr="006B3F59">
        <w:rPr>
          <w:i/>
          <w:iCs/>
        </w:rPr>
        <w:t>Rattus</w:t>
      </w:r>
      <w:proofErr w:type="spellEnd"/>
      <w:r w:rsidR="000C5ED8" w:rsidRPr="006B3F59">
        <w:rPr>
          <w:i/>
          <w:iCs/>
        </w:rPr>
        <w:t xml:space="preserve"> </w:t>
      </w:r>
      <w:proofErr w:type="spellStart"/>
      <w:r w:rsidR="000C5ED8" w:rsidRPr="006B3F59">
        <w:rPr>
          <w:i/>
          <w:iCs/>
        </w:rPr>
        <w:t>rattus</w:t>
      </w:r>
      <w:proofErr w:type="spellEnd"/>
      <w:r w:rsidR="000C5ED8" w:rsidRPr="006B3F59">
        <w:t>). V případě bezobratlých není pravděpodobné, že by se zde nacházela populace ochranářsky významného druhu, stejně tak není ani pravděpodobné, že by se zde trvale zdržoval nějaký druh plazů nebo obojživelníků s výjimkou bezprostředního okolí řeky. Ze zoologického hlediska není dotčené území významné. Nelze vyloučit výskyt (migraci, zalétnutí z jiných lokalit) ohroženého druhu, jako je např. vlaštovka obecná (Hirundo rustica), rorýs obecný (Apus apus), čmelák (Bombus sp.) apod. Území dotčené stavbou neposkytuje příznivé prostředí pro dlouhodobější život těchto organismů, nelze jej tedy označit za jejich biotop.</w:t>
      </w:r>
    </w:p>
    <w:p w14:paraId="4EFBD93E" w14:textId="062D2A25" w:rsidR="003B3877" w:rsidRPr="006B3F59" w:rsidRDefault="003B3877" w:rsidP="000C5ED8">
      <w:r w:rsidRPr="006B3F59">
        <w:t>Zájmové území patří fytogeograficky do oblasti Termofytikum (oblast extrazonální teplomilné vegetace a květeny, se starým osídlením; k trvalému odlesnění docházelo od neolitu; zachovaly se zbytky xerotermních travinných fytocenóz a teplomilných doubrav), obvodu České termofytikum, (</w:t>
      </w:r>
      <w:proofErr w:type="spellStart"/>
      <w:r w:rsidRPr="006B3F59">
        <w:t>Thermobohemicum</w:t>
      </w:r>
      <w:proofErr w:type="spellEnd"/>
      <w:r w:rsidRPr="006B3F59">
        <w:t>).</w:t>
      </w:r>
    </w:p>
    <w:p w14:paraId="65080717" w14:textId="080B102C" w:rsidR="00025DDF" w:rsidRPr="006B3F59" w:rsidRDefault="000C5ED8" w:rsidP="00025DDF">
      <w:r w:rsidRPr="006B3F59">
        <w:rPr>
          <w:szCs w:val="16"/>
        </w:rPr>
        <w:t xml:space="preserve">Biodiverzita </w:t>
      </w:r>
      <w:r w:rsidR="00CF7392" w:rsidRPr="006B3F59">
        <w:rPr>
          <w:szCs w:val="16"/>
        </w:rPr>
        <w:t>ploch navržených ke změně využití</w:t>
      </w:r>
      <w:r w:rsidRPr="006B3F59">
        <w:rPr>
          <w:szCs w:val="16"/>
        </w:rPr>
        <w:t xml:space="preserve"> </w:t>
      </w:r>
      <w:r w:rsidR="007D0A77" w:rsidRPr="006B3F59">
        <w:rPr>
          <w:szCs w:val="16"/>
        </w:rPr>
        <w:t xml:space="preserve">jako zastavitelné </w:t>
      </w:r>
      <w:r w:rsidRPr="006B3F59">
        <w:rPr>
          <w:szCs w:val="16"/>
        </w:rPr>
        <w:t>je</w:t>
      </w:r>
      <w:r w:rsidR="007D0A77" w:rsidRPr="006B3F59">
        <w:rPr>
          <w:szCs w:val="16"/>
        </w:rPr>
        <w:t xml:space="preserve"> převážně</w:t>
      </w:r>
      <w:r w:rsidRPr="006B3F59">
        <w:rPr>
          <w:szCs w:val="16"/>
        </w:rPr>
        <w:t xml:space="preserve"> podprůměrná. Převážně se jedná o urbanizované lokality</w:t>
      </w:r>
      <w:r w:rsidR="00FA0753" w:rsidRPr="006B3F59">
        <w:rPr>
          <w:szCs w:val="16"/>
        </w:rPr>
        <w:t xml:space="preserve"> z části zastavěné</w:t>
      </w:r>
      <w:r w:rsidR="007D0A77" w:rsidRPr="006B3F59">
        <w:rPr>
          <w:szCs w:val="16"/>
        </w:rPr>
        <w:t>,</w:t>
      </w:r>
      <w:r w:rsidR="00FA0753" w:rsidRPr="006B3F59">
        <w:rPr>
          <w:szCs w:val="16"/>
        </w:rPr>
        <w:t xml:space="preserve"> z části </w:t>
      </w:r>
      <w:r w:rsidR="007D0A77" w:rsidRPr="006B3F59">
        <w:rPr>
          <w:szCs w:val="16"/>
        </w:rPr>
        <w:t>zpevněné,</w:t>
      </w:r>
      <w:r w:rsidR="00FA0753" w:rsidRPr="006B3F59">
        <w:rPr>
          <w:szCs w:val="16"/>
        </w:rPr>
        <w:t xml:space="preserve"> nebo charakteru </w:t>
      </w:r>
      <w:r w:rsidR="003577E4" w:rsidRPr="006B3F59">
        <w:rPr>
          <w:szCs w:val="16"/>
        </w:rPr>
        <w:t>brownfields</w:t>
      </w:r>
      <w:r w:rsidR="006B3F59" w:rsidRPr="006B3F59">
        <w:rPr>
          <w:szCs w:val="16"/>
        </w:rPr>
        <w:t>, v prostoru Výhledů potom intenzivně využívaná pole</w:t>
      </w:r>
      <w:r w:rsidRPr="006B3F59">
        <w:rPr>
          <w:szCs w:val="16"/>
        </w:rPr>
        <w:t xml:space="preserve">. </w:t>
      </w:r>
      <w:r w:rsidR="00025DDF" w:rsidRPr="006B3F59">
        <w:t>Zeleň v území je</w:t>
      </w:r>
      <w:r w:rsidR="00834C6A" w:rsidRPr="006B3F59">
        <w:t>, s</w:t>
      </w:r>
      <w:r w:rsidR="007D0A77" w:rsidRPr="006B3F59">
        <w:t> </w:t>
      </w:r>
      <w:r w:rsidR="00834C6A" w:rsidRPr="006B3F59">
        <w:t>výjimkou</w:t>
      </w:r>
      <w:r w:rsidR="007D0A77" w:rsidRPr="006B3F59">
        <w:t xml:space="preserve"> horní partie</w:t>
      </w:r>
      <w:r w:rsidR="00834C6A" w:rsidRPr="006B3F59">
        <w:t xml:space="preserve"> skalních výchozů</w:t>
      </w:r>
      <w:r w:rsidR="007D0A77" w:rsidRPr="006B3F59">
        <w:t xml:space="preserve"> Podbabských </w:t>
      </w:r>
      <w:r w:rsidR="00721303" w:rsidRPr="006B3F59">
        <w:t>skal</w:t>
      </w:r>
      <w:r w:rsidR="006B3F59" w:rsidRPr="006B3F59">
        <w:t xml:space="preserve"> mimo řešené plochy</w:t>
      </w:r>
      <w:r w:rsidR="00834C6A" w:rsidRPr="006B3F59">
        <w:t>,</w:t>
      </w:r>
      <w:r w:rsidR="006B3F59" w:rsidRPr="006B3F59">
        <w:t xml:space="preserve"> a území navržené k využití jako ZMK či SO 5,6 v prostoru jižně od ulice Nad Podbabskými skalami</w:t>
      </w:r>
      <w:r w:rsidR="00025DDF" w:rsidRPr="006B3F59">
        <w:t xml:space="preserve"> z floristického hlediska nepříliš významná, vyvinula se zde ruderální a nitrofilní bylinná vegetace jednoletých, případně vytrvalých druhů rostlin s významným zastoupením ruderálních druhů, typických pro městské a příměstské biotopy. </w:t>
      </w:r>
      <w:r w:rsidR="007D0A77" w:rsidRPr="006B3F59">
        <w:t xml:space="preserve">V prostoru Nového Sedlce jižně od ulice Nad Podbabskými skalami a severně od ploch průmyslového a dopravního využití a střelnice se nachází plochy porostlé náletovou vegetací cca </w:t>
      </w:r>
      <w:r w:rsidR="00721303" w:rsidRPr="006B3F59">
        <w:t>10–</w:t>
      </w:r>
      <w:proofErr w:type="gramStart"/>
      <w:r w:rsidR="00721303" w:rsidRPr="006B3F59">
        <w:t xml:space="preserve">15ti </w:t>
      </w:r>
      <w:r w:rsidR="007D0A77" w:rsidRPr="006B3F59">
        <w:t>letého</w:t>
      </w:r>
      <w:proofErr w:type="gramEnd"/>
      <w:r w:rsidR="007D0A77" w:rsidRPr="006B3F59">
        <w:t xml:space="preserve"> stáří (dřín, pajasan žláznatý, šípková růže, bez černý). Navazuje území bývalého sadu při neznačené cestě k ulici V Podbabě, který je v současnosti z části obnovován – vykácení náletů, výsadba nových jabloní. Prostor obnoveného sadu se nachází</w:t>
      </w:r>
      <w:r w:rsidR="00EA29AC" w:rsidRPr="006B3F59">
        <w:t xml:space="preserve"> </w:t>
      </w:r>
      <w:r w:rsidR="007D0A77" w:rsidRPr="006B3F59">
        <w:t xml:space="preserve">mimo řešené plochy, resp. v plochách SO 5,6 a ZMK. </w:t>
      </w:r>
    </w:p>
    <w:p w14:paraId="485996AA" w14:textId="59AFB61B" w:rsidR="008B2D5F" w:rsidRPr="006B3F59" w:rsidRDefault="0064060D" w:rsidP="008B2D5F">
      <w:pPr>
        <w:rPr>
          <w:rFonts w:eastAsiaTheme="minorHAnsi"/>
        </w:rPr>
      </w:pPr>
      <w:r w:rsidRPr="006B3F59">
        <w:rPr>
          <w:rFonts w:eastAsiaTheme="minorHAnsi"/>
        </w:rPr>
        <w:t>P</w:t>
      </w:r>
      <w:r w:rsidR="009A3F81" w:rsidRPr="006B3F59">
        <w:rPr>
          <w:rFonts w:eastAsiaTheme="minorHAnsi"/>
        </w:rPr>
        <w:t xml:space="preserve">ři provedených orientačních terénních průzkumech </w:t>
      </w:r>
      <w:r w:rsidR="00FC6F90" w:rsidRPr="006B3F59">
        <w:rPr>
          <w:rFonts w:eastAsiaTheme="minorHAnsi"/>
        </w:rPr>
        <w:t>(</w:t>
      </w:r>
      <w:r w:rsidR="00834C6A" w:rsidRPr="006B3F59">
        <w:rPr>
          <w:rFonts w:eastAsiaTheme="minorHAnsi"/>
        </w:rPr>
        <w:t>březen až červen</w:t>
      </w:r>
      <w:r w:rsidR="00FC6F90" w:rsidRPr="006B3F59">
        <w:rPr>
          <w:rFonts w:eastAsiaTheme="minorHAnsi"/>
        </w:rPr>
        <w:t xml:space="preserve"> 202</w:t>
      </w:r>
      <w:r w:rsidR="00834C6A" w:rsidRPr="006B3F59">
        <w:rPr>
          <w:rFonts w:eastAsiaTheme="minorHAnsi"/>
        </w:rPr>
        <w:t>3</w:t>
      </w:r>
      <w:r w:rsidR="00FC6F90" w:rsidRPr="006B3F59">
        <w:rPr>
          <w:rFonts w:eastAsiaTheme="minorHAnsi"/>
        </w:rPr>
        <w:t xml:space="preserve">) </w:t>
      </w:r>
      <w:r w:rsidR="009A3F81" w:rsidRPr="006B3F59">
        <w:rPr>
          <w:rFonts w:eastAsiaTheme="minorHAnsi"/>
        </w:rPr>
        <w:t>nebyly zastiženy chráněné druhy živočichů. Rovněž rešeršní p</w:t>
      </w:r>
      <w:r w:rsidR="004415DA" w:rsidRPr="006B3F59">
        <w:rPr>
          <w:rFonts w:eastAsiaTheme="minorHAnsi"/>
        </w:rPr>
        <w:t>růzkumy dle databáze AOPK a BioL</w:t>
      </w:r>
      <w:r w:rsidR="009A3F81" w:rsidRPr="006B3F59">
        <w:rPr>
          <w:rFonts w:eastAsiaTheme="minorHAnsi"/>
        </w:rPr>
        <w:t>ib a dostupné biologické průzkumy</w:t>
      </w:r>
      <w:r w:rsidR="00E54ECB" w:rsidRPr="006B3F59">
        <w:rPr>
          <w:rFonts w:eastAsiaTheme="minorHAnsi"/>
        </w:rPr>
        <w:t xml:space="preserve"> </w:t>
      </w:r>
      <w:r w:rsidR="009A3F81" w:rsidRPr="006B3F59">
        <w:rPr>
          <w:rFonts w:eastAsiaTheme="minorHAnsi"/>
        </w:rPr>
        <w:t>z projektové přípravy staveb v řešených plochách nedávají předpoklad výskytu zvláště chráněných druhů rostlin nebo živočichů</w:t>
      </w:r>
      <w:r w:rsidR="00F71B91" w:rsidRPr="006B3F59">
        <w:rPr>
          <w:rFonts w:eastAsiaTheme="minorHAnsi"/>
        </w:rPr>
        <w:t xml:space="preserve"> (s výjimkou čmeláka)</w:t>
      </w:r>
      <w:r w:rsidR="009A3F81" w:rsidRPr="006B3F59">
        <w:rPr>
          <w:rFonts w:eastAsiaTheme="minorHAnsi"/>
        </w:rPr>
        <w:t xml:space="preserve"> v území </w:t>
      </w:r>
      <w:r w:rsidR="007D0A77" w:rsidRPr="006B3F59">
        <w:rPr>
          <w:rFonts w:eastAsiaTheme="minorHAnsi"/>
        </w:rPr>
        <w:t>přímo dotčeném změnou</w:t>
      </w:r>
      <w:r w:rsidR="009A3F81" w:rsidRPr="006B3F59">
        <w:rPr>
          <w:rFonts w:eastAsiaTheme="minorHAnsi"/>
        </w:rPr>
        <w:t xml:space="preserve"> využití území.</w:t>
      </w:r>
      <w:r w:rsidR="00F71B91" w:rsidRPr="006B3F59">
        <w:rPr>
          <w:rFonts w:eastAsiaTheme="minorHAnsi"/>
        </w:rPr>
        <w:t xml:space="preserve"> Z brouků </w:t>
      </w:r>
      <w:proofErr w:type="spellStart"/>
      <w:r w:rsidR="00F71B91" w:rsidRPr="006B3F59">
        <w:t>Carabidae</w:t>
      </w:r>
      <w:proofErr w:type="spellEnd"/>
      <w:r w:rsidR="00F71B91" w:rsidRPr="006B3F59">
        <w:t xml:space="preserve"> (střevlíkovití) byly zjištěny </w:t>
      </w:r>
      <w:r w:rsidR="00F71B91" w:rsidRPr="006B3F59">
        <w:rPr>
          <w:i/>
          <w:iCs/>
        </w:rPr>
        <w:t xml:space="preserve">Amara </w:t>
      </w:r>
      <w:proofErr w:type="spellStart"/>
      <w:r w:rsidR="00F71B91" w:rsidRPr="006B3F59">
        <w:rPr>
          <w:i/>
          <w:iCs/>
        </w:rPr>
        <w:t>aenea</w:t>
      </w:r>
      <w:proofErr w:type="spellEnd"/>
      <w:r w:rsidR="00F71B91" w:rsidRPr="006B3F59">
        <w:rPr>
          <w:i/>
          <w:iCs/>
        </w:rPr>
        <w:t xml:space="preserve">, </w:t>
      </w:r>
      <w:proofErr w:type="spellStart"/>
      <w:r w:rsidR="00F71B91" w:rsidRPr="006B3F59">
        <w:rPr>
          <w:i/>
          <w:iCs/>
        </w:rPr>
        <w:t>Anchomenus</w:t>
      </w:r>
      <w:proofErr w:type="spellEnd"/>
      <w:r w:rsidR="00F71B91" w:rsidRPr="006B3F59">
        <w:rPr>
          <w:i/>
          <w:iCs/>
        </w:rPr>
        <w:t xml:space="preserve"> dorsalis, </w:t>
      </w:r>
      <w:proofErr w:type="spellStart"/>
      <w:r w:rsidR="00F71B91" w:rsidRPr="006B3F59">
        <w:rPr>
          <w:i/>
          <w:iCs/>
        </w:rPr>
        <w:t>Harpalus</w:t>
      </w:r>
      <w:proofErr w:type="spellEnd"/>
      <w:r w:rsidR="00F71B91" w:rsidRPr="006B3F59">
        <w:rPr>
          <w:i/>
          <w:iCs/>
        </w:rPr>
        <w:t xml:space="preserve"> </w:t>
      </w:r>
      <w:proofErr w:type="spellStart"/>
      <w:r w:rsidR="00F71B91" w:rsidRPr="006B3F59">
        <w:rPr>
          <w:i/>
          <w:iCs/>
        </w:rPr>
        <w:t>affinis</w:t>
      </w:r>
      <w:proofErr w:type="spellEnd"/>
      <w:r w:rsidR="00F71B91" w:rsidRPr="006B3F59">
        <w:rPr>
          <w:i/>
          <w:iCs/>
        </w:rPr>
        <w:t xml:space="preserve">, </w:t>
      </w:r>
      <w:proofErr w:type="spellStart"/>
      <w:r w:rsidR="00F71B91" w:rsidRPr="006B3F59">
        <w:rPr>
          <w:i/>
          <w:iCs/>
        </w:rPr>
        <w:t>Harpalus</w:t>
      </w:r>
      <w:proofErr w:type="spellEnd"/>
      <w:r w:rsidR="00F71B91" w:rsidRPr="006B3F59">
        <w:rPr>
          <w:i/>
          <w:iCs/>
        </w:rPr>
        <w:t xml:space="preserve"> </w:t>
      </w:r>
      <w:proofErr w:type="spellStart"/>
      <w:r w:rsidR="00F71B91" w:rsidRPr="006B3F59">
        <w:rPr>
          <w:i/>
          <w:iCs/>
        </w:rPr>
        <w:t>distinguendus</w:t>
      </w:r>
      <w:proofErr w:type="spellEnd"/>
      <w:r w:rsidR="00F71B91" w:rsidRPr="006B3F59">
        <w:rPr>
          <w:i/>
          <w:iCs/>
        </w:rPr>
        <w:t xml:space="preserve">, </w:t>
      </w:r>
      <w:proofErr w:type="spellStart"/>
      <w:r w:rsidR="00F71B91" w:rsidRPr="006B3F59">
        <w:rPr>
          <w:i/>
          <w:iCs/>
        </w:rPr>
        <w:t>Pseudoophonus</w:t>
      </w:r>
      <w:proofErr w:type="spellEnd"/>
      <w:r w:rsidR="00F71B91" w:rsidRPr="006B3F59">
        <w:rPr>
          <w:i/>
          <w:iCs/>
        </w:rPr>
        <w:t xml:space="preserve"> </w:t>
      </w:r>
      <w:proofErr w:type="spellStart"/>
      <w:r w:rsidR="00F71B91" w:rsidRPr="006B3F59">
        <w:rPr>
          <w:i/>
          <w:iCs/>
        </w:rPr>
        <w:t>rufipes</w:t>
      </w:r>
      <w:proofErr w:type="spellEnd"/>
      <w:r w:rsidR="00F71B91" w:rsidRPr="006B3F59">
        <w:t xml:space="preserve"> Blanokřídlí: </w:t>
      </w:r>
      <w:r w:rsidR="00F71B91" w:rsidRPr="006B3F59">
        <w:rPr>
          <w:i/>
          <w:iCs/>
        </w:rPr>
        <w:t xml:space="preserve">Bombus </w:t>
      </w:r>
      <w:proofErr w:type="spellStart"/>
      <w:r w:rsidR="00F71B91" w:rsidRPr="006B3F59">
        <w:rPr>
          <w:i/>
          <w:iCs/>
        </w:rPr>
        <w:t>terrestris</w:t>
      </w:r>
      <w:proofErr w:type="spellEnd"/>
      <w:r w:rsidR="00F71B91" w:rsidRPr="006B3F59">
        <w:rPr>
          <w:i/>
          <w:iCs/>
        </w:rPr>
        <w:t xml:space="preserve"> (</w:t>
      </w:r>
      <w:r w:rsidR="00F71B91" w:rsidRPr="006B3F59">
        <w:t>hnízdění nezjištěno, lze však předpokládat</w:t>
      </w:r>
      <w:r w:rsidR="00F71B91" w:rsidRPr="006B3F59">
        <w:rPr>
          <w:i/>
          <w:iCs/>
        </w:rPr>
        <w:t xml:space="preserve">); </w:t>
      </w:r>
      <w:proofErr w:type="spellStart"/>
      <w:r w:rsidR="00F71B91" w:rsidRPr="006B3F59">
        <w:rPr>
          <w:i/>
          <w:iCs/>
        </w:rPr>
        <w:t>Formicidae</w:t>
      </w:r>
      <w:proofErr w:type="spellEnd"/>
      <w:r w:rsidR="00F71B91" w:rsidRPr="006B3F59">
        <w:rPr>
          <w:i/>
          <w:iCs/>
        </w:rPr>
        <w:t xml:space="preserve">: </w:t>
      </w:r>
      <w:proofErr w:type="spellStart"/>
      <w:r w:rsidR="00F71B91" w:rsidRPr="006B3F59">
        <w:rPr>
          <w:i/>
          <w:iCs/>
        </w:rPr>
        <w:t>Lasius</w:t>
      </w:r>
      <w:proofErr w:type="spellEnd"/>
      <w:r w:rsidR="00F71B91" w:rsidRPr="006B3F59">
        <w:rPr>
          <w:i/>
          <w:iCs/>
        </w:rPr>
        <w:t xml:space="preserve"> </w:t>
      </w:r>
      <w:proofErr w:type="spellStart"/>
      <w:r w:rsidR="00F71B91" w:rsidRPr="006B3F59">
        <w:rPr>
          <w:i/>
          <w:iCs/>
        </w:rPr>
        <w:t>niger</w:t>
      </w:r>
      <w:proofErr w:type="spellEnd"/>
      <w:r w:rsidR="00F71B91" w:rsidRPr="006B3F59">
        <w:rPr>
          <w:i/>
          <w:iCs/>
        </w:rPr>
        <w:t xml:space="preserve">, </w:t>
      </w:r>
      <w:proofErr w:type="spellStart"/>
      <w:r w:rsidR="00F71B91" w:rsidRPr="006B3F59">
        <w:rPr>
          <w:i/>
          <w:iCs/>
        </w:rPr>
        <w:t>Myrmica</w:t>
      </w:r>
      <w:proofErr w:type="spellEnd"/>
      <w:r w:rsidR="00F71B91" w:rsidRPr="006B3F59">
        <w:rPr>
          <w:i/>
          <w:iCs/>
        </w:rPr>
        <w:t xml:space="preserve"> </w:t>
      </w:r>
      <w:proofErr w:type="spellStart"/>
      <w:r w:rsidR="00F71B91" w:rsidRPr="006B3F59">
        <w:rPr>
          <w:i/>
          <w:iCs/>
        </w:rPr>
        <w:t>schencki</w:t>
      </w:r>
      <w:proofErr w:type="spellEnd"/>
      <w:r w:rsidR="00F71B91" w:rsidRPr="006B3F59">
        <w:t>. Obojživelníci a plazi na sledované ploše nebyly zastiženi.</w:t>
      </w:r>
      <w:r w:rsidR="00721303" w:rsidRPr="006B3F59">
        <w:t xml:space="preserve"> V navazujícím území na schodek k ulici v Podbabě byla pozorována ještěrka </w:t>
      </w:r>
      <w:r w:rsidR="007B22DD" w:rsidRPr="006B3F59">
        <w:t>obecná</w:t>
      </w:r>
      <w:r w:rsidR="00721303" w:rsidRPr="006B3F59">
        <w:t xml:space="preserve"> </w:t>
      </w:r>
      <w:r w:rsidR="007B22DD" w:rsidRPr="006B3F59">
        <w:t>(</w:t>
      </w:r>
      <w:r w:rsidR="00721303" w:rsidRPr="006B3F59">
        <w:rPr>
          <w:i/>
          <w:iCs/>
        </w:rPr>
        <w:t xml:space="preserve">Lacerta </w:t>
      </w:r>
      <w:r w:rsidR="007B22DD" w:rsidRPr="006B3F59">
        <w:rPr>
          <w:i/>
          <w:iCs/>
        </w:rPr>
        <w:t>agilis)</w:t>
      </w:r>
      <w:r w:rsidR="00721303" w:rsidRPr="006B3F59">
        <w:t>.</w:t>
      </w:r>
      <w:r w:rsidR="00F71B91" w:rsidRPr="006B3F59">
        <w:t xml:space="preserve"> Ze savců byly zjištěny pobytové známky zajíce polního (</w:t>
      </w:r>
      <w:proofErr w:type="spellStart"/>
      <w:r w:rsidR="00F71B91" w:rsidRPr="006B3F59">
        <w:rPr>
          <w:i/>
          <w:iCs/>
        </w:rPr>
        <w:t>Lepus</w:t>
      </w:r>
      <w:proofErr w:type="spellEnd"/>
      <w:r w:rsidR="00F71B91" w:rsidRPr="006B3F59">
        <w:rPr>
          <w:i/>
          <w:iCs/>
        </w:rPr>
        <w:t xml:space="preserve"> europaeus</w:t>
      </w:r>
      <w:r w:rsidR="00F71B91" w:rsidRPr="006B3F59">
        <w:t xml:space="preserve">). Z ptáků byli zastiženi </w:t>
      </w:r>
      <w:r w:rsidR="00E77DD4" w:rsidRPr="006B3F59">
        <w:t>Poštolka obecná (</w:t>
      </w:r>
      <w:proofErr w:type="spellStart"/>
      <w:r w:rsidR="00E77DD4" w:rsidRPr="006B3F59">
        <w:rPr>
          <w:i/>
          <w:iCs/>
        </w:rPr>
        <w:t>Falco</w:t>
      </w:r>
      <w:proofErr w:type="spellEnd"/>
      <w:r w:rsidR="00E77DD4" w:rsidRPr="006B3F59">
        <w:rPr>
          <w:i/>
          <w:iCs/>
        </w:rPr>
        <w:t xml:space="preserve"> </w:t>
      </w:r>
      <w:proofErr w:type="spellStart"/>
      <w:r w:rsidR="00E77DD4" w:rsidRPr="006B3F59">
        <w:rPr>
          <w:i/>
          <w:iCs/>
        </w:rPr>
        <w:t>tinnunculus</w:t>
      </w:r>
      <w:proofErr w:type="spellEnd"/>
      <w:r w:rsidR="00E77DD4" w:rsidRPr="006B3F59">
        <w:t>) (přeletující), Bažant obecný, (</w:t>
      </w:r>
      <w:proofErr w:type="spellStart"/>
      <w:r w:rsidR="00E77DD4" w:rsidRPr="006B3F59">
        <w:rPr>
          <w:i/>
          <w:iCs/>
        </w:rPr>
        <w:t>Phasianus</w:t>
      </w:r>
      <w:proofErr w:type="spellEnd"/>
      <w:r w:rsidR="00E77DD4" w:rsidRPr="006B3F59">
        <w:rPr>
          <w:i/>
          <w:iCs/>
        </w:rPr>
        <w:t xml:space="preserve"> </w:t>
      </w:r>
      <w:proofErr w:type="spellStart"/>
      <w:r w:rsidR="00E77DD4" w:rsidRPr="006B3F59">
        <w:rPr>
          <w:i/>
          <w:iCs/>
        </w:rPr>
        <w:t>colchicus</w:t>
      </w:r>
      <w:proofErr w:type="spellEnd"/>
      <w:r w:rsidR="00E77DD4" w:rsidRPr="006B3F59">
        <w:t>), Hrdlička zahradní (</w:t>
      </w:r>
      <w:proofErr w:type="spellStart"/>
      <w:r w:rsidR="00E77DD4" w:rsidRPr="006B3F59">
        <w:rPr>
          <w:i/>
          <w:iCs/>
        </w:rPr>
        <w:t>Streptopelia</w:t>
      </w:r>
      <w:proofErr w:type="spellEnd"/>
      <w:r w:rsidR="00E77DD4" w:rsidRPr="006B3F59">
        <w:rPr>
          <w:i/>
          <w:iCs/>
        </w:rPr>
        <w:t xml:space="preserve"> </w:t>
      </w:r>
      <w:proofErr w:type="spellStart"/>
      <w:r w:rsidR="00E77DD4" w:rsidRPr="006B3F59">
        <w:rPr>
          <w:i/>
          <w:iCs/>
        </w:rPr>
        <w:t>decaocto</w:t>
      </w:r>
      <w:proofErr w:type="spellEnd"/>
      <w:r w:rsidR="00E77DD4" w:rsidRPr="006B3F59">
        <w:t>), Vlaštovka obecná (</w:t>
      </w:r>
      <w:r w:rsidR="00E77DD4" w:rsidRPr="006B3F59">
        <w:rPr>
          <w:i/>
          <w:iCs/>
        </w:rPr>
        <w:t>Hirundo rustica</w:t>
      </w:r>
      <w:r w:rsidR="00E77DD4" w:rsidRPr="006B3F59">
        <w:t>) (přeletující), Kos černý (</w:t>
      </w:r>
      <w:proofErr w:type="spellStart"/>
      <w:r w:rsidR="00E77DD4" w:rsidRPr="006B3F59">
        <w:rPr>
          <w:i/>
          <w:iCs/>
        </w:rPr>
        <w:t>Turdus</w:t>
      </w:r>
      <w:proofErr w:type="spellEnd"/>
      <w:r w:rsidR="00E77DD4" w:rsidRPr="006B3F59">
        <w:rPr>
          <w:i/>
          <w:iCs/>
        </w:rPr>
        <w:t xml:space="preserve"> </w:t>
      </w:r>
      <w:proofErr w:type="spellStart"/>
      <w:r w:rsidR="00E77DD4" w:rsidRPr="006B3F59">
        <w:rPr>
          <w:i/>
          <w:iCs/>
        </w:rPr>
        <w:t>merula</w:t>
      </w:r>
      <w:proofErr w:type="spellEnd"/>
      <w:r w:rsidR="00E77DD4" w:rsidRPr="006B3F59">
        <w:t>), Špaček obecný (</w:t>
      </w:r>
      <w:proofErr w:type="spellStart"/>
      <w:r w:rsidR="00E77DD4" w:rsidRPr="006B3F59">
        <w:rPr>
          <w:i/>
          <w:iCs/>
        </w:rPr>
        <w:t>Sturnus</w:t>
      </w:r>
      <w:proofErr w:type="spellEnd"/>
      <w:r w:rsidR="00E77DD4" w:rsidRPr="006B3F59">
        <w:rPr>
          <w:i/>
          <w:iCs/>
        </w:rPr>
        <w:t xml:space="preserve"> vulgaris</w:t>
      </w:r>
      <w:r w:rsidR="00E77DD4" w:rsidRPr="006B3F59">
        <w:t>), Sojka obecná (</w:t>
      </w:r>
      <w:proofErr w:type="spellStart"/>
      <w:r w:rsidR="00E77DD4" w:rsidRPr="006B3F59">
        <w:rPr>
          <w:i/>
          <w:iCs/>
        </w:rPr>
        <w:t>Garrulus</w:t>
      </w:r>
      <w:proofErr w:type="spellEnd"/>
      <w:r w:rsidR="00E77DD4" w:rsidRPr="006B3F59">
        <w:rPr>
          <w:i/>
          <w:iCs/>
        </w:rPr>
        <w:t xml:space="preserve"> </w:t>
      </w:r>
      <w:proofErr w:type="spellStart"/>
      <w:r w:rsidR="00E77DD4" w:rsidRPr="006B3F59">
        <w:rPr>
          <w:i/>
          <w:iCs/>
        </w:rPr>
        <w:t>glandarius</w:t>
      </w:r>
      <w:proofErr w:type="spellEnd"/>
      <w:r w:rsidR="00E77DD4" w:rsidRPr="006B3F59">
        <w:rPr>
          <w:i/>
          <w:iCs/>
        </w:rPr>
        <w:t xml:space="preserve"> P</w:t>
      </w:r>
      <w:r w:rsidR="00E77DD4" w:rsidRPr="006B3F59">
        <w:t>), Straka obecná (</w:t>
      </w:r>
      <w:proofErr w:type="spellStart"/>
      <w:r w:rsidR="00E77DD4" w:rsidRPr="006B3F59">
        <w:rPr>
          <w:i/>
          <w:iCs/>
        </w:rPr>
        <w:t>Pica</w:t>
      </w:r>
      <w:proofErr w:type="spellEnd"/>
      <w:r w:rsidR="00E77DD4" w:rsidRPr="006B3F59">
        <w:rPr>
          <w:i/>
          <w:iCs/>
        </w:rPr>
        <w:t xml:space="preserve"> </w:t>
      </w:r>
      <w:proofErr w:type="spellStart"/>
      <w:r w:rsidR="00E77DD4" w:rsidRPr="006B3F59">
        <w:rPr>
          <w:i/>
          <w:iCs/>
        </w:rPr>
        <w:t>pica</w:t>
      </w:r>
      <w:proofErr w:type="spellEnd"/>
      <w:r w:rsidR="00E77DD4" w:rsidRPr="006B3F59">
        <w:t>), Sýkora koňadra (</w:t>
      </w:r>
      <w:proofErr w:type="spellStart"/>
      <w:r w:rsidR="00E77DD4" w:rsidRPr="006B3F59">
        <w:rPr>
          <w:i/>
          <w:iCs/>
        </w:rPr>
        <w:t>Parus</w:t>
      </w:r>
      <w:proofErr w:type="spellEnd"/>
      <w:r w:rsidR="00E77DD4" w:rsidRPr="006B3F59">
        <w:rPr>
          <w:i/>
          <w:iCs/>
        </w:rPr>
        <w:t xml:space="preserve"> major</w:t>
      </w:r>
      <w:r w:rsidR="00E77DD4" w:rsidRPr="006B3F59">
        <w:t>), Vrabec domácí (</w:t>
      </w:r>
      <w:r w:rsidR="00E77DD4" w:rsidRPr="006B3F59">
        <w:rPr>
          <w:i/>
          <w:iCs/>
        </w:rPr>
        <w:t xml:space="preserve">Passer </w:t>
      </w:r>
      <w:proofErr w:type="spellStart"/>
      <w:r w:rsidR="00E77DD4" w:rsidRPr="006B3F59">
        <w:rPr>
          <w:i/>
          <w:iCs/>
        </w:rPr>
        <w:t>domesticus</w:t>
      </w:r>
      <w:proofErr w:type="spellEnd"/>
      <w:r w:rsidR="00E77DD4" w:rsidRPr="006B3F59">
        <w:rPr>
          <w:i/>
          <w:iCs/>
        </w:rPr>
        <w:t xml:space="preserve"> P</w:t>
      </w:r>
      <w:r w:rsidR="00E77DD4" w:rsidRPr="006B3F59">
        <w:t>), Vrabec polní (</w:t>
      </w:r>
      <w:r w:rsidR="00E77DD4" w:rsidRPr="006B3F59">
        <w:rPr>
          <w:i/>
          <w:iCs/>
        </w:rPr>
        <w:t xml:space="preserve">Passer </w:t>
      </w:r>
      <w:proofErr w:type="spellStart"/>
      <w:r w:rsidR="00E77DD4" w:rsidRPr="006B3F59">
        <w:rPr>
          <w:i/>
          <w:iCs/>
        </w:rPr>
        <w:t>montanus</w:t>
      </w:r>
      <w:proofErr w:type="spellEnd"/>
      <w:r w:rsidR="00E77DD4" w:rsidRPr="006B3F59">
        <w:rPr>
          <w:i/>
          <w:iCs/>
        </w:rPr>
        <w:t xml:space="preserve"> P</w:t>
      </w:r>
      <w:r w:rsidR="00E77DD4" w:rsidRPr="006B3F59">
        <w:t>), Konopka obecná (</w:t>
      </w:r>
      <w:proofErr w:type="spellStart"/>
      <w:r w:rsidR="00E77DD4" w:rsidRPr="006B3F59">
        <w:rPr>
          <w:i/>
          <w:iCs/>
        </w:rPr>
        <w:t>Carduelis</w:t>
      </w:r>
      <w:proofErr w:type="spellEnd"/>
      <w:r w:rsidR="00E77DD4" w:rsidRPr="006B3F59">
        <w:rPr>
          <w:i/>
          <w:iCs/>
        </w:rPr>
        <w:t xml:space="preserve"> </w:t>
      </w:r>
      <w:proofErr w:type="spellStart"/>
      <w:r w:rsidR="00E77DD4" w:rsidRPr="006B3F59">
        <w:rPr>
          <w:i/>
          <w:iCs/>
        </w:rPr>
        <w:t>cannabina</w:t>
      </w:r>
      <w:proofErr w:type="spellEnd"/>
      <w:r w:rsidR="00E77DD4" w:rsidRPr="006B3F59">
        <w:rPr>
          <w:i/>
          <w:iCs/>
        </w:rPr>
        <w:t xml:space="preserve"> P</w:t>
      </w:r>
      <w:r w:rsidR="00E77DD4" w:rsidRPr="006B3F59">
        <w:t>), Strnad obecný (</w:t>
      </w:r>
      <w:proofErr w:type="spellStart"/>
      <w:r w:rsidR="00E77DD4" w:rsidRPr="006B3F59">
        <w:rPr>
          <w:i/>
          <w:iCs/>
        </w:rPr>
        <w:t>Emberiza</w:t>
      </w:r>
      <w:proofErr w:type="spellEnd"/>
      <w:r w:rsidR="00E77DD4" w:rsidRPr="006B3F59">
        <w:rPr>
          <w:i/>
          <w:iCs/>
        </w:rPr>
        <w:t xml:space="preserve"> </w:t>
      </w:r>
      <w:proofErr w:type="spellStart"/>
      <w:r w:rsidR="00E77DD4" w:rsidRPr="006B3F59">
        <w:rPr>
          <w:i/>
          <w:iCs/>
        </w:rPr>
        <w:t>citrinella</w:t>
      </w:r>
      <w:proofErr w:type="spellEnd"/>
      <w:r w:rsidR="00E77DD4" w:rsidRPr="006B3F59">
        <w:t xml:space="preserve">), </w:t>
      </w:r>
      <w:r w:rsidR="00E54ECB" w:rsidRPr="006B3F59">
        <w:rPr>
          <w:rFonts w:eastAsiaTheme="minorHAnsi"/>
        </w:rPr>
        <w:t>Tuto skutečnost je třeba prověřit v následných fázích projektové přípravy staveb.</w:t>
      </w:r>
    </w:p>
    <w:p w14:paraId="210BCF7D" w14:textId="1A63725A" w:rsidR="00624B79" w:rsidRPr="006B3F59" w:rsidRDefault="00624B79" w:rsidP="008B2D5F">
      <w:pPr>
        <w:rPr>
          <w:rFonts w:eastAsiaTheme="minorHAnsi"/>
        </w:rPr>
      </w:pPr>
      <w:r w:rsidRPr="006B3F59">
        <w:rPr>
          <w:rFonts w:eastAsiaTheme="minorHAnsi"/>
        </w:rPr>
        <w:t>V řešeném území jsou mimo zeleň zahrad</w:t>
      </w:r>
      <w:r w:rsidR="00CE7761" w:rsidRPr="006B3F59">
        <w:rPr>
          <w:rFonts w:eastAsiaTheme="minorHAnsi"/>
        </w:rPr>
        <w:t>, doprovodné zeleně podél komunikací</w:t>
      </w:r>
      <w:r w:rsidRPr="006B3F59">
        <w:rPr>
          <w:rFonts w:eastAsiaTheme="minorHAnsi"/>
        </w:rPr>
        <w:t>, sídlišť, skládek a navážek, zastoupeny především ruderální společenstva</w:t>
      </w:r>
      <w:r w:rsidR="001A0E04" w:rsidRPr="006B3F59">
        <w:rPr>
          <w:rFonts w:eastAsiaTheme="minorHAnsi"/>
        </w:rPr>
        <w:t xml:space="preserve"> a</w:t>
      </w:r>
      <w:r w:rsidRPr="006B3F59">
        <w:rPr>
          <w:rFonts w:eastAsiaTheme="minorHAnsi"/>
        </w:rPr>
        <w:t xml:space="preserve"> společenstva nitrofilních rostlin, </w:t>
      </w:r>
      <w:r w:rsidR="00CF7392" w:rsidRPr="006B3F59">
        <w:rPr>
          <w:rFonts w:eastAsiaTheme="minorHAnsi"/>
        </w:rPr>
        <w:t>náletové</w:t>
      </w:r>
      <w:r w:rsidRPr="006B3F59">
        <w:rPr>
          <w:rFonts w:eastAsiaTheme="minorHAnsi"/>
        </w:rPr>
        <w:t xml:space="preserve"> porosty</w:t>
      </w:r>
      <w:r w:rsidR="00CF7392" w:rsidRPr="006B3F59">
        <w:rPr>
          <w:rFonts w:eastAsiaTheme="minorHAnsi"/>
        </w:rPr>
        <w:t xml:space="preserve"> s břízou, jeřábem a pajasanem žláznatý</w:t>
      </w:r>
      <w:r w:rsidR="00834C6A" w:rsidRPr="006B3F59">
        <w:rPr>
          <w:rFonts w:eastAsiaTheme="minorHAnsi"/>
        </w:rPr>
        <w:t xml:space="preserve"> a druhotné křoviny teplých oblastí</w:t>
      </w:r>
      <w:r w:rsidR="00CF7392" w:rsidRPr="006B3F59">
        <w:rPr>
          <w:rFonts w:eastAsiaTheme="minorHAnsi"/>
        </w:rPr>
        <w:t xml:space="preserve"> s růží šípkovou, brslenem a hlohem</w:t>
      </w:r>
      <w:r w:rsidR="00834C6A" w:rsidRPr="006B3F59">
        <w:rPr>
          <w:rFonts w:eastAsiaTheme="minorHAnsi"/>
        </w:rPr>
        <w:t xml:space="preserve"> a mezofilní louky. </w:t>
      </w:r>
      <w:r w:rsidR="00CE7761" w:rsidRPr="006B3F59">
        <w:rPr>
          <w:rFonts w:eastAsiaTheme="minorHAnsi"/>
        </w:rPr>
        <w:t xml:space="preserve">Podél ulice Kamýcká se nachází výsadby okrasných kultivarů běžných dřevin a ovocných stromů (javor, lípa, ořešák, slivoň, bříza, smrk, borovice, </w:t>
      </w:r>
      <w:proofErr w:type="spellStart"/>
      <w:r w:rsidR="00CE7761" w:rsidRPr="006B3F59">
        <w:rPr>
          <w:rFonts w:eastAsiaTheme="minorHAnsi"/>
        </w:rPr>
        <w:t>thuja</w:t>
      </w:r>
      <w:proofErr w:type="spellEnd"/>
      <w:r w:rsidR="00CE7761" w:rsidRPr="006B3F59">
        <w:rPr>
          <w:rFonts w:eastAsiaTheme="minorHAnsi"/>
        </w:rPr>
        <w:t xml:space="preserve">, tis, jabloň) s podsadbou běžných druhů okrasných keřů (ptačí zob, pámelník, tavolník, šeřík, bez černý). V okolí Zemědělské univerzity se při ulici Kamýcká vyskytují výsadby neobvyklých zahradních kultivarů dřevin, např. dub červený, dub balkánský. </w:t>
      </w:r>
      <w:r w:rsidR="00834C6A" w:rsidRPr="006B3F59">
        <w:rPr>
          <w:rFonts w:eastAsiaTheme="minorHAnsi"/>
        </w:rPr>
        <w:t>Lesní porosty nejsou přítomny.</w:t>
      </w:r>
    </w:p>
    <w:p w14:paraId="1C4A5549" w14:textId="1AF25A71" w:rsidR="001A0E04" w:rsidRPr="006B3F59" w:rsidRDefault="001A0E04" w:rsidP="008B2D5F">
      <w:pPr>
        <w:rPr>
          <w:rFonts w:eastAsiaTheme="minorHAnsi"/>
        </w:rPr>
      </w:pPr>
      <w:r w:rsidRPr="006B3F59">
        <w:rPr>
          <w:rFonts w:eastAsiaTheme="minorHAnsi"/>
        </w:rPr>
        <w:t>Při orientačním terénním průzkumu (březen</w:t>
      </w:r>
      <w:r w:rsidR="009E2559" w:rsidRPr="006B3F59">
        <w:rPr>
          <w:rFonts w:eastAsiaTheme="minorHAnsi"/>
        </w:rPr>
        <w:t xml:space="preserve"> až červen</w:t>
      </w:r>
      <w:r w:rsidRPr="006B3F59">
        <w:rPr>
          <w:rFonts w:eastAsiaTheme="minorHAnsi"/>
        </w:rPr>
        <w:t xml:space="preserve"> 2023) byly</w:t>
      </w:r>
      <w:r w:rsidR="00CE7761" w:rsidRPr="006B3F59">
        <w:rPr>
          <w:rFonts w:eastAsiaTheme="minorHAnsi"/>
        </w:rPr>
        <w:t xml:space="preserve"> v oblasti Nového Sedlce</w:t>
      </w:r>
      <w:r w:rsidRPr="006B3F59">
        <w:rPr>
          <w:rFonts w:eastAsiaTheme="minorHAnsi"/>
        </w:rPr>
        <w:t xml:space="preserve"> zjištěny převážně běžné druhy dřevin v řešených plochách</w:t>
      </w:r>
      <w:r w:rsidR="00242E8D" w:rsidRPr="006B3F59">
        <w:rPr>
          <w:rFonts w:eastAsiaTheme="minorHAnsi"/>
        </w:rPr>
        <w:t>, přímo dotčených posuzovanou změnu</w:t>
      </w:r>
      <w:r w:rsidRPr="006B3F59">
        <w:rPr>
          <w:rFonts w:eastAsiaTheme="minorHAnsi"/>
        </w:rPr>
        <w:t>, které tvoří z části nálety na navážkách a z části výsadby okrasných dřevin podél budoucí tramvajové trati. Jedná se o směs pěstovaných keřů s náletem dřevi</w:t>
      </w:r>
      <w:r w:rsidR="00242E8D" w:rsidRPr="006B3F59">
        <w:rPr>
          <w:rFonts w:eastAsiaTheme="minorHAnsi"/>
        </w:rPr>
        <w:t>n</w:t>
      </w:r>
      <w:r w:rsidRPr="006B3F59">
        <w:rPr>
          <w:rFonts w:eastAsiaTheme="minorHAnsi"/>
        </w:rPr>
        <w:t xml:space="preserve"> a v podrostu běžné druhy bylin těchto druhů: </w:t>
      </w:r>
      <w:r w:rsidRPr="006B3F59">
        <w:rPr>
          <w:i/>
          <w:iCs/>
        </w:rPr>
        <w:t xml:space="preserve">Acer platanoides, Acer </w:t>
      </w:r>
      <w:proofErr w:type="spellStart"/>
      <w:r w:rsidRPr="006B3F59">
        <w:rPr>
          <w:i/>
          <w:iCs/>
        </w:rPr>
        <w:t>campestre</w:t>
      </w:r>
      <w:proofErr w:type="spellEnd"/>
      <w:r w:rsidRPr="006B3F59">
        <w:rPr>
          <w:i/>
          <w:iCs/>
        </w:rPr>
        <w:t xml:space="preserve">, Acer </w:t>
      </w:r>
      <w:proofErr w:type="spellStart"/>
      <w:r w:rsidRPr="006B3F59">
        <w:rPr>
          <w:i/>
          <w:iCs/>
        </w:rPr>
        <w:t>negundo</w:t>
      </w:r>
      <w:proofErr w:type="spellEnd"/>
      <w:r w:rsidRPr="006B3F59">
        <w:rPr>
          <w:i/>
          <w:iCs/>
        </w:rPr>
        <w:t xml:space="preserve">, </w:t>
      </w:r>
      <w:proofErr w:type="spellStart"/>
      <w:r w:rsidR="00242E8D" w:rsidRPr="006B3F59">
        <w:rPr>
          <w:i/>
          <w:iCs/>
        </w:rPr>
        <w:t>Artemisia</w:t>
      </w:r>
      <w:proofErr w:type="spellEnd"/>
      <w:r w:rsidR="00242E8D" w:rsidRPr="006B3F59">
        <w:rPr>
          <w:i/>
          <w:iCs/>
        </w:rPr>
        <w:t xml:space="preserve"> </w:t>
      </w:r>
      <w:proofErr w:type="spellStart"/>
      <w:r w:rsidR="00242E8D" w:rsidRPr="006B3F59">
        <w:rPr>
          <w:i/>
          <w:iCs/>
        </w:rPr>
        <w:t>vugarit</w:t>
      </w:r>
      <w:proofErr w:type="spellEnd"/>
      <w:r w:rsidR="00242E8D" w:rsidRPr="006B3F59">
        <w:rPr>
          <w:i/>
          <w:iCs/>
        </w:rPr>
        <w:t xml:space="preserve">, </w:t>
      </w:r>
      <w:r w:rsidRPr="006B3F59">
        <w:rPr>
          <w:i/>
          <w:iCs/>
        </w:rPr>
        <w:t>Betula pendula,</w:t>
      </w:r>
      <w:r w:rsidRPr="006B3F59">
        <w:t xml:space="preserve"> </w:t>
      </w:r>
      <w:r w:rsidRPr="006B3F59">
        <w:rPr>
          <w:i/>
          <w:iCs/>
        </w:rPr>
        <w:t xml:space="preserve">Malus </w:t>
      </w:r>
      <w:proofErr w:type="spellStart"/>
      <w:r w:rsidRPr="006B3F59">
        <w:rPr>
          <w:i/>
          <w:iCs/>
        </w:rPr>
        <w:t>domestica</w:t>
      </w:r>
      <w:proofErr w:type="spellEnd"/>
      <w:r w:rsidRPr="006B3F59">
        <w:rPr>
          <w:i/>
          <w:iCs/>
        </w:rPr>
        <w:t xml:space="preserve">, Calamagrostis arundinaceae, Cornus </w:t>
      </w:r>
      <w:proofErr w:type="spellStart"/>
      <w:r w:rsidRPr="006B3F59">
        <w:rPr>
          <w:i/>
          <w:iCs/>
        </w:rPr>
        <w:t>sanquinea</w:t>
      </w:r>
      <w:proofErr w:type="spellEnd"/>
      <w:r w:rsidRPr="006B3F59">
        <w:rPr>
          <w:i/>
          <w:iCs/>
        </w:rPr>
        <w:t xml:space="preserve">, </w:t>
      </w:r>
      <w:proofErr w:type="spellStart"/>
      <w:r w:rsidRPr="006B3F59">
        <w:rPr>
          <w:i/>
          <w:iCs/>
        </w:rPr>
        <w:t>Corrylus</w:t>
      </w:r>
      <w:proofErr w:type="spellEnd"/>
      <w:r w:rsidRPr="006B3F59">
        <w:rPr>
          <w:i/>
          <w:iCs/>
        </w:rPr>
        <w:t xml:space="preserve"> avellana, </w:t>
      </w:r>
      <w:proofErr w:type="spellStart"/>
      <w:r w:rsidRPr="006B3F59">
        <w:rPr>
          <w:i/>
          <w:iCs/>
        </w:rPr>
        <w:t>Dactylis</w:t>
      </w:r>
      <w:proofErr w:type="spellEnd"/>
      <w:r w:rsidRPr="006B3F59">
        <w:rPr>
          <w:i/>
          <w:iCs/>
        </w:rPr>
        <w:t xml:space="preserve"> </w:t>
      </w:r>
      <w:proofErr w:type="spellStart"/>
      <w:r w:rsidRPr="006B3F59">
        <w:rPr>
          <w:i/>
          <w:iCs/>
        </w:rPr>
        <w:t>glomerata</w:t>
      </w:r>
      <w:proofErr w:type="spellEnd"/>
      <w:r w:rsidRPr="006B3F59">
        <w:rPr>
          <w:i/>
          <w:iCs/>
        </w:rPr>
        <w:t xml:space="preserve"> </w:t>
      </w:r>
      <w:proofErr w:type="spellStart"/>
      <w:r w:rsidRPr="006B3F59">
        <w:rPr>
          <w:i/>
          <w:iCs/>
        </w:rPr>
        <w:t>Epilobium</w:t>
      </w:r>
      <w:proofErr w:type="spellEnd"/>
      <w:r w:rsidRPr="006B3F59">
        <w:rPr>
          <w:i/>
          <w:iCs/>
        </w:rPr>
        <w:t xml:space="preserve"> sp.,</w:t>
      </w:r>
      <w:r w:rsidR="00242E8D" w:rsidRPr="006B3F59">
        <w:rPr>
          <w:i/>
          <w:iCs/>
        </w:rPr>
        <w:t xml:space="preserve"> </w:t>
      </w:r>
      <w:proofErr w:type="spellStart"/>
      <w:r w:rsidR="00242E8D" w:rsidRPr="006B3F59">
        <w:rPr>
          <w:i/>
          <w:iCs/>
        </w:rPr>
        <w:t>Fraxinus</w:t>
      </w:r>
      <w:proofErr w:type="spellEnd"/>
      <w:r w:rsidR="00242E8D" w:rsidRPr="006B3F59">
        <w:rPr>
          <w:i/>
          <w:iCs/>
        </w:rPr>
        <w:t xml:space="preserve"> excelsior,</w:t>
      </w:r>
      <w:r w:rsidRPr="006B3F59">
        <w:rPr>
          <w:i/>
          <w:iCs/>
        </w:rPr>
        <w:t xml:space="preserve"> Festuca rubra, </w:t>
      </w:r>
      <w:proofErr w:type="spellStart"/>
      <w:r w:rsidRPr="006B3F59">
        <w:rPr>
          <w:i/>
          <w:iCs/>
        </w:rPr>
        <w:t>Forsythia</w:t>
      </w:r>
      <w:proofErr w:type="spellEnd"/>
      <w:r w:rsidRPr="006B3F59">
        <w:rPr>
          <w:i/>
          <w:iCs/>
        </w:rPr>
        <w:t xml:space="preserve"> ×intermedia, </w:t>
      </w:r>
      <w:proofErr w:type="spellStart"/>
      <w:r w:rsidRPr="006B3F59">
        <w:rPr>
          <w:i/>
          <w:iCs/>
        </w:rPr>
        <w:t>Fragaria</w:t>
      </w:r>
      <w:proofErr w:type="spellEnd"/>
      <w:r w:rsidRPr="006B3F59">
        <w:rPr>
          <w:i/>
          <w:iCs/>
        </w:rPr>
        <w:t xml:space="preserve"> </w:t>
      </w:r>
      <w:proofErr w:type="spellStart"/>
      <w:r w:rsidRPr="006B3F59">
        <w:rPr>
          <w:i/>
          <w:iCs/>
        </w:rPr>
        <w:t>vesca</w:t>
      </w:r>
      <w:proofErr w:type="spellEnd"/>
      <w:r w:rsidRPr="006B3F59">
        <w:rPr>
          <w:i/>
          <w:iCs/>
        </w:rPr>
        <w:t xml:space="preserve">, </w:t>
      </w:r>
      <w:proofErr w:type="spellStart"/>
      <w:r w:rsidRPr="006B3F59">
        <w:rPr>
          <w:i/>
          <w:iCs/>
        </w:rPr>
        <w:t>Geranium</w:t>
      </w:r>
      <w:proofErr w:type="spellEnd"/>
      <w:r w:rsidRPr="006B3F59">
        <w:rPr>
          <w:i/>
          <w:iCs/>
        </w:rPr>
        <w:t xml:space="preserve"> </w:t>
      </w:r>
      <w:proofErr w:type="spellStart"/>
      <w:r w:rsidRPr="006B3F59">
        <w:rPr>
          <w:i/>
          <w:iCs/>
        </w:rPr>
        <w:t>urbanum</w:t>
      </w:r>
      <w:proofErr w:type="spellEnd"/>
      <w:r w:rsidRPr="006B3F59">
        <w:rPr>
          <w:i/>
          <w:iCs/>
        </w:rPr>
        <w:t xml:space="preserve">, </w:t>
      </w:r>
      <w:proofErr w:type="spellStart"/>
      <w:r w:rsidRPr="006B3F59">
        <w:rPr>
          <w:i/>
          <w:iCs/>
        </w:rPr>
        <w:t>Plantago</w:t>
      </w:r>
      <w:proofErr w:type="spellEnd"/>
      <w:r w:rsidRPr="006B3F59">
        <w:rPr>
          <w:i/>
          <w:iCs/>
        </w:rPr>
        <w:t xml:space="preserve"> </w:t>
      </w:r>
      <w:proofErr w:type="spellStart"/>
      <w:r w:rsidRPr="006B3F59">
        <w:rPr>
          <w:i/>
          <w:iCs/>
        </w:rPr>
        <w:t>lanceolata</w:t>
      </w:r>
      <w:proofErr w:type="spellEnd"/>
      <w:r w:rsidRPr="006B3F59">
        <w:rPr>
          <w:i/>
          <w:iCs/>
        </w:rPr>
        <w:t xml:space="preserve">, </w:t>
      </w:r>
      <w:proofErr w:type="spellStart"/>
      <w:r w:rsidRPr="006B3F59">
        <w:rPr>
          <w:i/>
          <w:iCs/>
        </w:rPr>
        <w:t>Plantago</w:t>
      </w:r>
      <w:proofErr w:type="spellEnd"/>
      <w:r w:rsidRPr="006B3F59">
        <w:rPr>
          <w:i/>
          <w:iCs/>
        </w:rPr>
        <w:t xml:space="preserve"> media, Poa </w:t>
      </w:r>
      <w:proofErr w:type="spellStart"/>
      <w:r w:rsidRPr="006B3F59">
        <w:rPr>
          <w:i/>
          <w:iCs/>
        </w:rPr>
        <w:t>annua</w:t>
      </w:r>
      <w:proofErr w:type="spellEnd"/>
      <w:r w:rsidRPr="006B3F59">
        <w:rPr>
          <w:i/>
          <w:iCs/>
        </w:rPr>
        <w:t xml:space="preserve">, Poa </w:t>
      </w:r>
      <w:proofErr w:type="spellStart"/>
      <w:r w:rsidRPr="006B3F59">
        <w:rPr>
          <w:i/>
          <w:iCs/>
        </w:rPr>
        <w:t>palustris</w:t>
      </w:r>
      <w:proofErr w:type="spellEnd"/>
      <w:r w:rsidRPr="006B3F59">
        <w:rPr>
          <w:i/>
          <w:iCs/>
        </w:rPr>
        <w:t xml:space="preserve">, </w:t>
      </w:r>
      <w:proofErr w:type="spellStart"/>
      <w:r w:rsidRPr="006B3F59">
        <w:rPr>
          <w:i/>
          <w:iCs/>
        </w:rPr>
        <w:t>Prunus</w:t>
      </w:r>
      <w:proofErr w:type="spellEnd"/>
      <w:r w:rsidRPr="006B3F59">
        <w:rPr>
          <w:i/>
          <w:iCs/>
        </w:rPr>
        <w:t xml:space="preserve"> </w:t>
      </w:r>
      <w:proofErr w:type="spellStart"/>
      <w:r w:rsidRPr="006B3F59">
        <w:rPr>
          <w:i/>
          <w:iCs/>
        </w:rPr>
        <w:t>avium</w:t>
      </w:r>
      <w:proofErr w:type="spellEnd"/>
      <w:r w:rsidRPr="006B3F59">
        <w:rPr>
          <w:i/>
          <w:iCs/>
        </w:rPr>
        <w:t xml:space="preserve">, </w:t>
      </w:r>
      <w:proofErr w:type="spellStart"/>
      <w:r w:rsidRPr="006B3F59">
        <w:rPr>
          <w:i/>
          <w:iCs/>
        </w:rPr>
        <w:t>Potentila</w:t>
      </w:r>
      <w:proofErr w:type="spellEnd"/>
      <w:r w:rsidRPr="006B3F59">
        <w:rPr>
          <w:i/>
          <w:iCs/>
        </w:rPr>
        <w:t xml:space="preserve"> </w:t>
      </w:r>
      <w:proofErr w:type="spellStart"/>
      <w:r w:rsidRPr="006B3F59">
        <w:rPr>
          <w:i/>
          <w:iCs/>
        </w:rPr>
        <w:t>reptans</w:t>
      </w:r>
      <w:proofErr w:type="spellEnd"/>
      <w:r w:rsidRPr="006B3F59">
        <w:rPr>
          <w:i/>
          <w:iCs/>
        </w:rPr>
        <w:t>,</w:t>
      </w:r>
      <w:r w:rsidR="00242E8D" w:rsidRPr="006B3F59">
        <w:rPr>
          <w:i/>
          <w:iCs/>
        </w:rPr>
        <w:t xml:space="preserve"> </w:t>
      </w:r>
      <w:proofErr w:type="spellStart"/>
      <w:r w:rsidR="00242E8D" w:rsidRPr="006B3F59">
        <w:rPr>
          <w:i/>
          <w:iCs/>
        </w:rPr>
        <w:t>Potentilla</w:t>
      </w:r>
      <w:proofErr w:type="spellEnd"/>
      <w:r w:rsidR="00242E8D" w:rsidRPr="006B3F59">
        <w:rPr>
          <w:i/>
          <w:iCs/>
        </w:rPr>
        <w:t xml:space="preserve"> </w:t>
      </w:r>
      <w:proofErr w:type="spellStart"/>
      <w:r w:rsidR="00242E8D" w:rsidRPr="006B3F59">
        <w:rPr>
          <w:i/>
          <w:iCs/>
        </w:rPr>
        <w:t>fructicosa</w:t>
      </w:r>
      <w:proofErr w:type="spellEnd"/>
      <w:r w:rsidR="00242E8D" w:rsidRPr="006B3F59">
        <w:rPr>
          <w:i/>
          <w:iCs/>
        </w:rPr>
        <w:t>,</w:t>
      </w:r>
      <w:r w:rsidRPr="006B3F59">
        <w:rPr>
          <w:i/>
          <w:iCs/>
        </w:rPr>
        <w:t xml:space="preserve"> </w:t>
      </w:r>
      <w:proofErr w:type="spellStart"/>
      <w:r w:rsidRPr="006B3F59">
        <w:rPr>
          <w:i/>
          <w:iCs/>
        </w:rPr>
        <w:t>Prunus</w:t>
      </w:r>
      <w:proofErr w:type="spellEnd"/>
      <w:r w:rsidRPr="006B3F59">
        <w:rPr>
          <w:i/>
          <w:iCs/>
        </w:rPr>
        <w:t xml:space="preserve"> </w:t>
      </w:r>
      <w:proofErr w:type="spellStart"/>
      <w:r w:rsidRPr="006B3F59">
        <w:rPr>
          <w:i/>
          <w:iCs/>
        </w:rPr>
        <w:t>racemosa</w:t>
      </w:r>
      <w:proofErr w:type="spellEnd"/>
      <w:r w:rsidRPr="006B3F59">
        <w:rPr>
          <w:i/>
          <w:iCs/>
        </w:rPr>
        <w:t xml:space="preserve">, Populus nigra, </w:t>
      </w:r>
      <w:proofErr w:type="spellStart"/>
      <w:r w:rsidRPr="006B3F59">
        <w:rPr>
          <w:i/>
          <w:iCs/>
        </w:rPr>
        <w:t>Prunus</w:t>
      </w:r>
      <w:proofErr w:type="spellEnd"/>
      <w:r w:rsidRPr="006B3F59">
        <w:rPr>
          <w:i/>
          <w:iCs/>
        </w:rPr>
        <w:t xml:space="preserve"> sp., Rosa </w:t>
      </w:r>
      <w:proofErr w:type="spellStart"/>
      <w:r w:rsidRPr="006B3F59">
        <w:rPr>
          <w:i/>
          <w:iCs/>
        </w:rPr>
        <w:t>canina</w:t>
      </w:r>
      <w:proofErr w:type="spellEnd"/>
      <w:r w:rsidRPr="006B3F59">
        <w:rPr>
          <w:i/>
          <w:iCs/>
        </w:rPr>
        <w:t xml:space="preserve">, </w:t>
      </w:r>
      <w:proofErr w:type="spellStart"/>
      <w:r w:rsidRPr="006B3F59">
        <w:rPr>
          <w:i/>
          <w:iCs/>
        </w:rPr>
        <w:t>Pyrus</w:t>
      </w:r>
      <w:proofErr w:type="spellEnd"/>
      <w:r w:rsidRPr="006B3F59">
        <w:rPr>
          <w:i/>
          <w:iCs/>
        </w:rPr>
        <w:t xml:space="preserve"> </w:t>
      </w:r>
      <w:proofErr w:type="spellStart"/>
      <w:r w:rsidRPr="006B3F59">
        <w:rPr>
          <w:i/>
          <w:iCs/>
        </w:rPr>
        <w:t>communis</w:t>
      </w:r>
      <w:proofErr w:type="spellEnd"/>
      <w:r w:rsidRPr="006B3F59">
        <w:rPr>
          <w:i/>
          <w:iCs/>
        </w:rPr>
        <w:t xml:space="preserve">, </w:t>
      </w:r>
      <w:proofErr w:type="spellStart"/>
      <w:r w:rsidR="00242E8D" w:rsidRPr="006B3F59">
        <w:rPr>
          <w:i/>
          <w:iCs/>
        </w:rPr>
        <w:t>Rybes</w:t>
      </w:r>
      <w:proofErr w:type="spellEnd"/>
      <w:r w:rsidR="00242E8D" w:rsidRPr="006B3F59">
        <w:rPr>
          <w:i/>
          <w:iCs/>
        </w:rPr>
        <w:t xml:space="preserve"> alpinum, </w:t>
      </w:r>
      <w:proofErr w:type="spellStart"/>
      <w:r w:rsidRPr="006B3F59">
        <w:rPr>
          <w:i/>
          <w:iCs/>
        </w:rPr>
        <w:t>Rubus</w:t>
      </w:r>
      <w:proofErr w:type="spellEnd"/>
      <w:r w:rsidRPr="006B3F59">
        <w:rPr>
          <w:i/>
          <w:iCs/>
        </w:rPr>
        <w:t xml:space="preserve"> </w:t>
      </w:r>
      <w:proofErr w:type="spellStart"/>
      <w:r w:rsidRPr="006B3F59">
        <w:rPr>
          <w:i/>
          <w:iCs/>
        </w:rPr>
        <w:t>fruticosus</w:t>
      </w:r>
      <w:proofErr w:type="spellEnd"/>
      <w:r w:rsidRPr="006B3F59">
        <w:rPr>
          <w:i/>
          <w:iCs/>
        </w:rPr>
        <w:t xml:space="preserve"> </w:t>
      </w:r>
      <w:proofErr w:type="spellStart"/>
      <w:r w:rsidRPr="006B3F59">
        <w:rPr>
          <w:i/>
          <w:iCs/>
        </w:rPr>
        <w:t>s.l</w:t>
      </w:r>
      <w:proofErr w:type="spellEnd"/>
      <w:r w:rsidRPr="006B3F59">
        <w:rPr>
          <w:i/>
          <w:iCs/>
        </w:rPr>
        <w:t xml:space="preserve">., </w:t>
      </w:r>
      <w:proofErr w:type="spellStart"/>
      <w:r w:rsidRPr="006B3F59">
        <w:rPr>
          <w:i/>
          <w:iCs/>
        </w:rPr>
        <w:t>Salix</w:t>
      </w:r>
      <w:proofErr w:type="spellEnd"/>
      <w:r w:rsidRPr="006B3F59">
        <w:rPr>
          <w:i/>
          <w:iCs/>
        </w:rPr>
        <w:t xml:space="preserve"> alba, </w:t>
      </w:r>
      <w:r w:rsidR="00242E8D" w:rsidRPr="006B3F59">
        <w:rPr>
          <w:i/>
          <w:iCs/>
        </w:rPr>
        <w:t xml:space="preserve">Sambucus nigra, </w:t>
      </w:r>
      <w:r w:rsidRPr="006B3F59">
        <w:rPr>
          <w:i/>
          <w:iCs/>
        </w:rPr>
        <w:t xml:space="preserve">Spirea </w:t>
      </w:r>
      <w:r w:rsidRPr="006B3F59">
        <w:rPr>
          <w:i/>
          <w:iCs/>
        </w:rPr>
        <w:lastRenderedPageBreak/>
        <w:t>×</w:t>
      </w:r>
      <w:proofErr w:type="spellStart"/>
      <w:r w:rsidRPr="006B3F59">
        <w:rPr>
          <w:i/>
          <w:iCs/>
        </w:rPr>
        <w:t>vanhouttei</w:t>
      </w:r>
      <w:proofErr w:type="spellEnd"/>
      <w:r w:rsidRPr="006B3F59">
        <w:rPr>
          <w:i/>
          <w:iCs/>
        </w:rPr>
        <w:t xml:space="preserve">, </w:t>
      </w:r>
      <w:proofErr w:type="spellStart"/>
      <w:r w:rsidR="00242E8D" w:rsidRPr="006B3F59">
        <w:rPr>
          <w:i/>
          <w:iCs/>
        </w:rPr>
        <w:t>Sobrbus</w:t>
      </w:r>
      <w:proofErr w:type="spellEnd"/>
      <w:r w:rsidR="00242E8D" w:rsidRPr="006B3F59">
        <w:rPr>
          <w:i/>
          <w:iCs/>
        </w:rPr>
        <w:t xml:space="preserve"> </w:t>
      </w:r>
      <w:proofErr w:type="spellStart"/>
      <w:r w:rsidR="00242E8D" w:rsidRPr="006B3F59">
        <w:rPr>
          <w:i/>
          <w:iCs/>
        </w:rPr>
        <w:t>aucuparia</w:t>
      </w:r>
      <w:proofErr w:type="spellEnd"/>
      <w:r w:rsidR="00242E8D" w:rsidRPr="006B3F59">
        <w:rPr>
          <w:i/>
          <w:iCs/>
        </w:rPr>
        <w:t xml:space="preserve">, </w:t>
      </w:r>
      <w:r w:rsidRPr="006B3F59">
        <w:rPr>
          <w:i/>
          <w:iCs/>
        </w:rPr>
        <w:t xml:space="preserve">Taraxacum </w:t>
      </w:r>
      <w:proofErr w:type="spellStart"/>
      <w:r w:rsidRPr="006B3F59">
        <w:rPr>
          <w:i/>
          <w:iCs/>
        </w:rPr>
        <w:t>sect</w:t>
      </w:r>
      <w:proofErr w:type="spellEnd"/>
      <w:r w:rsidRPr="006B3F59">
        <w:rPr>
          <w:i/>
          <w:iCs/>
        </w:rPr>
        <w:t xml:space="preserve">. </w:t>
      </w:r>
      <w:proofErr w:type="spellStart"/>
      <w:r w:rsidRPr="006B3F59">
        <w:rPr>
          <w:i/>
          <w:iCs/>
        </w:rPr>
        <w:t>Ruderalia</w:t>
      </w:r>
      <w:proofErr w:type="spellEnd"/>
      <w:r w:rsidRPr="006B3F59">
        <w:rPr>
          <w:i/>
          <w:iCs/>
        </w:rPr>
        <w:t xml:space="preserve">, Tilia cordata, Tilia </w:t>
      </w:r>
      <w:proofErr w:type="spellStart"/>
      <w:r w:rsidRPr="006B3F59">
        <w:rPr>
          <w:i/>
          <w:iCs/>
        </w:rPr>
        <w:t>Platyphylos</w:t>
      </w:r>
      <w:proofErr w:type="spellEnd"/>
      <w:r w:rsidRPr="006B3F59">
        <w:rPr>
          <w:i/>
          <w:iCs/>
        </w:rPr>
        <w:t xml:space="preserve">, </w:t>
      </w:r>
      <w:proofErr w:type="spellStart"/>
      <w:r w:rsidRPr="006B3F59">
        <w:rPr>
          <w:i/>
          <w:iCs/>
        </w:rPr>
        <w:t>Trifolium</w:t>
      </w:r>
      <w:proofErr w:type="spellEnd"/>
      <w:r w:rsidRPr="006B3F59">
        <w:rPr>
          <w:i/>
          <w:iCs/>
        </w:rPr>
        <w:t xml:space="preserve"> </w:t>
      </w:r>
      <w:proofErr w:type="spellStart"/>
      <w:r w:rsidRPr="006B3F59">
        <w:rPr>
          <w:i/>
          <w:iCs/>
        </w:rPr>
        <w:t>repens</w:t>
      </w:r>
      <w:proofErr w:type="spellEnd"/>
      <w:r w:rsidRPr="006B3F59">
        <w:rPr>
          <w:i/>
          <w:iCs/>
        </w:rPr>
        <w:t xml:space="preserve">, </w:t>
      </w:r>
      <w:proofErr w:type="spellStart"/>
      <w:r w:rsidRPr="006B3F59">
        <w:rPr>
          <w:i/>
          <w:iCs/>
        </w:rPr>
        <w:t>Viburnum</w:t>
      </w:r>
      <w:proofErr w:type="spellEnd"/>
      <w:r w:rsidRPr="006B3F59">
        <w:rPr>
          <w:i/>
          <w:iCs/>
        </w:rPr>
        <w:t xml:space="preserve"> </w:t>
      </w:r>
      <w:proofErr w:type="spellStart"/>
      <w:r w:rsidRPr="006B3F59">
        <w:rPr>
          <w:i/>
          <w:iCs/>
        </w:rPr>
        <w:t>Lancana</w:t>
      </w:r>
      <w:proofErr w:type="spellEnd"/>
      <w:r w:rsidRPr="006B3F59">
        <w:rPr>
          <w:i/>
          <w:iCs/>
        </w:rPr>
        <w:t xml:space="preserve">, </w:t>
      </w:r>
      <w:proofErr w:type="spellStart"/>
      <w:r w:rsidRPr="006B3F59">
        <w:rPr>
          <w:i/>
          <w:iCs/>
        </w:rPr>
        <w:t>Viburnum</w:t>
      </w:r>
      <w:proofErr w:type="spellEnd"/>
      <w:r w:rsidRPr="006B3F59">
        <w:rPr>
          <w:i/>
          <w:iCs/>
        </w:rPr>
        <w:t xml:space="preserve"> </w:t>
      </w:r>
      <w:proofErr w:type="spellStart"/>
      <w:r w:rsidRPr="006B3F59">
        <w:rPr>
          <w:i/>
          <w:iCs/>
        </w:rPr>
        <w:t>opulus</w:t>
      </w:r>
      <w:proofErr w:type="spellEnd"/>
      <w:r w:rsidR="00242E8D" w:rsidRPr="006B3F59">
        <w:rPr>
          <w:i/>
          <w:iCs/>
        </w:rPr>
        <w:t xml:space="preserve">, Veronica </w:t>
      </w:r>
      <w:proofErr w:type="spellStart"/>
      <w:r w:rsidR="00242E8D" w:rsidRPr="006B3F59">
        <w:rPr>
          <w:i/>
          <w:iCs/>
        </w:rPr>
        <w:t>chamaedrys</w:t>
      </w:r>
      <w:proofErr w:type="spellEnd"/>
      <w:r w:rsidR="00242E8D" w:rsidRPr="006B3F59">
        <w:rPr>
          <w:i/>
          <w:iCs/>
        </w:rPr>
        <w:t xml:space="preserve">, </w:t>
      </w:r>
      <w:proofErr w:type="spellStart"/>
      <w:r w:rsidR="00242E8D" w:rsidRPr="006B3F59">
        <w:rPr>
          <w:i/>
          <w:iCs/>
        </w:rPr>
        <w:t>Ranunculus</w:t>
      </w:r>
      <w:proofErr w:type="spellEnd"/>
      <w:r w:rsidR="00242E8D" w:rsidRPr="006B3F59">
        <w:rPr>
          <w:i/>
          <w:iCs/>
        </w:rPr>
        <w:t xml:space="preserve"> </w:t>
      </w:r>
      <w:proofErr w:type="spellStart"/>
      <w:r w:rsidR="00242E8D" w:rsidRPr="006B3F59">
        <w:rPr>
          <w:i/>
          <w:iCs/>
        </w:rPr>
        <w:t>repens</w:t>
      </w:r>
      <w:proofErr w:type="spellEnd"/>
      <w:r w:rsidR="00242E8D" w:rsidRPr="006B3F59">
        <w:rPr>
          <w:i/>
          <w:iCs/>
        </w:rPr>
        <w:t xml:space="preserve">, Veronica </w:t>
      </w:r>
      <w:proofErr w:type="spellStart"/>
      <w:r w:rsidR="00242E8D" w:rsidRPr="006B3F59">
        <w:rPr>
          <w:i/>
          <w:iCs/>
        </w:rPr>
        <w:t>arvensis</w:t>
      </w:r>
      <w:proofErr w:type="spellEnd"/>
      <w:r w:rsidR="00242E8D" w:rsidRPr="006B3F59">
        <w:rPr>
          <w:i/>
          <w:iCs/>
        </w:rPr>
        <w:t xml:space="preserve">, </w:t>
      </w:r>
      <w:proofErr w:type="spellStart"/>
      <w:r w:rsidR="00242E8D" w:rsidRPr="006B3F59">
        <w:rPr>
          <w:i/>
          <w:iCs/>
        </w:rPr>
        <w:t>Bromus</w:t>
      </w:r>
      <w:proofErr w:type="spellEnd"/>
      <w:r w:rsidR="00242E8D" w:rsidRPr="006B3F59">
        <w:rPr>
          <w:i/>
          <w:iCs/>
        </w:rPr>
        <w:t xml:space="preserve"> </w:t>
      </w:r>
      <w:proofErr w:type="spellStart"/>
      <w:r w:rsidR="00242E8D" w:rsidRPr="006B3F59">
        <w:rPr>
          <w:i/>
          <w:iCs/>
        </w:rPr>
        <w:t>mollis</w:t>
      </w:r>
      <w:proofErr w:type="spellEnd"/>
      <w:r w:rsidRPr="006B3F59">
        <w:rPr>
          <w:i/>
          <w:iCs/>
        </w:rPr>
        <w:t>.</w:t>
      </w:r>
      <w:r w:rsidR="00242E8D" w:rsidRPr="006B3F59">
        <w:rPr>
          <w:i/>
          <w:iCs/>
        </w:rPr>
        <w:t xml:space="preserve"> </w:t>
      </w:r>
      <w:proofErr w:type="spellStart"/>
      <w:r w:rsidR="00242E8D" w:rsidRPr="006B3F59">
        <w:rPr>
          <w:i/>
          <w:iCs/>
        </w:rPr>
        <w:t>Syringa</w:t>
      </w:r>
      <w:proofErr w:type="spellEnd"/>
      <w:r w:rsidR="00242E8D" w:rsidRPr="006B3F59">
        <w:rPr>
          <w:i/>
          <w:iCs/>
        </w:rPr>
        <w:t xml:space="preserve"> vulgaris.</w:t>
      </w:r>
    </w:p>
    <w:p w14:paraId="6BD47713" w14:textId="2504F387" w:rsidR="00834C6A" w:rsidRPr="006B3F59" w:rsidRDefault="007B22DD" w:rsidP="008B2D5F">
      <w:pPr>
        <w:rPr>
          <w:rFonts w:eastAsiaTheme="minorHAnsi"/>
        </w:rPr>
      </w:pPr>
      <w:r w:rsidRPr="006B3F59">
        <w:rPr>
          <w:rFonts w:eastAsiaTheme="minorHAnsi"/>
        </w:rPr>
        <w:t>Nejcennější</w:t>
      </w:r>
      <w:r w:rsidR="00834C6A" w:rsidRPr="006B3F59">
        <w:rPr>
          <w:rFonts w:eastAsiaTheme="minorHAnsi"/>
        </w:rPr>
        <w:t xml:space="preserve"> společenstva se nachází na jihovýchodně orientovaných skalách podél ulice Roztocká a Podbabská – teplomilná společenstva jižních svahů a xerotermní a semixerotermní bylinná společenstva na silikátových substrátech, která by neměla být řešením změny přímo dotčena.</w:t>
      </w:r>
    </w:p>
    <w:p w14:paraId="408CEF09" w14:textId="5859C1E9" w:rsidR="00287E37" w:rsidRPr="006B3F59" w:rsidRDefault="00287E37" w:rsidP="008B2D5F">
      <w:r w:rsidRPr="006B3F59">
        <w:rPr>
          <w:rFonts w:eastAsiaTheme="minorHAnsi"/>
        </w:rPr>
        <w:t xml:space="preserve">V navazujících plochách, na území PP Baba a PP Podbabské skály </w:t>
      </w:r>
      <w:r w:rsidR="004F37D2" w:rsidRPr="006B3F59">
        <w:t xml:space="preserve">se na </w:t>
      </w:r>
      <w:r w:rsidRPr="006B3F59">
        <w:t>mohutných skalních výchozech a prudkých svazích nad Vltavou vyvinula pestrá skupina různých typů xerotermní vegetace. Jednotlivá společenstva nejsou často zřetelně odlišena, ale prolínají se v přechodech a často dosti jemnozrnné mozaice. Hlavním biotopem na skalách a horních hranách svahů je skalní vegetace s kostřavou sivou, která je na jižních a západních expozicích reprezentována společenstvem skalních spár s tařicí skalní (</w:t>
      </w:r>
      <w:r w:rsidRPr="006F500B">
        <w:t xml:space="preserve">as. Alysso </w:t>
      </w:r>
      <w:proofErr w:type="spellStart"/>
      <w:r w:rsidRPr="006F500B">
        <w:t>saxatilis</w:t>
      </w:r>
      <w:proofErr w:type="spellEnd"/>
      <w:r w:rsidR="007B22DD" w:rsidRPr="006F500B">
        <w:t xml:space="preserve"> </w:t>
      </w:r>
      <w:proofErr w:type="spellStart"/>
      <w:r w:rsidRPr="006F500B">
        <w:t>Festucetum</w:t>
      </w:r>
      <w:proofErr w:type="spellEnd"/>
      <w:r w:rsidRPr="006F500B">
        <w:t xml:space="preserve"> pallentis</w:t>
      </w:r>
      <w:r w:rsidRPr="006B3F59">
        <w:t>), na mírnějších drolinách společenstvem se svízelem sivým a kostřavou sivou (</w:t>
      </w:r>
      <w:r w:rsidRPr="006F500B">
        <w:t xml:space="preserve">as. </w:t>
      </w:r>
      <w:proofErr w:type="spellStart"/>
      <w:r w:rsidRPr="006F500B">
        <w:t>Asperulo</w:t>
      </w:r>
      <w:proofErr w:type="spellEnd"/>
      <w:r w:rsidRPr="006F500B">
        <w:t xml:space="preserve"> glaucae-</w:t>
      </w:r>
      <w:proofErr w:type="spellStart"/>
      <w:r w:rsidRPr="006F500B">
        <w:t>Festucetum</w:t>
      </w:r>
      <w:proofErr w:type="spellEnd"/>
      <w:r w:rsidRPr="006F500B">
        <w:t xml:space="preserve"> pallentis</w:t>
      </w:r>
      <w:r w:rsidRPr="006B3F59">
        <w:t>) a na skalních teráskách společenstvem česneku chlumního a rozchodníku bílého (</w:t>
      </w:r>
      <w:r w:rsidRPr="006F500B">
        <w:t xml:space="preserve">as. </w:t>
      </w:r>
      <w:proofErr w:type="spellStart"/>
      <w:r w:rsidRPr="006F500B">
        <w:t>Allio</w:t>
      </w:r>
      <w:proofErr w:type="spellEnd"/>
      <w:r w:rsidRPr="006F500B">
        <w:t xml:space="preserve"> </w:t>
      </w:r>
      <w:proofErr w:type="spellStart"/>
      <w:r w:rsidRPr="006F500B">
        <w:t>montani-Sedetum</w:t>
      </w:r>
      <w:proofErr w:type="spellEnd"/>
      <w:r w:rsidRPr="006F500B">
        <w:t xml:space="preserve"> albi</w:t>
      </w:r>
      <w:r w:rsidRPr="006B3F59">
        <w:t>) a společenstvem s tařicí horskou a mochnou písečnou (</w:t>
      </w:r>
      <w:r w:rsidRPr="006F500B">
        <w:t xml:space="preserve">as. Alysso </w:t>
      </w:r>
      <w:proofErr w:type="spellStart"/>
      <w:r w:rsidRPr="006F500B">
        <w:t>montani-Potentilletum</w:t>
      </w:r>
      <w:proofErr w:type="spellEnd"/>
      <w:r w:rsidRPr="006F500B">
        <w:t xml:space="preserve"> </w:t>
      </w:r>
      <w:proofErr w:type="spellStart"/>
      <w:r w:rsidRPr="006F500B">
        <w:t>arenariae</w:t>
      </w:r>
      <w:proofErr w:type="spellEnd"/>
      <w:r w:rsidRPr="006B3F59">
        <w:t>). Typickými druhy jsou kostřava sivá (</w:t>
      </w:r>
      <w:r w:rsidRPr="00FC40CF">
        <w:rPr>
          <w:i/>
          <w:iCs/>
        </w:rPr>
        <w:t xml:space="preserve">Festuca </w:t>
      </w:r>
      <w:proofErr w:type="spellStart"/>
      <w:r w:rsidRPr="00FC40CF">
        <w:rPr>
          <w:i/>
          <w:iCs/>
        </w:rPr>
        <w:t>pallens</w:t>
      </w:r>
      <w:proofErr w:type="spellEnd"/>
      <w:r w:rsidRPr="006B3F59">
        <w:t xml:space="preserve">), hvozdík </w:t>
      </w:r>
      <w:proofErr w:type="spellStart"/>
      <w:r w:rsidRPr="006B3F59">
        <w:t>kartouzek</w:t>
      </w:r>
      <w:proofErr w:type="spellEnd"/>
      <w:r w:rsidRPr="006B3F59">
        <w:t xml:space="preserve"> (</w:t>
      </w:r>
      <w:r w:rsidRPr="00FC40CF">
        <w:rPr>
          <w:i/>
          <w:iCs/>
        </w:rPr>
        <w:t xml:space="preserve">Dianthus </w:t>
      </w:r>
      <w:proofErr w:type="spellStart"/>
      <w:r w:rsidRPr="00FC40CF">
        <w:rPr>
          <w:i/>
          <w:iCs/>
        </w:rPr>
        <w:t>carthusianorum</w:t>
      </w:r>
      <w:proofErr w:type="spellEnd"/>
      <w:r w:rsidRPr="006B3F59">
        <w:t>), chrpa chlumní (</w:t>
      </w:r>
      <w:proofErr w:type="spellStart"/>
      <w:r w:rsidRPr="00FC40CF">
        <w:rPr>
          <w:i/>
          <w:iCs/>
        </w:rPr>
        <w:t>Centaurea</w:t>
      </w:r>
      <w:proofErr w:type="spellEnd"/>
      <w:r w:rsidRPr="00FC40CF">
        <w:rPr>
          <w:i/>
          <w:iCs/>
        </w:rPr>
        <w:t xml:space="preserve"> </w:t>
      </w:r>
      <w:proofErr w:type="spellStart"/>
      <w:r w:rsidRPr="00FC40CF">
        <w:rPr>
          <w:i/>
          <w:iCs/>
        </w:rPr>
        <w:t>triumfettii</w:t>
      </w:r>
      <w:proofErr w:type="spellEnd"/>
      <w:r w:rsidRPr="006B3F59">
        <w:t>), rozchodník bílý (</w:t>
      </w:r>
      <w:proofErr w:type="spellStart"/>
      <w:r w:rsidRPr="006F500B">
        <w:t>Sedum</w:t>
      </w:r>
      <w:proofErr w:type="spellEnd"/>
      <w:r w:rsidRPr="006F500B">
        <w:t xml:space="preserve"> album</w:t>
      </w:r>
      <w:r w:rsidRPr="006B3F59">
        <w:t>), pelyněk ladní (</w:t>
      </w:r>
      <w:proofErr w:type="spellStart"/>
      <w:r w:rsidRPr="00FC40CF">
        <w:rPr>
          <w:i/>
          <w:iCs/>
        </w:rPr>
        <w:t>Artemisia</w:t>
      </w:r>
      <w:proofErr w:type="spellEnd"/>
      <w:r w:rsidRPr="00FC40CF">
        <w:rPr>
          <w:i/>
          <w:iCs/>
        </w:rPr>
        <w:t xml:space="preserve"> campestris</w:t>
      </w:r>
      <w:r w:rsidRPr="006B3F59">
        <w:t>), čistec přímý (</w:t>
      </w:r>
      <w:proofErr w:type="spellStart"/>
      <w:r w:rsidRPr="00FC40CF">
        <w:rPr>
          <w:i/>
          <w:iCs/>
        </w:rPr>
        <w:t>Stachys</w:t>
      </w:r>
      <w:proofErr w:type="spellEnd"/>
      <w:r w:rsidRPr="00FC40CF">
        <w:rPr>
          <w:i/>
          <w:iCs/>
        </w:rPr>
        <w:t xml:space="preserve"> </w:t>
      </w:r>
      <w:proofErr w:type="spellStart"/>
      <w:r w:rsidRPr="00FC40CF">
        <w:rPr>
          <w:i/>
          <w:iCs/>
        </w:rPr>
        <w:t>recta</w:t>
      </w:r>
      <w:proofErr w:type="spellEnd"/>
      <w:r w:rsidRPr="006B3F59">
        <w:t xml:space="preserve">), na skalách roste tařice skalní </w:t>
      </w:r>
      <w:proofErr w:type="spellStart"/>
      <w:r w:rsidRPr="006B3F59">
        <w:t>Arduinova</w:t>
      </w:r>
      <w:proofErr w:type="spellEnd"/>
      <w:r w:rsidRPr="006B3F59">
        <w:t xml:space="preserve"> (</w:t>
      </w:r>
      <w:proofErr w:type="spellStart"/>
      <w:r w:rsidRPr="00FC40CF">
        <w:rPr>
          <w:i/>
          <w:iCs/>
        </w:rPr>
        <w:t>Aurinia</w:t>
      </w:r>
      <w:proofErr w:type="spellEnd"/>
      <w:r w:rsidRPr="00FC40CF">
        <w:rPr>
          <w:i/>
          <w:iCs/>
        </w:rPr>
        <w:t xml:space="preserve"> </w:t>
      </w:r>
      <w:proofErr w:type="spellStart"/>
      <w:r w:rsidRPr="00FC40CF">
        <w:rPr>
          <w:i/>
          <w:iCs/>
        </w:rPr>
        <w:t>saxatilis</w:t>
      </w:r>
      <w:proofErr w:type="spellEnd"/>
      <w:r w:rsidRPr="00FC40CF">
        <w:rPr>
          <w:i/>
          <w:iCs/>
        </w:rPr>
        <w:t xml:space="preserve"> </w:t>
      </w:r>
      <w:proofErr w:type="spellStart"/>
      <w:r w:rsidRPr="00FC40CF">
        <w:rPr>
          <w:i/>
          <w:iCs/>
        </w:rPr>
        <w:t>ssp</w:t>
      </w:r>
      <w:proofErr w:type="spellEnd"/>
      <w:r w:rsidRPr="00FC40CF">
        <w:rPr>
          <w:i/>
          <w:iCs/>
        </w:rPr>
        <w:t xml:space="preserve">. </w:t>
      </w:r>
      <w:proofErr w:type="spellStart"/>
      <w:r w:rsidRPr="00FC40CF">
        <w:rPr>
          <w:i/>
          <w:iCs/>
        </w:rPr>
        <w:t>arduinii</w:t>
      </w:r>
      <w:proofErr w:type="spellEnd"/>
      <w:r w:rsidRPr="006B3F59">
        <w:t>), sleziník severní (</w:t>
      </w:r>
      <w:proofErr w:type="spellStart"/>
      <w:r w:rsidRPr="00FC40CF">
        <w:rPr>
          <w:i/>
          <w:iCs/>
        </w:rPr>
        <w:t>Asplenium</w:t>
      </w:r>
      <w:proofErr w:type="spellEnd"/>
      <w:r w:rsidRPr="00FC40CF">
        <w:rPr>
          <w:i/>
          <w:iCs/>
        </w:rPr>
        <w:t xml:space="preserve"> </w:t>
      </w:r>
      <w:proofErr w:type="spellStart"/>
      <w:r w:rsidRPr="00FC40CF">
        <w:rPr>
          <w:i/>
          <w:iCs/>
        </w:rPr>
        <w:t>septentrionale</w:t>
      </w:r>
      <w:proofErr w:type="spellEnd"/>
      <w:r w:rsidRPr="006B3F59">
        <w:t>), česnek chlumní horský (</w:t>
      </w:r>
      <w:proofErr w:type="spellStart"/>
      <w:r w:rsidRPr="00FC40CF">
        <w:rPr>
          <w:i/>
          <w:iCs/>
        </w:rPr>
        <w:t>Allium</w:t>
      </w:r>
      <w:proofErr w:type="spellEnd"/>
      <w:r w:rsidRPr="00FC40CF">
        <w:rPr>
          <w:i/>
          <w:iCs/>
        </w:rPr>
        <w:t xml:space="preserve"> </w:t>
      </w:r>
      <w:proofErr w:type="spellStart"/>
      <w:r w:rsidRPr="00FC40CF">
        <w:rPr>
          <w:i/>
          <w:iCs/>
        </w:rPr>
        <w:t>senescens</w:t>
      </w:r>
      <w:proofErr w:type="spellEnd"/>
      <w:r w:rsidRPr="00FC40CF">
        <w:rPr>
          <w:i/>
          <w:iCs/>
        </w:rPr>
        <w:t xml:space="preserve"> </w:t>
      </w:r>
      <w:proofErr w:type="spellStart"/>
      <w:r w:rsidRPr="00FC40CF">
        <w:rPr>
          <w:i/>
          <w:iCs/>
        </w:rPr>
        <w:t>ssp</w:t>
      </w:r>
      <w:proofErr w:type="spellEnd"/>
      <w:r w:rsidRPr="00FC40CF">
        <w:rPr>
          <w:i/>
          <w:iCs/>
        </w:rPr>
        <w:t>. montanum</w:t>
      </w:r>
      <w:r w:rsidRPr="006B3F59">
        <w:t>) a nepravidelně hvězdnice zlatovlásek (</w:t>
      </w:r>
      <w:r w:rsidRPr="00FC40CF">
        <w:rPr>
          <w:i/>
          <w:iCs/>
        </w:rPr>
        <w:t xml:space="preserve">Aster </w:t>
      </w:r>
      <w:proofErr w:type="spellStart"/>
      <w:r w:rsidRPr="00FC40CF">
        <w:rPr>
          <w:i/>
          <w:iCs/>
        </w:rPr>
        <w:t>linosyris</w:t>
      </w:r>
      <w:proofErr w:type="spellEnd"/>
      <w:r w:rsidRPr="006B3F59">
        <w:t>). Na výchozech skal a skalních teráskách je běžná dobře vyvinutá acidofilní vegetace efemér a sukulentů, na obnažených vrcholech společenstvo křivatce českého a rozrazilu ladního (</w:t>
      </w:r>
      <w:proofErr w:type="spellStart"/>
      <w:r w:rsidRPr="00FC40CF">
        <w:rPr>
          <w:i/>
          <w:iCs/>
        </w:rPr>
        <w:t>Gageo</w:t>
      </w:r>
      <w:proofErr w:type="spellEnd"/>
      <w:r w:rsidRPr="00FC40CF">
        <w:rPr>
          <w:i/>
          <w:iCs/>
        </w:rPr>
        <w:t xml:space="preserve"> </w:t>
      </w:r>
      <w:proofErr w:type="spellStart"/>
      <w:r w:rsidRPr="00FC40CF">
        <w:rPr>
          <w:i/>
          <w:iCs/>
        </w:rPr>
        <w:t>bohemicae-Veronicetum</w:t>
      </w:r>
      <w:proofErr w:type="spellEnd"/>
      <w:r w:rsidRPr="00FC40CF">
        <w:rPr>
          <w:i/>
          <w:iCs/>
        </w:rPr>
        <w:t xml:space="preserve"> </w:t>
      </w:r>
      <w:proofErr w:type="spellStart"/>
      <w:r w:rsidRPr="00FC40CF">
        <w:rPr>
          <w:i/>
          <w:iCs/>
        </w:rPr>
        <w:t>dillenii</w:t>
      </w:r>
      <w:proofErr w:type="spellEnd"/>
      <w:r w:rsidRPr="006B3F59">
        <w:t xml:space="preserve">) a na skalních teráskách společenstva primitivních půd as. </w:t>
      </w:r>
      <w:proofErr w:type="spellStart"/>
      <w:r w:rsidRPr="006F500B">
        <w:t>Polytricho</w:t>
      </w:r>
      <w:proofErr w:type="spellEnd"/>
      <w:r w:rsidRPr="006F500B">
        <w:t xml:space="preserve"> </w:t>
      </w:r>
      <w:proofErr w:type="spellStart"/>
      <w:r w:rsidRPr="006F500B">
        <w:t>piliferi-Scleranthetum</w:t>
      </w:r>
      <w:proofErr w:type="spellEnd"/>
      <w:r w:rsidRPr="006F500B">
        <w:t xml:space="preserve"> </w:t>
      </w:r>
      <w:proofErr w:type="spellStart"/>
      <w:r w:rsidRPr="006F500B">
        <w:t>perennis</w:t>
      </w:r>
      <w:proofErr w:type="spellEnd"/>
      <w:r w:rsidRPr="006B3F59">
        <w:t xml:space="preserve">, samotné štěrbiny skal obsazuje suchomilnou variantou vegetace silikátových skal a drolin sv. </w:t>
      </w:r>
      <w:proofErr w:type="spellStart"/>
      <w:r w:rsidRPr="006B3F59">
        <w:t>Asplenion</w:t>
      </w:r>
      <w:proofErr w:type="spellEnd"/>
      <w:r w:rsidRPr="006B3F59">
        <w:t xml:space="preserve"> </w:t>
      </w:r>
      <w:proofErr w:type="spellStart"/>
      <w:r w:rsidRPr="006B3F59">
        <w:t>septentrionalis</w:t>
      </w:r>
      <w:proofErr w:type="spellEnd"/>
      <w:r w:rsidRPr="006B3F59">
        <w:t>. Výše zmíněný křivatec český (</w:t>
      </w:r>
      <w:proofErr w:type="spellStart"/>
      <w:r w:rsidRPr="00FC40CF">
        <w:rPr>
          <w:i/>
          <w:iCs/>
        </w:rPr>
        <w:t>Gagea</w:t>
      </w:r>
      <w:proofErr w:type="spellEnd"/>
      <w:r w:rsidRPr="00FC40CF">
        <w:rPr>
          <w:i/>
          <w:iCs/>
        </w:rPr>
        <w:t xml:space="preserve"> </w:t>
      </w:r>
      <w:proofErr w:type="spellStart"/>
      <w:r w:rsidRPr="00FC40CF">
        <w:rPr>
          <w:i/>
          <w:iCs/>
        </w:rPr>
        <w:t>bohemica</w:t>
      </w:r>
      <w:proofErr w:type="spellEnd"/>
      <w:r w:rsidRPr="006B3F59">
        <w:t>) byl z okolí vrchu Baba popsán v roce 1776 jako nový druh (vyskytuje se však i v dalších částech území). Prakticky ve všech částech EVL lze dodnes narazit na porosty netřesku výběžkatého (</w:t>
      </w:r>
      <w:proofErr w:type="spellStart"/>
      <w:r w:rsidRPr="00FC40CF">
        <w:rPr>
          <w:i/>
          <w:iCs/>
        </w:rPr>
        <w:t>Jovibarba</w:t>
      </w:r>
      <w:proofErr w:type="spellEnd"/>
      <w:r w:rsidRPr="00FC40CF">
        <w:rPr>
          <w:i/>
          <w:iCs/>
        </w:rPr>
        <w:t xml:space="preserve"> </w:t>
      </w:r>
      <w:proofErr w:type="spellStart"/>
      <w:r w:rsidRPr="00FC40CF">
        <w:rPr>
          <w:i/>
          <w:iCs/>
        </w:rPr>
        <w:t>globifera</w:t>
      </w:r>
      <w:proofErr w:type="spellEnd"/>
      <w:r w:rsidRPr="006B3F59">
        <w:t xml:space="preserve">). Pro xerotermní svahy s hlubší půdou jsou charakteristické úzkolisté suché trávníky sv. Festucion valesiacae, zejména pak typické společenstvo středočeských a severočeských skalních stepí s kostřavou </w:t>
      </w:r>
      <w:proofErr w:type="spellStart"/>
      <w:r w:rsidRPr="006B3F59">
        <w:t>walliskou</w:t>
      </w:r>
      <w:proofErr w:type="spellEnd"/>
      <w:r w:rsidRPr="006B3F59">
        <w:t xml:space="preserve"> </w:t>
      </w:r>
      <w:r w:rsidRPr="006F500B">
        <w:t xml:space="preserve">as. </w:t>
      </w:r>
      <w:proofErr w:type="spellStart"/>
      <w:r w:rsidRPr="006F500B">
        <w:t>Erysimo</w:t>
      </w:r>
      <w:proofErr w:type="spellEnd"/>
      <w:r w:rsidRPr="006F500B">
        <w:t xml:space="preserve"> </w:t>
      </w:r>
      <w:proofErr w:type="spellStart"/>
      <w:r w:rsidRPr="006F500B">
        <w:t>crepidifolii-Festucetum</w:t>
      </w:r>
      <w:proofErr w:type="spellEnd"/>
      <w:r w:rsidRPr="006F500B">
        <w:t xml:space="preserve"> valesiacae</w:t>
      </w:r>
      <w:r w:rsidRPr="006B3F59">
        <w:t>. Na sprašové půdě jsou vyvinuta společenstva s kavylem Ivanovým (</w:t>
      </w:r>
      <w:r w:rsidRPr="006F500B">
        <w:t xml:space="preserve">as. </w:t>
      </w:r>
      <w:proofErr w:type="spellStart"/>
      <w:r w:rsidRPr="006F500B">
        <w:t>Koelerio</w:t>
      </w:r>
      <w:proofErr w:type="spellEnd"/>
      <w:r w:rsidRPr="006F500B">
        <w:t xml:space="preserve"> </w:t>
      </w:r>
      <w:proofErr w:type="spellStart"/>
      <w:r w:rsidRPr="006F500B">
        <w:t>macranthae-Stipetum</w:t>
      </w:r>
      <w:proofErr w:type="spellEnd"/>
      <w:r w:rsidRPr="006F500B">
        <w:t xml:space="preserve"> joannis</w:t>
      </w:r>
      <w:r w:rsidRPr="006B3F59">
        <w:t>) a s kavylem vláskovitým (</w:t>
      </w:r>
      <w:r w:rsidRPr="006F500B">
        <w:t xml:space="preserve">as. </w:t>
      </w:r>
      <w:proofErr w:type="spellStart"/>
      <w:r w:rsidRPr="006F500B">
        <w:t>Festuco</w:t>
      </w:r>
      <w:proofErr w:type="spellEnd"/>
      <w:r w:rsidRPr="006F500B">
        <w:t xml:space="preserve"> valesiacae-</w:t>
      </w:r>
      <w:proofErr w:type="spellStart"/>
      <w:r w:rsidRPr="006F500B">
        <w:t>Stipetum</w:t>
      </w:r>
      <w:proofErr w:type="spellEnd"/>
      <w:r w:rsidRPr="006F500B">
        <w:t xml:space="preserve"> </w:t>
      </w:r>
      <w:proofErr w:type="spellStart"/>
      <w:r w:rsidRPr="006F500B">
        <w:t>capillatae</w:t>
      </w:r>
      <w:proofErr w:type="spellEnd"/>
      <w:r w:rsidRPr="006B3F59">
        <w:t>). Úzkolisté stepní trávníky oplývají bohatstvím ochranářsky cenných druhů. Vyskytují se v nich pryšec sivý (</w:t>
      </w:r>
      <w:proofErr w:type="spellStart"/>
      <w:r w:rsidRPr="00FC40CF">
        <w:rPr>
          <w:i/>
          <w:iCs/>
        </w:rPr>
        <w:t>Tithymalus</w:t>
      </w:r>
      <w:proofErr w:type="spellEnd"/>
      <w:r w:rsidRPr="00FC40CF">
        <w:rPr>
          <w:i/>
          <w:iCs/>
        </w:rPr>
        <w:t xml:space="preserve"> </w:t>
      </w:r>
      <w:proofErr w:type="spellStart"/>
      <w:r w:rsidRPr="00FC40CF">
        <w:rPr>
          <w:i/>
          <w:iCs/>
        </w:rPr>
        <w:t>seguierianus</w:t>
      </w:r>
      <w:proofErr w:type="spellEnd"/>
      <w:r w:rsidRPr="006B3F59">
        <w:t xml:space="preserve">), kavyl Ivanův </w:t>
      </w:r>
      <w:r w:rsidRPr="00FC40CF">
        <w:rPr>
          <w:i/>
          <w:iCs/>
        </w:rPr>
        <w:t xml:space="preserve">(Stipa </w:t>
      </w:r>
      <w:proofErr w:type="spellStart"/>
      <w:r w:rsidRPr="00FC40CF">
        <w:rPr>
          <w:i/>
          <w:iCs/>
        </w:rPr>
        <w:t>pennata</w:t>
      </w:r>
      <w:proofErr w:type="spellEnd"/>
      <w:r w:rsidRPr="006B3F59">
        <w:t>), k. vláskovitý (</w:t>
      </w:r>
      <w:r w:rsidRPr="00FC40CF">
        <w:rPr>
          <w:i/>
          <w:iCs/>
        </w:rPr>
        <w:t xml:space="preserve">Stipa </w:t>
      </w:r>
      <w:proofErr w:type="spellStart"/>
      <w:r w:rsidRPr="00FC40CF">
        <w:rPr>
          <w:i/>
          <w:iCs/>
        </w:rPr>
        <w:t>capillata</w:t>
      </w:r>
      <w:proofErr w:type="spellEnd"/>
      <w:r w:rsidRPr="006B3F59">
        <w:t>), modřenec tenkokvětý (</w:t>
      </w:r>
      <w:proofErr w:type="spellStart"/>
      <w:r w:rsidRPr="006F500B">
        <w:t>Muscari</w:t>
      </w:r>
      <w:proofErr w:type="spellEnd"/>
      <w:r w:rsidRPr="006F500B">
        <w:t xml:space="preserve"> </w:t>
      </w:r>
      <w:proofErr w:type="spellStart"/>
      <w:r w:rsidRPr="006F500B">
        <w:t>tenuiflorum</w:t>
      </w:r>
      <w:proofErr w:type="spellEnd"/>
      <w:r w:rsidRPr="006B3F59">
        <w:t>), jetel žíhaný (</w:t>
      </w:r>
      <w:proofErr w:type="spellStart"/>
      <w:r w:rsidRPr="00FC40CF">
        <w:rPr>
          <w:i/>
          <w:iCs/>
        </w:rPr>
        <w:t>Trifolium</w:t>
      </w:r>
      <w:proofErr w:type="spellEnd"/>
      <w:r w:rsidRPr="00FC40CF">
        <w:rPr>
          <w:i/>
          <w:iCs/>
        </w:rPr>
        <w:t xml:space="preserve"> </w:t>
      </w:r>
      <w:proofErr w:type="spellStart"/>
      <w:r w:rsidRPr="00FC40CF">
        <w:rPr>
          <w:i/>
          <w:iCs/>
        </w:rPr>
        <w:t>striatum</w:t>
      </w:r>
      <w:proofErr w:type="spellEnd"/>
      <w:r w:rsidRPr="006B3F59">
        <w:t xml:space="preserve">), oman </w:t>
      </w:r>
      <w:proofErr w:type="spellStart"/>
      <w:r w:rsidRPr="006B3F59">
        <w:t>něměcký</w:t>
      </w:r>
      <w:proofErr w:type="spellEnd"/>
      <w:r w:rsidRPr="006B3F59">
        <w:t xml:space="preserve"> (</w:t>
      </w:r>
      <w:r w:rsidRPr="00FC40CF">
        <w:rPr>
          <w:i/>
          <w:iCs/>
        </w:rPr>
        <w:t xml:space="preserve">Inula </w:t>
      </w:r>
      <w:proofErr w:type="spellStart"/>
      <w:r w:rsidRPr="00FC40CF">
        <w:rPr>
          <w:i/>
          <w:iCs/>
        </w:rPr>
        <w:t>germanica</w:t>
      </w:r>
      <w:proofErr w:type="spellEnd"/>
      <w:r w:rsidRPr="006B3F59">
        <w:t>), jestřábník hadincový (</w:t>
      </w:r>
      <w:proofErr w:type="spellStart"/>
      <w:r w:rsidRPr="00FC40CF">
        <w:rPr>
          <w:i/>
          <w:iCs/>
        </w:rPr>
        <w:t>Hieracium</w:t>
      </w:r>
      <w:proofErr w:type="spellEnd"/>
      <w:r w:rsidRPr="00FC40CF">
        <w:rPr>
          <w:i/>
          <w:iCs/>
        </w:rPr>
        <w:t xml:space="preserve"> </w:t>
      </w:r>
      <w:proofErr w:type="spellStart"/>
      <w:r w:rsidRPr="00FC40CF">
        <w:rPr>
          <w:i/>
          <w:iCs/>
        </w:rPr>
        <w:t>echioides</w:t>
      </w:r>
      <w:proofErr w:type="spellEnd"/>
      <w:r w:rsidRPr="006B3F59">
        <w:t>), koniklec luční (</w:t>
      </w:r>
      <w:r w:rsidRPr="00FC40CF">
        <w:rPr>
          <w:i/>
          <w:iCs/>
        </w:rPr>
        <w:t>Pulsatilla pratensis</w:t>
      </w:r>
      <w:r w:rsidRPr="006B3F59">
        <w:t>), na pelyněk ladní (</w:t>
      </w:r>
      <w:proofErr w:type="spellStart"/>
      <w:r w:rsidRPr="00FC40CF">
        <w:rPr>
          <w:i/>
          <w:iCs/>
        </w:rPr>
        <w:t>Artemisia</w:t>
      </w:r>
      <w:proofErr w:type="spellEnd"/>
      <w:r w:rsidRPr="00FC40CF">
        <w:rPr>
          <w:i/>
          <w:iCs/>
        </w:rPr>
        <w:t xml:space="preserve"> campestris</w:t>
      </w:r>
      <w:r w:rsidRPr="006B3F59">
        <w:t>) jsou vázány vzácné druhy záraza písečná (</w:t>
      </w:r>
      <w:proofErr w:type="spellStart"/>
      <w:r w:rsidRPr="00FC40CF">
        <w:rPr>
          <w:i/>
          <w:iCs/>
        </w:rPr>
        <w:t>Orobanche</w:t>
      </w:r>
      <w:proofErr w:type="spellEnd"/>
      <w:r w:rsidRPr="00FC40CF">
        <w:rPr>
          <w:i/>
          <w:iCs/>
        </w:rPr>
        <w:t xml:space="preserve"> </w:t>
      </w:r>
      <w:proofErr w:type="spellStart"/>
      <w:r w:rsidRPr="00FC40CF">
        <w:rPr>
          <w:i/>
          <w:iCs/>
        </w:rPr>
        <w:t>arenaria</w:t>
      </w:r>
      <w:proofErr w:type="spellEnd"/>
      <w:r w:rsidRPr="006B3F59">
        <w:t>) a z. šupinatá (</w:t>
      </w:r>
      <w:r w:rsidRPr="00FC40CF">
        <w:rPr>
          <w:i/>
          <w:iCs/>
        </w:rPr>
        <w:t xml:space="preserve">O. </w:t>
      </w:r>
      <w:proofErr w:type="spellStart"/>
      <w:r w:rsidRPr="00FC40CF">
        <w:rPr>
          <w:i/>
          <w:iCs/>
        </w:rPr>
        <w:t>artemisiae</w:t>
      </w:r>
      <w:proofErr w:type="spellEnd"/>
      <w:r w:rsidRPr="00FC40CF">
        <w:rPr>
          <w:i/>
          <w:iCs/>
        </w:rPr>
        <w:t>-campestris</w:t>
      </w:r>
      <w:r w:rsidRPr="006B3F59">
        <w:t>), v PP Podbabské skály se vyskytuje možná poslední přežívající populace (o jediném trsu) hlaváčku jarního (</w:t>
      </w:r>
      <w:r w:rsidRPr="00FC40CF">
        <w:rPr>
          <w:i/>
          <w:iCs/>
        </w:rPr>
        <w:t xml:space="preserve">Adonis </w:t>
      </w:r>
      <w:proofErr w:type="spellStart"/>
      <w:r w:rsidRPr="00FC40CF">
        <w:rPr>
          <w:i/>
          <w:iCs/>
        </w:rPr>
        <w:t>vernalis</w:t>
      </w:r>
      <w:proofErr w:type="spellEnd"/>
      <w:r w:rsidRPr="006B3F59">
        <w:t xml:space="preserve">) v Praze. Především okolo horní </w:t>
      </w:r>
      <w:proofErr w:type="spellStart"/>
      <w:r w:rsidRPr="006B3F59">
        <w:t>hrahy</w:t>
      </w:r>
      <w:proofErr w:type="spellEnd"/>
      <w:r w:rsidRPr="006B3F59">
        <w:t xml:space="preserve"> svahu a v mělkých erozních údolích, tj. na stanovištích s malým (až nulovým) sklonem, místní podmínky umožnily, aby se zde vyvinula společenstva širolistých teplomilných trávníků sv. Bromion erecti, typickou pro toto území je </w:t>
      </w:r>
      <w:r w:rsidRPr="006F500B">
        <w:t xml:space="preserve">as. </w:t>
      </w:r>
      <w:proofErr w:type="spellStart"/>
      <w:r w:rsidRPr="006F500B">
        <w:t>Scabioso</w:t>
      </w:r>
      <w:proofErr w:type="spellEnd"/>
      <w:r w:rsidRPr="006F500B">
        <w:t xml:space="preserve"> </w:t>
      </w:r>
      <w:proofErr w:type="spellStart"/>
      <w:r w:rsidRPr="006F500B">
        <w:t>ochroleucae-Brachypodietum</w:t>
      </w:r>
      <w:proofErr w:type="spellEnd"/>
      <w:r w:rsidRPr="006F500B">
        <w:t xml:space="preserve"> pinnati.</w:t>
      </w:r>
      <w:r w:rsidRPr="006B3F59">
        <w:t xml:space="preserve"> Pravděpodobně nejlépe se tyto trávníky vyvinuly na sprašových návějích v PP Podbabské skály. Dominantami bývají sveřep vzpřímený (</w:t>
      </w:r>
      <w:proofErr w:type="spellStart"/>
      <w:r w:rsidRPr="00FC40CF">
        <w:rPr>
          <w:i/>
          <w:iCs/>
        </w:rPr>
        <w:t>Bromus</w:t>
      </w:r>
      <w:proofErr w:type="spellEnd"/>
      <w:r w:rsidRPr="00FC40CF">
        <w:rPr>
          <w:i/>
          <w:iCs/>
        </w:rPr>
        <w:t xml:space="preserve"> </w:t>
      </w:r>
      <w:proofErr w:type="spellStart"/>
      <w:r w:rsidRPr="00FC40CF">
        <w:rPr>
          <w:i/>
          <w:iCs/>
        </w:rPr>
        <w:t>erectus</w:t>
      </w:r>
      <w:proofErr w:type="spellEnd"/>
      <w:r w:rsidRPr="006B3F59">
        <w:t>), válečka prapořitá (</w:t>
      </w:r>
      <w:proofErr w:type="spellStart"/>
      <w:r w:rsidRPr="00FC40CF">
        <w:rPr>
          <w:i/>
          <w:iCs/>
        </w:rPr>
        <w:t>Brachypodium</w:t>
      </w:r>
      <w:proofErr w:type="spellEnd"/>
      <w:r w:rsidRPr="00FC40CF">
        <w:rPr>
          <w:i/>
          <w:iCs/>
        </w:rPr>
        <w:t xml:space="preserve"> </w:t>
      </w:r>
      <w:proofErr w:type="spellStart"/>
      <w:r w:rsidRPr="00FC40CF">
        <w:rPr>
          <w:i/>
          <w:iCs/>
        </w:rPr>
        <w:t>pinnatum</w:t>
      </w:r>
      <w:proofErr w:type="spellEnd"/>
      <w:r w:rsidRPr="006B3F59">
        <w:t xml:space="preserve">) či kostřava </w:t>
      </w:r>
      <w:proofErr w:type="spellStart"/>
      <w:r w:rsidRPr="006B3F59">
        <w:t>žlábkatá</w:t>
      </w:r>
      <w:proofErr w:type="spellEnd"/>
      <w:r w:rsidRPr="006B3F59">
        <w:t xml:space="preserve"> (</w:t>
      </w:r>
      <w:r w:rsidRPr="00FC40CF">
        <w:rPr>
          <w:i/>
          <w:iCs/>
        </w:rPr>
        <w:t xml:space="preserve">Festuca </w:t>
      </w:r>
      <w:proofErr w:type="spellStart"/>
      <w:r w:rsidRPr="00FC40CF">
        <w:rPr>
          <w:i/>
          <w:iCs/>
        </w:rPr>
        <w:t>rupicola</w:t>
      </w:r>
      <w:proofErr w:type="spellEnd"/>
      <w:r w:rsidRPr="006F500B">
        <w:t>)</w:t>
      </w:r>
      <w:r w:rsidRPr="006B3F59">
        <w:t>, dále zde rostou šalvěj luční (</w:t>
      </w:r>
      <w:proofErr w:type="spellStart"/>
      <w:r w:rsidRPr="00FC40CF">
        <w:rPr>
          <w:i/>
          <w:iCs/>
        </w:rPr>
        <w:t>Salvia</w:t>
      </w:r>
      <w:proofErr w:type="spellEnd"/>
      <w:r w:rsidRPr="00FC40CF">
        <w:rPr>
          <w:i/>
          <w:iCs/>
        </w:rPr>
        <w:t xml:space="preserve"> pratensis</w:t>
      </w:r>
      <w:r w:rsidRPr="006B3F59">
        <w:t>), pupava obecná (</w:t>
      </w:r>
      <w:proofErr w:type="spellStart"/>
      <w:r w:rsidRPr="00FC40CF">
        <w:rPr>
          <w:i/>
          <w:iCs/>
        </w:rPr>
        <w:t>Carlina</w:t>
      </w:r>
      <w:proofErr w:type="spellEnd"/>
      <w:r w:rsidRPr="00FC40CF">
        <w:rPr>
          <w:i/>
          <w:iCs/>
        </w:rPr>
        <w:t xml:space="preserve"> vulgaris</w:t>
      </w:r>
      <w:r w:rsidRPr="006B3F59">
        <w:t>) a p</w:t>
      </w:r>
      <w:r w:rsidR="00FC40CF">
        <w:t>upava</w:t>
      </w:r>
      <w:r w:rsidRPr="006B3F59">
        <w:t xml:space="preserve"> bezlodyžná (</w:t>
      </w:r>
      <w:r w:rsidRPr="00FC40CF">
        <w:rPr>
          <w:i/>
          <w:iCs/>
        </w:rPr>
        <w:t xml:space="preserve">C. </w:t>
      </w:r>
      <w:proofErr w:type="spellStart"/>
      <w:r w:rsidRPr="00FC40CF">
        <w:rPr>
          <w:i/>
          <w:iCs/>
        </w:rPr>
        <w:t>acaule</w:t>
      </w:r>
      <w:proofErr w:type="spellEnd"/>
      <w:r w:rsidRPr="006B3F59">
        <w:t>), chrpa čekánek (</w:t>
      </w:r>
      <w:proofErr w:type="spellStart"/>
      <w:r w:rsidRPr="00FC40CF">
        <w:rPr>
          <w:i/>
          <w:iCs/>
        </w:rPr>
        <w:t>Centaurea</w:t>
      </w:r>
      <w:proofErr w:type="spellEnd"/>
      <w:r w:rsidRPr="00FC40CF">
        <w:rPr>
          <w:i/>
          <w:iCs/>
        </w:rPr>
        <w:t xml:space="preserve"> </w:t>
      </w:r>
      <w:proofErr w:type="spellStart"/>
      <w:r w:rsidRPr="00FC40CF">
        <w:rPr>
          <w:i/>
          <w:iCs/>
        </w:rPr>
        <w:t>scabiosa</w:t>
      </w:r>
      <w:proofErr w:type="spellEnd"/>
      <w:r w:rsidRPr="006B3F59">
        <w:t>), krvavec menší (</w:t>
      </w:r>
      <w:proofErr w:type="spellStart"/>
      <w:r w:rsidRPr="00FC40CF">
        <w:rPr>
          <w:i/>
          <w:iCs/>
        </w:rPr>
        <w:t>Sanguisorba</w:t>
      </w:r>
      <w:proofErr w:type="spellEnd"/>
      <w:r w:rsidRPr="00FC40CF">
        <w:rPr>
          <w:i/>
          <w:iCs/>
        </w:rPr>
        <w:t xml:space="preserve"> minor</w:t>
      </w:r>
      <w:r w:rsidRPr="006B3F59">
        <w:t>) aj. Díky méně extrémním podmínkám jsou však tyto trávníky ze všech zdejších xerotermních společenstev nejvíce náchylné k degradaci a na řadě míst zarůstají ovsíkem vyvýšeným (</w:t>
      </w:r>
      <w:proofErr w:type="spellStart"/>
      <w:r w:rsidRPr="00FC40CF">
        <w:rPr>
          <w:i/>
          <w:iCs/>
        </w:rPr>
        <w:t>Arrhenaterum</w:t>
      </w:r>
      <w:proofErr w:type="spellEnd"/>
      <w:r w:rsidRPr="00FC40CF">
        <w:rPr>
          <w:i/>
          <w:iCs/>
        </w:rPr>
        <w:t xml:space="preserve"> </w:t>
      </w:r>
      <w:proofErr w:type="spellStart"/>
      <w:r w:rsidRPr="00FC40CF">
        <w:rPr>
          <w:i/>
          <w:iCs/>
        </w:rPr>
        <w:t>elatior</w:t>
      </w:r>
      <w:proofErr w:type="spellEnd"/>
      <w:r w:rsidRPr="006B3F59">
        <w:t>), třtinou křovištní (</w:t>
      </w:r>
      <w:r w:rsidRPr="00FC40CF">
        <w:rPr>
          <w:i/>
          <w:iCs/>
        </w:rPr>
        <w:t>Calamagrostis epigejos</w:t>
      </w:r>
      <w:r w:rsidRPr="006B3F59">
        <w:t xml:space="preserve">) nebo náletovými dřevinami. Velmi vzácně se na stinnějších partiích výchozů </w:t>
      </w:r>
      <w:proofErr w:type="spellStart"/>
      <w:r w:rsidRPr="006B3F59">
        <w:t>spilitu</w:t>
      </w:r>
      <w:proofErr w:type="spellEnd"/>
      <w:r w:rsidRPr="006B3F59">
        <w:t xml:space="preserve"> vyskytují </w:t>
      </w:r>
      <w:proofErr w:type="spellStart"/>
      <w:r w:rsidRPr="006B3F59">
        <w:t>pěchavové</w:t>
      </w:r>
      <w:proofErr w:type="spellEnd"/>
      <w:r w:rsidRPr="006B3F59">
        <w:t xml:space="preserve"> trávníky as. </w:t>
      </w:r>
      <w:proofErr w:type="spellStart"/>
      <w:r w:rsidRPr="006B3F59">
        <w:t>Primulo</w:t>
      </w:r>
      <w:proofErr w:type="spellEnd"/>
      <w:r w:rsidRPr="006B3F59">
        <w:t xml:space="preserve"> </w:t>
      </w:r>
      <w:proofErr w:type="spellStart"/>
      <w:r w:rsidRPr="006B3F59">
        <w:t>verisSeslerietum</w:t>
      </w:r>
      <w:proofErr w:type="spellEnd"/>
      <w:r w:rsidRPr="006B3F59">
        <w:t xml:space="preserve"> </w:t>
      </w:r>
      <w:proofErr w:type="spellStart"/>
      <w:r w:rsidRPr="006B3F59">
        <w:t>calcariae</w:t>
      </w:r>
      <w:proofErr w:type="spellEnd"/>
      <w:r w:rsidRPr="006B3F59">
        <w:t xml:space="preserve">. Významná jsou také společenstva suchých bylinných lemů s kakostem krvavým a třemdavou bílou (as. </w:t>
      </w:r>
      <w:proofErr w:type="spellStart"/>
      <w:r w:rsidRPr="006B3F59">
        <w:t>Geranio-Dictamnetum</w:t>
      </w:r>
      <w:proofErr w:type="spellEnd"/>
      <w:r w:rsidRPr="006B3F59">
        <w:t>), která se objevují na rozhraní mezi teplomilnými trávníky a dřevinnými porosty. Typickým a významným druhem tohoto společenstva je třemdava bílá (</w:t>
      </w:r>
      <w:proofErr w:type="spellStart"/>
      <w:r w:rsidRPr="00FC40CF">
        <w:rPr>
          <w:i/>
          <w:iCs/>
        </w:rPr>
        <w:t>Dictamnus</w:t>
      </w:r>
      <w:proofErr w:type="spellEnd"/>
      <w:r w:rsidRPr="00FC40CF">
        <w:rPr>
          <w:i/>
          <w:iCs/>
        </w:rPr>
        <w:t xml:space="preserve"> </w:t>
      </w:r>
      <w:proofErr w:type="spellStart"/>
      <w:r w:rsidRPr="00FC40CF">
        <w:rPr>
          <w:i/>
          <w:iCs/>
        </w:rPr>
        <w:t>albus</w:t>
      </w:r>
      <w:proofErr w:type="spellEnd"/>
      <w:r w:rsidRPr="006B3F59">
        <w:t>). Ve žlebech, rýhách i na plošinách skal se často vyskytují porosty nízkých xerofilních křovin se skalníkem celokrajným svazu Prunion spinosae. Typický je pro ně výskyt mnohdy bohatých populací skalníku celokrajného (</w:t>
      </w:r>
      <w:proofErr w:type="spellStart"/>
      <w:r w:rsidRPr="00FC40CF">
        <w:rPr>
          <w:i/>
          <w:iCs/>
        </w:rPr>
        <w:t>Cotoneaster</w:t>
      </w:r>
      <w:proofErr w:type="spellEnd"/>
      <w:r w:rsidRPr="00FC40CF">
        <w:rPr>
          <w:i/>
          <w:iCs/>
        </w:rPr>
        <w:t xml:space="preserve"> </w:t>
      </w:r>
      <w:proofErr w:type="spellStart"/>
      <w:r w:rsidRPr="00FC40CF">
        <w:rPr>
          <w:i/>
          <w:iCs/>
        </w:rPr>
        <w:t>integerrimus</w:t>
      </w:r>
      <w:proofErr w:type="spellEnd"/>
      <w:r w:rsidRPr="006B3F59">
        <w:t>), společně s ním se vyskytují také jilm habrolistý (</w:t>
      </w:r>
      <w:proofErr w:type="spellStart"/>
      <w:r w:rsidRPr="00FC40CF">
        <w:rPr>
          <w:i/>
          <w:iCs/>
        </w:rPr>
        <w:t>Ulmus</w:t>
      </w:r>
      <w:proofErr w:type="spellEnd"/>
      <w:r w:rsidRPr="00FC40CF">
        <w:rPr>
          <w:i/>
          <w:iCs/>
        </w:rPr>
        <w:t xml:space="preserve"> minor</w:t>
      </w:r>
      <w:r w:rsidRPr="006B3F59">
        <w:t>), dřín jarní (</w:t>
      </w:r>
      <w:r w:rsidRPr="00FC40CF">
        <w:rPr>
          <w:i/>
          <w:iCs/>
        </w:rPr>
        <w:t>Cornus mas</w:t>
      </w:r>
      <w:r w:rsidRPr="006B3F59">
        <w:t>), růže keltská (</w:t>
      </w:r>
      <w:r w:rsidRPr="00FC40CF">
        <w:rPr>
          <w:i/>
          <w:iCs/>
        </w:rPr>
        <w:t xml:space="preserve">Rosa </w:t>
      </w:r>
      <w:proofErr w:type="spellStart"/>
      <w:r w:rsidRPr="00FC40CF">
        <w:rPr>
          <w:i/>
          <w:iCs/>
        </w:rPr>
        <w:t>gallica</w:t>
      </w:r>
      <w:proofErr w:type="spellEnd"/>
      <w:r w:rsidRPr="006B3F59">
        <w:t>) a mahalebka obecná (</w:t>
      </w:r>
      <w:proofErr w:type="spellStart"/>
      <w:r w:rsidRPr="00FC40CF">
        <w:rPr>
          <w:i/>
          <w:iCs/>
        </w:rPr>
        <w:t>Prunus</w:t>
      </w:r>
      <w:proofErr w:type="spellEnd"/>
      <w:r w:rsidRPr="00FC40CF">
        <w:rPr>
          <w:i/>
          <w:iCs/>
        </w:rPr>
        <w:t xml:space="preserve"> </w:t>
      </w:r>
      <w:proofErr w:type="spellStart"/>
      <w:r w:rsidRPr="00FC40CF">
        <w:rPr>
          <w:i/>
          <w:iCs/>
        </w:rPr>
        <w:t>mahaleb</w:t>
      </w:r>
      <w:proofErr w:type="spellEnd"/>
      <w:r w:rsidRPr="006B3F59">
        <w:t>), zvláště významný je výskyt třešně křovité (</w:t>
      </w:r>
      <w:proofErr w:type="spellStart"/>
      <w:r w:rsidRPr="00FC40CF">
        <w:rPr>
          <w:i/>
          <w:iCs/>
        </w:rPr>
        <w:t>Prunus</w:t>
      </w:r>
      <w:proofErr w:type="spellEnd"/>
      <w:r w:rsidRPr="00FC40CF">
        <w:rPr>
          <w:i/>
          <w:iCs/>
        </w:rPr>
        <w:t xml:space="preserve"> </w:t>
      </w:r>
      <w:proofErr w:type="spellStart"/>
      <w:r w:rsidRPr="00FC40CF">
        <w:rPr>
          <w:i/>
          <w:iCs/>
        </w:rPr>
        <w:t>fruticosa</w:t>
      </w:r>
      <w:proofErr w:type="spellEnd"/>
      <w:r w:rsidRPr="006B3F59">
        <w:t xml:space="preserve">). Vysoké mezofilní a xerofilní křoviny svazu </w:t>
      </w:r>
      <w:proofErr w:type="spellStart"/>
      <w:r w:rsidRPr="006B3F59">
        <w:t>Berberidion</w:t>
      </w:r>
      <w:proofErr w:type="spellEnd"/>
      <w:r w:rsidRPr="006B3F59">
        <w:t xml:space="preserve"> osidlují především výslunná místa skal, sutí, strání a srázů s hlubší půdou, Šíří se však i na místa výskytu cenné světlomilné skalní vegetace. Na území bývalých hradišť či podobných sídel, kde je půda dosud obohacená živinami, lze nalézt soubory rostlin odlišné od okolních společenstev, typickými druhy takových míst jsou pýr prostřední (</w:t>
      </w:r>
      <w:proofErr w:type="spellStart"/>
      <w:r w:rsidRPr="00FC40CF">
        <w:rPr>
          <w:i/>
          <w:iCs/>
        </w:rPr>
        <w:t>Elytrigia</w:t>
      </w:r>
      <w:proofErr w:type="spellEnd"/>
      <w:r w:rsidRPr="00FC40CF">
        <w:rPr>
          <w:i/>
          <w:iCs/>
        </w:rPr>
        <w:t xml:space="preserve"> intermedia</w:t>
      </w:r>
      <w:r w:rsidRPr="006B3F59">
        <w:t>), šalvěj hajní (</w:t>
      </w:r>
      <w:proofErr w:type="spellStart"/>
      <w:r w:rsidRPr="00FC40CF">
        <w:rPr>
          <w:i/>
          <w:iCs/>
        </w:rPr>
        <w:t>Salvia</w:t>
      </w:r>
      <w:proofErr w:type="spellEnd"/>
      <w:r w:rsidRPr="00FC40CF">
        <w:rPr>
          <w:i/>
          <w:iCs/>
        </w:rPr>
        <w:t xml:space="preserve"> nemorosa</w:t>
      </w:r>
      <w:r w:rsidRPr="006B3F59">
        <w:t>) či ostřice časná (</w:t>
      </w:r>
      <w:r w:rsidRPr="00FC40CF">
        <w:rPr>
          <w:i/>
          <w:iCs/>
        </w:rPr>
        <w:t xml:space="preserve">Carex </w:t>
      </w:r>
      <w:proofErr w:type="spellStart"/>
      <w:r w:rsidRPr="00FC40CF">
        <w:rPr>
          <w:i/>
          <w:iCs/>
        </w:rPr>
        <w:t>praecox</w:t>
      </w:r>
      <w:proofErr w:type="spellEnd"/>
      <w:r w:rsidRPr="006B3F59">
        <w:t>). Lesní vegetaci tvoří zejména druhotné vysazené nebo náletové porosty. Ve stromovém patře se vyskytují druhy jako lípa srdčitá (Tilia cordata), javor mléč (Acer platanoides), jasan ztepilý (</w:t>
      </w:r>
      <w:proofErr w:type="spellStart"/>
      <w:r w:rsidRPr="006B3F59">
        <w:t>Fraxinus</w:t>
      </w:r>
      <w:proofErr w:type="spellEnd"/>
      <w:r w:rsidRPr="006B3F59">
        <w:t xml:space="preserve"> excelsior), borovice </w:t>
      </w:r>
      <w:r w:rsidRPr="006B3F59">
        <w:lastRenderedPageBreak/>
        <w:t>lesní (</w:t>
      </w:r>
      <w:proofErr w:type="spellStart"/>
      <w:r w:rsidRPr="00FC40CF">
        <w:rPr>
          <w:i/>
          <w:iCs/>
        </w:rPr>
        <w:t>Pinus</w:t>
      </w:r>
      <w:proofErr w:type="spellEnd"/>
      <w:r w:rsidRPr="00FC40CF">
        <w:rPr>
          <w:i/>
          <w:iCs/>
        </w:rPr>
        <w:t xml:space="preserve"> sylvestris</w:t>
      </w:r>
      <w:r w:rsidRPr="006B3F59">
        <w:t xml:space="preserve">) apod. Místy lze narazit i na polopřirozené lesní porosty zařaditelné mezi acidofilní doubravy tř. </w:t>
      </w:r>
      <w:proofErr w:type="spellStart"/>
      <w:r w:rsidRPr="006B3F59">
        <w:t>Quercetea</w:t>
      </w:r>
      <w:proofErr w:type="spellEnd"/>
      <w:r w:rsidRPr="006B3F59">
        <w:t xml:space="preserve"> </w:t>
      </w:r>
      <w:proofErr w:type="spellStart"/>
      <w:r w:rsidRPr="006B3F59">
        <w:t>robori</w:t>
      </w:r>
      <w:proofErr w:type="spellEnd"/>
      <w:r w:rsidRPr="006B3F59">
        <w:t>-petraeae. Na území PP Baba byly dubem zimním (</w:t>
      </w:r>
      <w:r w:rsidRPr="00FC40CF">
        <w:rPr>
          <w:i/>
          <w:iCs/>
        </w:rPr>
        <w:t>Quercus petraea</w:t>
      </w:r>
      <w:r w:rsidRPr="006B3F59">
        <w:t xml:space="preserve">) pokusně osívány plochy po vykácených </w:t>
      </w:r>
      <w:proofErr w:type="spellStart"/>
      <w:r w:rsidRPr="006B3F59">
        <w:t>akátinách</w:t>
      </w:r>
      <w:proofErr w:type="spellEnd"/>
      <w:r w:rsidRPr="006B3F59">
        <w:t>. V území se vyskytuje celá řada nepůvodních, někdy přímo invazních druhů. Nejvýznamnější problém představují výsadby i nálety trnovníku akátu (</w:t>
      </w:r>
      <w:proofErr w:type="spellStart"/>
      <w:r w:rsidRPr="00FC40CF">
        <w:rPr>
          <w:i/>
          <w:iCs/>
        </w:rPr>
        <w:t>Robinia</w:t>
      </w:r>
      <w:proofErr w:type="spellEnd"/>
      <w:r w:rsidRPr="00FC40CF">
        <w:rPr>
          <w:i/>
          <w:iCs/>
        </w:rPr>
        <w:t xml:space="preserve"> </w:t>
      </w:r>
      <w:proofErr w:type="spellStart"/>
      <w:r w:rsidRPr="00FC40CF">
        <w:rPr>
          <w:i/>
          <w:iCs/>
        </w:rPr>
        <w:t>pseudacacia</w:t>
      </w:r>
      <w:proofErr w:type="spellEnd"/>
      <w:r w:rsidRPr="006B3F59">
        <w:t xml:space="preserve">), který sem byl umísťován zejména v první polovině 20. století a který je posledních cca 40 let průběžně odstraňován. Mimo akátu se zde také roztroušeně objevují pajasan </w:t>
      </w:r>
      <w:proofErr w:type="spellStart"/>
      <w:r w:rsidRPr="006B3F59">
        <w:t>žlaznatý</w:t>
      </w:r>
      <w:proofErr w:type="spellEnd"/>
      <w:r w:rsidRPr="006B3F59">
        <w:t xml:space="preserve"> (</w:t>
      </w:r>
      <w:proofErr w:type="spellStart"/>
      <w:r w:rsidRPr="00FC40CF">
        <w:rPr>
          <w:i/>
          <w:iCs/>
        </w:rPr>
        <w:t>Ailanthus</w:t>
      </w:r>
      <w:proofErr w:type="spellEnd"/>
      <w:r w:rsidRPr="00FC40CF">
        <w:rPr>
          <w:i/>
          <w:iCs/>
        </w:rPr>
        <w:t xml:space="preserve"> </w:t>
      </w:r>
      <w:proofErr w:type="spellStart"/>
      <w:r w:rsidRPr="00FC40CF">
        <w:rPr>
          <w:i/>
          <w:iCs/>
        </w:rPr>
        <w:t>altissima</w:t>
      </w:r>
      <w:proofErr w:type="spellEnd"/>
      <w:r w:rsidRPr="006B3F59">
        <w:t>), třtina křovištní (</w:t>
      </w:r>
      <w:r w:rsidRPr="00FC40CF">
        <w:rPr>
          <w:i/>
          <w:iCs/>
        </w:rPr>
        <w:t>Calamagrostis epigejos</w:t>
      </w:r>
      <w:r w:rsidRPr="006B3F59">
        <w:t>), žanovec měchýřník (</w:t>
      </w:r>
      <w:proofErr w:type="spellStart"/>
      <w:r w:rsidRPr="00FC40CF">
        <w:rPr>
          <w:i/>
          <w:iCs/>
        </w:rPr>
        <w:t>Collutea</w:t>
      </w:r>
      <w:proofErr w:type="spellEnd"/>
      <w:r w:rsidRPr="00FC40CF">
        <w:rPr>
          <w:i/>
          <w:iCs/>
        </w:rPr>
        <w:t xml:space="preserve"> </w:t>
      </w:r>
      <w:proofErr w:type="spellStart"/>
      <w:r w:rsidRPr="00FC40CF">
        <w:rPr>
          <w:i/>
          <w:iCs/>
        </w:rPr>
        <w:t>arborescens</w:t>
      </w:r>
      <w:proofErr w:type="spellEnd"/>
      <w:r w:rsidRPr="006B3F59">
        <w:t>), štědřenec odvislý (</w:t>
      </w:r>
      <w:proofErr w:type="spellStart"/>
      <w:r w:rsidRPr="00FC40CF">
        <w:rPr>
          <w:i/>
          <w:iCs/>
        </w:rPr>
        <w:t>Laburnum</w:t>
      </w:r>
      <w:proofErr w:type="spellEnd"/>
      <w:r w:rsidRPr="00FC40CF">
        <w:rPr>
          <w:i/>
          <w:iCs/>
        </w:rPr>
        <w:t xml:space="preserve"> </w:t>
      </w:r>
      <w:proofErr w:type="spellStart"/>
      <w:r w:rsidRPr="00FC40CF">
        <w:rPr>
          <w:i/>
          <w:iCs/>
        </w:rPr>
        <w:t>anagyroides</w:t>
      </w:r>
      <w:proofErr w:type="spellEnd"/>
      <w:r w:rsidRPr="006B3F59">
        <w:t>), šeřík obecný (</w:t>
      </w:r>
      <w:proofErr w:type="spellStart"/>
      <w:r w:rsidRPr="00FC40CF">
        <w:rPr>
          <w:i/>
          <w:iCs/>
        </w:rPr>
        <w:t>Syringa</w:t>
      </w:r>
      <w:proofErr w:type="spellEnd"/>
      <w:r w:rsidRPr="00FC40CF">
        <w:rPr>
          <w:i/>
          <w:iCs/>
        </w:rPr>
        <w:t xml:space="preserve"> vulgaris</w:t>
      </w:r>
      <w:r w:rsidRPr="006B3F59">
        <w:t xml:space="preserve">), mahonie </w:t>
      </w:r>
      <w:proofErr w:type="spellStart"/>
      <w:r w:rsidRPr="006B3F59">
        <w:t>cesmínolistá</w:t>
      </w:r>
      <w:proofErr w:type="spellEnd"/>
      <w:r w:rsidRPr="006B3F59">
        <w:t xml:space="preserve"> (</w:t>
      </w:r>
      <w:proofErr w:type="spellStart"/>
      <w:r w:rsidRPr="00FC40CF">
        <w:rPr>
          <w:i/>
          <w:iCs/>
        </w:rPr>
        <w:t>Mahonia</w:t>
      </w:r>
      <w:proofErr w:type="spellEnd"/>
      <w:r w:rsidRPr="00FC40CF">
        <w:rPr>
          <w:i/>
          <w:iCs/>
        </w:rPr>
        <w:t xml:space="preserve"> </w:t>
      </w:r>
      <w:proofErr w:type="spellStart"/>
      <w:r w:rsidRPr="00FC40CF">
        <w:rPr>
          <w:i/>
          <w:iCs/>
        </w:rPr>
        <w:t>aquifolium</w:t>
      </w:r>
      <w:proofErr w:type="spellEnd"/>
      <w:r w:rsidRPr="006B3F59">
        <w:t>), topinambur hlíznatý, (</w:t>
      </w:r>
      <w:proofErr w:type="spellStart"/>
      <w:r w:rsidRPr="00FC40CF">
        <w:rPr>
          <w:i/>
          <w:iCs/>
        </w:rPr>
        <w:t>Helianthus</w:t>
      </w:r>
      <w:proofErr w:type="spellEnd"/>
      <w:r w:rsidRPr="00FC40CF">
        <w:rPr>
          <w:i/>
          <w:iCs/>
        </w:rPr>
        <w:t xml:space="preserve"> </w:t>
      </w:r>
      <w:proofErr w:type="spellStart"/>
      <w:r w:rsidRPr="00FC40CF">
        <w:rPr>
          <w:i/>
          <w:iCs/>
        </w:rPr>
        <w:t>tuberosus</w:t>
      </w:r>
      <w:proofErr w:type="spellEnd"/>
      <w:r w:rsidRPr="006B3F59">
        <w:t>), celík velký (</w:t>
      </w:r>
      <w:proofErr w:type="spellStart"/>
      <w:r w:rsidRPr="00FC40CF">
        <w:rPr>
          <w:i/>
          <w:iCs/>
        </w:rPr>
        <w:t>Solidago</w:t>
      </w:r>
      <w:proofErr w:type="spellEnd"/>
      <w:r w:rsidRPr="00FC40CF">
        <w:rPr>
          <w:i/>
          <w:iCs/>
        </w:rPr>
        <w:t xml:space="preserve"> </w:t>
      </w:r>
      <w:proofErr w:type="spellStart"/>
      <w:r w:rsidRPr="00FC40CF">
        <w:rPr>
          <w:i/>
          <w:iCs/>
        </w:rPr>
        <w:t>gigantea</w:t>
      </w:r>
      <w:proofErr w:type="spellEnd"/>
      <w:r w:rsidRPr="006B3F59">
        <w:t>) a c</w:t>
      </w:r>
      <w:r w:rsidR="00FC40CF">
        <w:t>elík</w:t>
      </w:r>
      <w:r w:rsidRPr="006B3F59">
        <w:t xml:space="preserve"> kanadský (</w:t>
      </w:r>
      <w:r w:rsidRPr="00FC40CF">
        <w:rPr>
          <w:i/>
          <w:iCs/>
        </w:rPr>
        <w:t xml:space="preserve">S. </w:t>
      </w:r>
      <w:proofErr w:type="spellStart"/>
      <w:r w:rsidRPr="00FC40CF">
        <w:rPr>
          <w:i/>
          <w:iCs/>
        </w:rPr>
        <w:t>canadensis</w:t>
      </w:r>
      <w:proofErr w:type="spellEnd"/>
      <w:r w:rsidRPr="006B3F59">
        <w:t>) či zatím naštěstí jen vzácně se objevující (na území PP Podbabské skály) starček úzkolistý (</w:t>
      </w:r>
      <w:proofErr w:type="spellStart"/>
      <w:r w:rsidRPr="00FC40CF">
        <w:rPr>
          <w:i/>
          <w:iCs/>
        </w:rPr>
        <w:t>Senecio</w:t>
      </w:r>
      <w:proofErr w:type="spellEnd"/>
      <w:r w:rsidRPr="00FC40CF">
        <w:rPr>
          <w:i/>
          <w:iCs/>
        </w:rPr>
        <w:t xml:space="preserve"> </w:t>
      </w:r>
      <w:proofErr w:type="spellStart"/>
      <w:r w:rsidRPr="00FC40CF">
        <w:rPr>
          <w:i/>
          <w:iCs/>
        </w:rPr>
        <w:t>inaequidens</w:t>
      </w:r>
      <w:proofErr w:type="spellEnd"/>
      <w:r w:rsidRPr="006B3F59">
        <w:t>).</w:t>
      </w:r>
    </w:p>
    <w:p w14:paraId="1BA778FC" w14:textId="7C49555F" w:rsidR="004F37D2" w:rsidRPr="006B3F59" w:rsidRDefault="007B22DD" w:rsidP="008B2D5F">
      <w:r w:rsidRPr="006B3F59">
        <w:t>Území</w:t>
      </w:r>
      <w:r w:rsidR="004F37D2" w:rsidRPr="006B3F59">
        <w:t xml:space="preserve"> EVL a PP Podbabské skály a PP Baba hostí velmi hodnotnou faunu teplomilných bezobratlých. </w:t>
      </w:r>
      <w:proofErr w:type="spellStart"/>
      <w:r w:rsidR="004F37D2" w:rsidRPr="006B3F59">
        <w:t>Malakofauna</w:t>
      </w:r>
      <w:proofErr w:type="spellEnd"/>
      <w:r w:rsidR="004F37D2" w:rsidRPr="006B3F59">
        <w:t xml:space="preserve"> je bohatá zvláště na místech s vápnitými sprašovými návějemi (PP Podbabské skály), na kterých se vyskytují stepní prvky jako žitovka obilná (</w:t>
      </w:r>
      <w:proofErr w:type="spellStart"/>
      <w:r w:rsidR="004F37D2" w:rsidRPr="00CF6B6D">
        <w:rPr>
          <w:i/>
          <w:iCs/>
        </w:rPr>
        <w:t>Granaria</w:t>
      </w:r>
      <w:proofErr w:type="spellEnd"/>
      <w:r w:rsidR="004F37D2" w:rsidRPr="00CF6B6D">
        <w:rPr>
          <w:i/>
          <w:iCs/>
        </w:rPr>
        <w:t xml:space="preserve"> </w:t>
      </w:r>
      <w:proofErr w:type="spellStart"/>
      <w:r w:rsidR="004F37D2" w:rsidRPr="00CF6B6D">
        <w:rPr>
          <w:i/>
          <w:iCs/>
        </w:rPr>
        <w:t>frumentum</w:t>
      </w:r>
      <w:proofErr w:type="spellEnd"/>
      <w:r w:rsidR="004F37D2" w:rsidRPr="006B3F59">
        <w:t xml:space="preserve">), </w:t>
      </w:r>
      <w:proofErr w:type="spellStart"/>
      <w:r w:rsidR="004F37D2" w:rsidRPr="006B3F59">
        <w:t>trojzubka</w:t>
      </w:r>
      <w:proofErr w:type="spellEnd"/>
      <w:r w:rsidR="004F37D2" w:rsidRPr="006B3F59">
        <w:t xml:space="preserve"> stepní (</w:t>
      </w:r>
      <w:proofErr w:type="spellStart"/>
      <w:r w:rsidR="004F37D2" w:rsidRPr="00CF6B6D">
        <w:rPr>
          <w:i/>
          <w:iCs/>
        </w:rPr>
        <w:t>Chondrula</w:t>
      </w:r>
      <w:proofErr w:type="spellEnd"/>
      <w:r w:rsidR="004F37D2" w:rsidRPr="00CF6B6D">
        <w:rPr>
          <w:i/>
          <w:iCs/>
        </w:rPr>
        <w:t xml:space="preserve"> </w:t>
      </w:r>
      <w:proofErr w:type="spellStart"/>
      <w:r w:rsidR="004F37D2" w:rsidRPr="00CF6B6D">
        <w:rPr>
          <w:i/>
          <w:iCs/>
        </w:rPr>
        <w:t>tridens</w:t>
      </w:r>
      <w:proofErr w:type="spellEnd"/>
      <w:r w:rsidR="004F37D2" w:rsidRPr="006B3F59">
        <w:t>), zrnovka žebernatá (</w:t>
      </w:r>
      <w:r w:rsidR="004F37D2" w:rsidRPr="00CF6B6D">
        <w:rPr>
          <w:i/>
          <w:iCs/>
        </w:rPr>
        <w:t xml:space="preserve">Pupilla </w:t>
      </w:r>
      <w:proofErr w:type="spellStart"/>
      <w:r w:rsidR="004F37D2" w:rsidRPr="00CF6B6D">
        <w:rPr>
          <w:i/>
          <w:iCs/>
        </w:rPr>
        <w:t>sterri</w:t>
      </w:r>
      <w:proofErr w:type="spellEnd"/>
      <w:r w:rsidR="004F37D2" w:rsidRPr="006B3F59">
        <w:t>) či z. trojzubá (P</w:t>
      </w:r>
      <w:r w:rsidR="004F37D2" w:rsidRPr="00CF6B6D">
        <w:rPr>
          <w:i/>
          <w:iCs/>
        </w:rPr>
        <w:t>. triplicata</w:t>
      </w:r>
      <w:r w:rsidR="004F37D2" w:rsidRPr="006B3F59">
        <w:t xml:space="preserve">). Z význačných pavoukovců žijí na stepích v EVL např. </w:t>
      </w:r>
      <w:proofErr w:type="spellStart"/>
      <w:r w:rsidR="004F37D2" w:rsidRPr="006B3F59">
        <w:t>stepník</w:t>
      </w:r>
      <w:proofErr w:type="spellEnd"/>
      <w:r w:rsidR="004F37D2" w:rsidRPr="006B3F59">
        <w:t xml:space="preserve"> rudý (</w:t>
      </w:r>
      <w:proofErr w:type="spellStart"/>
      <w:r w:rsidR="004F37D2" w:rsidRPr="00CF6B6D">
        <w:rPr>
          <w:i/>
          <w:iCs/>
        </w:rPr>
        <w:t>Eresus</w:t>
      </w:r>
      <w:proofErr w:type="spellEnd"/>
      <w:r w:rsidR="004F37D2" w:rsidRPr="00CF6B6D">
        <w:rPr>
          <w:i/>
          <w:iCs/>
        </w:rPr>
        <w:t xml:space="preserve"> </w:t>
      </w:r>
      <w:proofErr w:type="spellStart"/>
      <w:r w:rsidR="004F37D2" w:rsidRPr="00CF6B6D">
        <w:rPr>
          <w:i/>
          <w:iCs/>
        </w:rPr>
        <w:t>kollari</w:t>
      </w:r>
      <w:proofErr w:type="spellEnd"/>
      <w:r w:rsidR="004F37D2" w:rsidRPr="006B3F59">
        <w:t xml:space="preserve">) a </w:t>
      </w:r>
      <w:proofErr w:type="spellStart"/>
      <w:r w:rsidR="004F37D2" w:rsidRPr="006B3F59">
        <w:t>sklípkánek</w:t>
      </w:r>
      <w:proofErr w:type="spellEnd"/>
      <w:r w:rsidR="004F37D2" w:rsidRPr="006B3F59">
        <w:t xml:space="preserve"> pontický (</w:t>
      </w:r>
      <w:proofErr w:type="spellStart"/>
      <w:r w:rsidR="004F37D2" w:rsidRPr="00CF6B6D">
        <w:rPr>
          <w:i/>
          <w:iCs/>
        </w:rPr>
        <w:t>Atypus</w:t>
      </w:r>
      <w:proofErr w:type="spellEnd"/>
      <w:r w:rsidR="004F37D2" w:rsidRPr="00CF6B6D">
        <w:rPr>
          <w:i/>
          <w:iCs/>
        </w:rPr>
        <w:t xml:space="preserve"> </w:t>
      </w:r>
      <w:proofErr w:type="spellStart"/>
      <w:r w:rsidR="004F37D2" w:rsidRPr="00CF6B6D">
        <w:rPr>
          <w:i/>
          <w:iCs/>
        </w:rPr>
        <w:t>muralis</w:t>
      </w:r>
      <w:proofErr w:type="spellEnd"/>
      <w:r w:rsidR="004F37D2" w:rsidRPr="006B3F59">
        <w:t xml:space="preserve">), dále pak třeba </w:t>
      </w:r>
      <w:proofErr w:type="spellStart"/>
      <w:r w:rsidR="004F37D2" w:rsidRPr="006B3F59">
        <w:t>pavučenka</w:t>
      </w:r>
      <w:proofErr w:type="spellEnd"/>
      <w:r w:rsidR="004F37D2" w:rsidRPr="006B3F59">
        <w:t xml:space="preserve"> </w:t>
      </w:r>
      <w:proofErr w:type="spellStart"/>
      <w:r w:rsidR="004F37D2" w:rsidRPr="00CF6B6D">
        <w:rPr>
          <w:i/>
          <w:iCs/>
        </w:rPr>
        <w:t>Hypsocephalus</w:t>
      </w:r>
      <w:proofErr w:type="spellEnd"/>
      <w:r w:rsidR="004F37D2" w:rsidRPr="00CF6B6D">
        <w:rPr>
          <w:i/>
          <w:iCs/>
        </w:rPr>
        <w:t xml:space="preserve"> </w:t>
      </w:r>
      <w:proofErr w:type="spellStart"/>
      <w:r w:rsidR="004F37D2" w:rsidRPr="00CF6B6D">
        <w:rPr>
          <w:i/>
          <w:iCs/>
        </w:rPr>
        <w:t>dahli</w:t>
      </w:r>
      <w:proofErr w:type="spellEnd"/>
      <w:r w:rsidR="004F37D2" w:rsidRPr="006B3F59">
        <w:t xml:space="preserve"> či běžník </w:t>
      </w:r>
      <w:proofErr w:type="spellStart"/>
      <w:r w:rsidR="004F37D2" w:rsidRPr="00CF6B6D">
        <w:rPr>
          <w:i/>
          <w:iCs/>
        </w:rPr>
        <w:t>Xysticus</w:t>
      </w:r>
      <w:proofErr w:type="spellEnd"/>
      <w:r w:rsidR="004F37D2" w:rsidRPr="00CF6B6D">
        <w:rPr>
          <w:i/>
          <w:iCs/>
        </w:rPr>
        <w:t xml:space="preserve"> </w:t>
      </w:r>
      <w:proofErr w:type="spellStart"/>
      <w:r w:rsidR="004F37D2" w:rsidRPr="00CF6B6D">
        <w:rPr>
          <w:i/>
          <w:iCs/>
        </w:rPr>
        <w:t>acerbus</w:t>
      </w:r>
      <w:proofErr w:type="spellEnd"/>
      <w:r w:rsidR="004F37D2" w:rsidRPr="006B3F59">
        <w:t xml:space="preserve">, skákavka </w:t>
      </w:r>
      <w:proofErr w:type="spellStart"/>
      <w:r w:rsidR="004F37D2" w:rsidRPr="00CF6B6D">
        <w:rPr>
          <w:i/>
          <w:iCs/>
        </w:rPr>
        <w:t>Heliophanus</w:t>
      </w:r>
      <w:proofErr w:type="spellEnd"/>
      <w:r w:rsidR="004F37D2" w:rsidRPr="00CF6B6D">
        <w:rPr>
          <w:i/>
          <w:iCs/>
        </w:rPr>
        <w:t xml:space="preserve"> </w:t>
      </w:r>
      <w:proofErr w:type="spellStart"/>
      <w:r w:rsidR="004F37D2" w:rsidRPr="00CF6B6D">
        <w:rPr>
          <w:i/>
          <w:iCs/>
        </w:rPr>
        <w:t>lineiventris</w:t>
      </w:r>
      <w:proofErr w:type="spellEnd"/>
      <w:r w:rsidR="004F37D2" w:rsidRPr="006B3F59">
        <w:t xml:space="preserve"> má jedinou známou českou lokalitu v PP Podbabské skály. V území byly nalezeny vzácné teplomilné ploštice, např. </w:t>
      </w:r>
      <w:proofErr w:type="spellStart"/>
      <w:r w:rsidR="004F37D2" w:rsidRPr="006B3F59">
        <w:t>lovčice</w:t>
      </w:r>
      <w:proofErr w:type="spellEnd"/>
      <w:r w:rsidR="004F37D2" w:rsidRPr="006B3F59">
        <w:t xml:space="preserve"> </w:t>
      </w:r>
      <w:proofErr w:type="spellStart"/>
      <w:r w:rsidR="004F37D2" w:rsidRPr="00FC40CF">
        <w:rPr>
          <w:i/>
          <w:iCs/>
        </w:rPr>
        <w:t>Prostema</w:t>
      </w:r>
      <w:proofErr w:type="spellEnd"/>
      <w:r w:rsidR="004F37D2" w:rsidRPr="00FC40CF">
        <w:rPr>
          <w:i/>
          <w:iCs/>
        </w:rPr>
        <w:t xml:space="preserve"> </w:t>
      </w:r>
      <w:proofErr w:type="spellStart"/>
      <w:r w:rsidR="004F37D2" w:rsidRPr="00FC40CF">
        <w:rPr>
          <w:i/>
          <w:iCs/>
        </w:rPr>
        <w:t>guttula</w:t>
      </w:r>
      <w:proofErr w:type="spellEnd"/>
      <w:r w:rsidR="004F37D2" w:rsidRPr="006B3F59">
        <w:t xml:space="preserve">, </w:t>
      </w:r>
      <w:proofErr w:type="spellStart"/>
      <w:r w:rsidR="004F37D2" w:rsidRPr="006B3F59">
        <w:t>hranatka</w:t>
      </w:r>
      <w:proofErr w:type="spellEnd"/>
      <w:r w:rsidR="004F37D2" w:rsidRPr="006B3F59">
        <w:t xml:space="preserve"> obecná (</w:t>
      </w:r>
      <w:proofErr w:type="spellStart"/>
      <w:r w:rsidR="004F37D2" w:rsidRPr="00FC40CF">
        <w:rPr>
          <w:i/>
          <w:iCs/>
        </w:rPr>
        <w:t>Phymata</w:t>
      </w:r>
      <w:proofErr w:type="spellEnd"/>
      <w:r w:rsidR="004F37D2" w:rsidRPr="00FC40CF">
        <w:rPr>
          <w:i/>
          <w:iCs/>
        </w:rPr>
        <w:t xml:space="preserve"> </w:t>
      </w:r>
      <w:proofErr w:type="spellStart"/>
      <w:r w:rsidR="004F37D2" w:rsidRPr="00FC40CF">
        <w:rPr>
          <w:i/>
          <w:iCs/>
        </w:rPr>
        <w:t>crassipes</w:t>
      </w:r>
      <w:proofErr w:type="spellEnd"/>
      <w:r w:rsidR="004F37D2" w:rsidRPr="006B3F59">
        <w:t xml:space="preserve">) i kněžice </w:t>
      </w:r>
      <w:proofErr w:type="spellStart"/>
      <w:r w:rsidR="004F37D2" w:rsidRPr="006B3F59">
        <w:t>Odontotarsus</w:t>
      </w:r>
      <w:proofErr w:type="spellEnd"/>
      <w:r w:rsidR="004F37D2" w:rsidRPr="006B3F59">
        <w:t xml:space="preserve"> </w:t>
      </w:r>
      <w:proofErr w:type="spellStart"/>
      <w:r w:rsidR="004F37D2" w:rsidRPr="006B3F59">
        <w:t>purpureolineatus</w:t>
      </w:r>
      <w:proofErr w:type="spellEnd"/>
      <w:r w:rsidR="004F37D2" w:rsidRPr="006B3F59">
        <w:t>. Z dalších druhů hmyzu byl zaznamenán nápadný vzácný ploskoroh pestrý (</w:t>
      </w:r>
      <w:proofErr w:type="spellStart"/>
      <w:r w:rsidR="004F37D2" w:rsidRPr="00FC40CF">
        <w:rPr>
          <w:i/>
          <w:iCs/>
        </w:rPr>
        <w:t>Libelloides</w:t>
      </w:r>
      <w:proofErr w:type="spellEnd"/>
      <w:r w:rsidR="004F37D2" w:rsidRPr="00FC40CF">
        <w:rPr>
          <w:i/>
          <w:iCs/>
        </w:rPr>
        <w:t xml:space="preserve"> </w:t>
      </w:r>
      <w:proofErr w:type="spellStart"/>
      <w:r w:rsidR="004F37D2" w:rsidRPr="00FC40CF">
        <w:rPr>
          <w:i/>
          <w:iCs/>
        </w:rPr>
        <w:t>macaronius</w:t>
      </w:r>
      <w:proofErr w:type="spellEnd"/>
      <w:r w:rsidR="004F37D2" w:rsidRPr="006B3F59">
        <w:t xml:space="preserve">) nebo teplomilná kobylka </w:t>
      </w:r>
      <w:proofErr w:type="spellStart"/>
      <w:r w:rsidR="004F37D2" w:rsidRPr="006B3F59">
        <w:t>cvrčivec</w:t>
      </w:r>
      <w:proofErr w:type="spellEnd"/>
      <w:r w:rsidR="004F37D2" w:rsidRPr="006B3F59">
        <w:t xml:space="preserve"> révový (</w:t>
      </w:r>
      <w:proofErr w:type="spellStart"/>
      <w:r w:rsidR="004F37D2" w:rsidRPr="00FC40CF">
        <w:rPr>
          <w:i/>
          <w:iCs/>
        </w:rPr>
        <w:t>Oecanthus</w:t>
      </w:r>
      <w:proofErr w:type="spellEnd"/>
      <w:r w:rsidR="004F37D2" w:rsidRPr="00FC40CF">
        <w:rPr>
          <w:i/>
          <w:iCs/>
        </w:rPr>
        <w:t xml:space="preserve"> </w:t>
      </w:r>
      <w:proofErr w:type="spellStart"/>
      <w:r w:rsidR="004F37D2" w:rsidRPr="00FC40CF">
        <w:rPr>
          <w:i/>
          <w:iCs/>
        </w:rPr>
        <w:t>pellucens</w:t>
      </w:r>
      <w:proofErr w:type="spellEnd"/>
      <w:r w:rsidR="004F37D2" w:rsidRPr="006B3F59">
        <w:t xml:space="preserve">). Ze vzácnějších druhů motýlů zde žijí ostruháčci </w:t>
      </w:r>
      <w:proofErr w:type="spellStart"/>
      <w:r w:rsidR="004F37D2" w:rsidRPr="00FC40CF">
        <w:rPr>
          <w:i/>
          <w:iCs/>
        </w:rPr>
        <w:t>Satyrium</w:t>
      </w:r>
      <w:proofErr w:type="spellEnd"/>
      <w:r w:rsidR="004F37D2" w:rsidRPr="00FC40CF">
        <w:rPr>
          <w:i/>
          <w:iCs/>
        </w:rPr>
        <w:t xml:space="preserve"> </w:t>
      </w:r>
      <w:proofErr w:type="spellStart"/>
      <w:r w:rsidR="004F37D2" w:rsidRPr="00FC40CF">
        <w:rPr>
          <w:i/>
          <w:iCs/>
        </w:rPr>
        <w:t>spini</w:t>
      </w:r>
      <w:proofErr w:type="spellEnd"/>
      <w:r w:rsidR="004F37D2" w:rsidRPr="006B3F59">
        <w:t xml:space="preserve"> a S. </w:t>
      </w:r>
      <w:proofErr w:type="spellStart"/>
      <w:r w:rsidR="004F37D2" w:rsidRPr="006B3F59">
        <w:t>acaciae</w:t>
      </w:r>
      <w:proofErr w:type="spellEnd"/>
      <w:r w:rsidR="004F37D2" w:rsidRPr="006B3F59">
        <w:t>, otakárek ovocný (</w:t>
      </w:r>
      <w:proofErr w:type="spellStart"/>
      <w:r w:rsidR="004F37D2" w:rsidRPr="006B3F59">
        <w:t>Iphiclides</w:t>
      </w:r>
      <w:proofErr w:type="spellEnd"/>
      <w:r w:rsidR="004F37D2" w:rsidRPr="006B3F59">
        <w:t xml:space="preserve"> </w:t>
      </w:r>
      <w:proofErr w:type="spellStart"/>
      <w:r w:rsidR="004F37D2" w:rsidRPr="006B3F59">
        <w:t>podalirius</w:t>
      </w:r>
      <w:proofErr w:type="spellEnd"/>
      <w:r w:rsidR="004F37D2" w:rsidRPr="006B3F59">
        <w:t>), modrásek rozchodníkový (</w:t>
      </w:r>
      <w:proofErr w:type="spellStart"/>
      <w:r w:rsidR="004F37D2" w:rsidRPr="00FC40CF">
        <w:rPr>
          <w:i/>
          <w:iCs/>
        </w:rPr>
        <w:t>Scoliantides</w:t>
      </w:r>
      <w:proofErr w:type="spellEnd"/>
      <w:r w:rsidR="004F37D2" w:rsidRPr="00FC40CF">
        <w:rPr>
          <w:i/>
          <w:iCs/>
        </w:rPr>
        <w:t xml:space="preserve"> orion</w:t>
      </w:r>
      <w:r w:rsidR="004F37D2" w:rsidRPr="006B3F59">
        <w:t>) a soumračník proskurníkový (</w:t>
      </w:r>
      <w:proofErr w:type="spellStart"/>
      <w:r w:rsidR="004F37D2" w:rsidRPr="00FC40CF">
        <w:rPr>
          <w:i/>
          <w:iCs/>
        </w:rPr>
        <w:t>Pyrgus</w:t>
      </w:r>
      <w:proofErr w:type="spellEnd"/>
      <w:r w:rsidR="004F37D2" w:rsidRPr="00FC40CF">
        <w:rPr>
          <w:i/>
          <w:iCs/>
        </w:rPr>
        <w:t xml:space="preserve"> </w:t>
      </w:r>
      <w:proofErr w:type="spellStart"/>
      <w:r w:rsidR="004F37D2" w:rsidRPr="00FC40CF">
        <w:rPr>
          <w:i/>
          <w:iCs/>
        </w:rPr>
        <w:t>carthami</w:t>
      </w:r>
      <w:proofErr w:type="spellEnd"/>
      <w:r w:rsidR="004F37D2" w:rsidRPr="006B3F59">
        <w:t>). Mezi zdejšími obratlovci je zvláště významný výskyt ještěrky zelené (</w:t>
      </w:r>
      <w:r w:rsidR="004F37D2" w:rsidRPr="00FC40CF">
        <w:rPr>
          <w:i/>
          <w:iCs/>
        </w:rPr>
        <w:t>Lacerta viridis</w:t>
      </w:r>
      <w:r w:rsidR="004F37D2" w:rsidRPr="006B3F59">
        <w:t>), vyskytují se zde však také další hojnější plazi jako užovka hladká (</w:t>
      </w:r>
      <w:r w:rsidR="004F37D2" w:rsidRPr="00FC40CF">
        <w:rPr>
          <w:i/>
          <w:iCs/>
        </w:rPr>
        <w:t>Coronella austriaca</w:t>
      </w:r>
      <w:r w:rsidR="004F37D2" w:rsidRPr="006B3F59">
        <w:t>) nebo ještěrka obecná (</w:t>
      </w:r>
      <w:r w:rsidR="004F37D2" w:rsidRPr="00FC40CF">
        <w:rPr>
          <w:i/>
          <w:iCs/>
        </w:rPr>
        <w:t>Lacerta agilis</w:t>
      </w:r>
      <w:r w:rsidR="004F37D2" w:rsidRPr="006B3F59">
        <w:t xml:space="preserve">). Z obojživelníků se zde objevuje mlok skvrnitý </w:t>
      </w:r>
      <w:r w:rsidR="004F37D2" w:rsidRPr="00FC40CF">
        <w:rPr>
          <w:i/>
          <w:iCs/>
        </w:rPr>
        <w:t>(Salamandra salamandra</w:t>
      </w:r>
      <w:r w:rsidR="004F37D2" w:rsidRPr="006B3F59">
        <w:t>) V EVL dále hnízdí převážně běžné druhy ptáků vázaných na křoviny a bezlesá stanoviště, z významnějších druhů lze jmenovat ťuhýka obecného (Lanius collurio).</w:t>
      </w:r>
    </w:p>
    <w:p w14:paraId="0982FDDA" w14:textId="77777777" w:rsidR="004F37D2" w:rsidRPr="006B3F59" w:rsidRDefault="004F37D2" w:rsidP="008B2D5F">
      <w:pPr>
        <w:rPr>
          <w:rFonts w:eastAsiaTheme="minorHAnsi"/>
        </w:rPr>
      </w:pPr>
    </w:p>
    <w:p w14:paraId="5045A613" w14:textId="080426BA" w:rsidR="00455E26" w:rsidRPr="006B3F59" w:rsidRDefault="00455E26" w:rsidP="008B2D5F">
      <w:pPr>
        <w:rPr>
          <w:rFonts w:eastAsiaTheme="minorHAnsi"/>
        </w:rPr>
      </w:pPr>
      <w:r w:rsidRPr="006B3F59">
        <w:rPr>
          <w:rFonts w:eastAsiaTheme="minorHAnsi"/>
          <w:noProof/>
        </w:rPr>
        <w:lastRenderedPageBreak/>
        <w:drawing>
          <wp:inline distT="0" distB="0" distL="0" distR="0" wp14:anchorId="7C426B5D" wp14:editId="25BABD7D">
            <wp:extent cx="6120130" cy="7368469"/>
            <wp:effectExtent l="0" t="0" r="0" b="4445"/>
            <wp:docPr id="64" name="Obráze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t="609"/>
                    <a:stretch/>
                  </pic:blipFill>
                  <pic:spPr bwMode="auto">
                    <a:xfrm>
                      <a:off x="0" y="0"/>
                      <a:ext cx="6120130" cy="7368469"/>
                    </a:xfrm>
                    <a:prstGeom prst="rect">
                      <a:avLst/>
                    </a:prstGeom>
                    <a:ln>
                      <a:noFill/>
                    </a:ln>
                    <a:extLst>
                      <a:ext uri="{53640926-AAD7-44D8-BBD7-CCE9431645EC}">
                        <a14:shadowObscured xmlns:a14="http://schemas.microsoft.com/office/drawing/2010/main"/>
                      </a:ext>
                    </a:extLst>
                  </pic:spPr>
                </pic:pic>
              </a:graphicData>
            </a:graphic>
          </wp:inline>
        </w:drawing>
      </w:r>
    </w:p>
    <w:p w14:paraId="25C48612" w14:textId="0186DC1B" w:rsidR="00AA3D56" w:rsidRPr="006B3F59" w:rsidRDefault="00455E26" w:rsidP="008B2D5F">
      <w:pPr>
        <w:rPr>
          <w:rFonts w:eastAsiaTheme="minorHAnsi"/>
        </w:rPr>
      </w:pPr>
      <w:r w:rsidRPr="006B3F59">
        <w:rPr>
          <w:rFonts w:eastAsiaTheme="minorHAnsi"/>
          <w:noProof/>
        </w:rPr>
        <w:lastRenderedPageBreak/>
        <w:drawing>
          <wp:inline distT="0" distB="0" distL="0" distR="0" wp14:anchorId="3E06E232" wp14:editId="31D53056">
            <wp:extent cx="1899872" cy="3381022"/>
            <wp:effectExtent l="0" t="0" r="5715" b="0"/>
            <wp:docPr id="65" name="Obráze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1907305" cy="3394250"/>
                    </a:xfrm>
                    <a:prstGeom prst="rect">
                      <a:avLst/>
                    </a:prstGeom>
                  </pic:spPr>
                </pic:pic>
              </a:graphicData>
            </a:graphic>
          </wp:inline>
        </w:drawing>
      </w:r>
      <w:r w:rsidRPr="006B3F59">
        <w:rPr>
          <w:rFonts w:eastAsiaTheme="minorHAnsi"/>
          <w:noProof/>
        </w:rPr>
        <w:drawing>
          <wp:inline distT="0" distB="0" distL="0" distR="0" wp14:anchorId="6D754470" wp14:editId="27A24AE4">
            <wp:extent cx="1836348" cy="3267975"/>
            <wp:effectExtent l="0" t="0" r="0" b="0"/>
            <wp:docPr id="68" name="Obrázek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1848474" cy="3289554"/>
                    </a:xfrm>
                    <a:prstGeom prst="rect">
                      <a:avLst/>
                    </a:prstGeom>
                  </pic:spPr>
                </pic:pic>
              </a:graphicData>
            </a:graphic>
          </wp:inline>
        </w:drawing>
      </w:r>
      <w:r w:rsidR="00AA3D56" w:rsidRPr="006B3F59">
        <w:rPr>
          <w:rFonts w:eastAsiaTheme="minorHAnsi"/>
          <w:noProof/>
        </w:rPr>
        <w:drawing>
          <wp:inline distT="0" distB="0" distL="0" distR="0" wp14:anchorId="4FF40CEB" wp14:editId="110D0FC6">
            <wp:extent cx="1887964" cy="3289916"/>
            <wp:effectExtent l="0" t="0" r="0" b="6350"/>
            <wp:docPr id="66" name="Obráze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1909999" cy="3328314"/>
                    </a:xfrm>
                    <a:prstGeom prst="rect">
                      <a:avLst/>
                    </a:prstGeom>
                  </pic:spPr>
                </pic:pic>
              </a:graphicData>
            </a:graphic>
          </wp:inline>
        </w:drawing>
      </w:r>
      <w:r w:rsidR="00AA3D56" w:rsidRPr="006B3F59">
        <w:rPr>
          <w:rFonts w:eastAsiaTheme="minorHAnsi"/>
          <w:noProof/>
        </w:rPr>
        <w:drawing>
          <wp:inline distT="0" distB="0" distL="0" distR="0" wp14:anchorId="27E58FAA" wp14:editId="2CC53D3B">
            <wp:extent cx="1845733" cy="3201287"/>
            <wp:effectExtent l="0" t="0" r="2540" b="0"/>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1869771" cy="3242978"/>
                    </a:xfrm>
                    <a:prstGeom prst="rect">
                      <a:avLst/>
                    </a:prstGeom>
                  </pic:spPr>
                </pic:pic>
              </a:graphicData>
            </a:graphic>
          </wp:inline>
        </w:drawing>
      </w:r>
      <w:r w:rsidR="00AA3D56" w:rsidRPr="006B3F59">
        <w:rPr>
          <w:rFonts w:eastAsiaTheme="minorHAnsi"/>
          <w:noProof/>
        </w:rPr>
        <w:drawing>
          <wp:inline distT="0" distB="0" distL="0" distR="0" wp14:anchorId="01B968D3" wp14:editId="40F71BED">
            <wp:extent cx="1889427" cy="3199835"/>
            <wp:effectExtent l="0" t="0" r="0" b="635"/>
            <wp:docPr id="70" name="Obrázek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1919500" cy="3250765"/>
                    </a:xfrm>
                    <a:prstGeom prst="rect">
                      <a:avLst/>
                    </a:prstGeom>
                  </pic:spPr>
                </pic:pic>
              </a:graphicData>
            </a:graphic>
          </wp:inline>
        </w:drawing>
      </w:r>
      <w:r w:rsidR="00AA3D56" w:rsidRPr="006B3F59">
        <w:rPr>
          <w:rFonts w:eastAsiaTheme="minorHAnsi"/>
          <w:noProof/>
        </w:rPr>
        <w:drawing>
          <wp:inline distT="0" distB="0" distL="0" distR="0" wp14:anchorId="2279E50B" wp14:editId="395497A9">
            <wp:extent cx="1783045" cy="3165932"/>
            <wp:effectExtent l="0" t="0" r="8255" b="0"/>
            <wp:docPr id="71" name="Obrázek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1815209" cy="3223041"/>
                    </a:xfrm>
                    <a:prstGeom prst="rect">
                      <a:avLst/>
                    </a:prstGeom>
                  </pic:spPr>
                </pic:pic>
              </a:graphicData>
            </a:graphic>
          </wp:inline>
        </w:drawing>
      </w:r>
      <w:r w:rsidR="00AA3D56" w:rsidRPr="006B3F59">
        <w:rPr>
          <w:rFonts w:eastAsiaTheme="minorHAnsi"/>
          <w:noProof/>
        </w:rPr>
        <w:drawing>
          <wp:inline distT="0" distB="0" distL="0" distR="0" wp14:anchorId="40C4B839" wp14:editId="7BFA3FAA">
            <wp:extent cx="1890889" cy="1583220"/>
            <wp:effectExtent l="0" t="0" r="0" b="0"/>
            <wp:docPr id="72" name="Obrázek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1902992" cy="1593354"/>
                    </a:xfrm>
                    <a:prstGeom prst="rect">
                      <a:avLst/>
                    </a:prstGeom>
                  </pic:spPr>
                </pic:pic>
              </a:graphicData>
            </a:graphic>
          </wp:inline>
        </w:drawing>
      </w:r>
    </w:p>
    <w:p w14:paraId="0A7F86D7" w14:textId="4DE9EE73" w:rsidR="00455E26" w:rsidRPr="006B3F59" w:rsidRDefault="00455E26" w:rsidP="00AA3D56">
      <w:pPr>
        <w:pStyle w:val="Styl4"/>
        <w:rPr>
          <w:rFonts w:eastAsiaTheme="minorHAnsi"/>
        </w:rPr>
      </w:pPr>
      <w:r w:rsidRPr="006B3F59">
        <w:rPr>
          <w:rFonts w:eastAsiaTheme="minorHAnsi"/>
        </w:rPr>
        <w:t>Vegetační mapa řešeného území, zdroj: Atlas ŽP, IPR, cit. 6.4.2023</w:t>
      </w:r>
    </w:p>
    <w:p w14:paraId="31C83095" w14:textId="257AED65" w:rsidR="004E0975" w:rsidRPr="006B3F59" w:rsidRDefault="004E0975" w:rsidP="00492791">
      <w:pPr>
        <w:pStyle w:val="Podnadpis1"/>
      </w:pPr>
      <w:r w:rsidRPr="006B3F59">
        <w:lastRenderedPageBreak/>
        <w:t>Migrační prostupnost</w:t>
      </w:r>
    </w:p>
    <w:p w14:paraId="1A7373A3" w14:textId="4A5426BD" w:rsidR="004E0975" w:rsidRPr="006B3F59" w:rsidRDefault="004E0975" w:rsidP="004E0975">
      <w:r w:rsidRPr="006B3F59">
        <w:t>Ve smyslu koncepce ochrany konektivity krajiny pro velké savce (</w:t>
      </w:r>
      <w:proofErr w:type="spellStart"/>
      <w:r w:rsidRPr="006B3F59">
        <w:t>Evernia</w:t>
      </w:r>
      <w:proofErr w:type="spellEnd"/>
      <w:r w:rsidRPr="006B3F59">
        <w:t xml:space="preserve"> </w:t>
      </w:r>
      <w:proofErr w:type="spellStart"/>
      <w:r w:rsidRPr="006B3F59">
        <w:t>s.r.o</w:t>
      </w:r>
      <w:proofErr w:type="spellEnd"/>
      <w:r w:rsidRPr="006B3F59">
        <w:t>, 2010 Ochrana průchodnosti krajiny pro velké savce) leží zájmové území zcela mimo migračně významná území, v území s omezenou migrační průchodností, neprochází zde žádné dálkové migrační koridory. Vedle dálkových migračních koridorů pro velké savce je důležité věnovat pozornost i známým kolizním místům pro střední a malé živočichy. Dle mapového portálu Agentury ochrany přírody není v blízkém ani vzdáleném okolí evidováno žádné rizikové kolizní místo pro vydru říční, obojživelníky a plaz</w:t>
      </w:r>
      <w:r w:rsidR="008F0E60" w:rsidRPr="006B3F59">
        <w:t>y</w:t>
      </w:r>
      <w:r w:rsidRPr="006B3F59">
        <w:t>. Ani terénními průzkumy nebyly v území zjištěny žádné druhy s migračními cestami.</w:t>
      </w:r>
    </w:p>
    <w:p w14:paraId="60F7256C" w14:textId="4C0B7B3D" w:rsidR="004E0975" w:rsidRPr="006B3F59" w:rsidRDefault="004E0975" w:rsidP="004E0975">
      <w:pPr>
        <w:pStyle w:val="Podnadpis1"/>
      </w:pPr>
      <w:r w:rsidRPr="006B3F59">
        <w:t>Ekosystémy</w:t>
      </w:r>
    </w:p>
    <w:p w14:paraId="282F1A95" w14:textId="1FA767D0" w:rsidR="004E0975" w:rsidRPr="006B3F59" w:rsidRDefault="004E0975" w:rsidP="004E0975">
      <w:pPr>
        <w:rPr>
          <w:lang w:eastAsia="cs-CZ"/>
        </w:rPr>
      </w:pPr>
      <w:r w:rsidRPr="006B3F59">
        <w:t xml:space="preserve">Prvky a složky přírodní povahy jsou výhradně podřízeny letité činnosti člověka. Již v prehistorické době bylo území odlesněno a dodnes je jen málo lesnaté. Přirozené teplomilné doubravy se v území vyskytují jen výjimečně </w:t>
      </w:r>
      <w:r w:rsidR="008F0E60" w:rsidRPr="006B3F59">
        <w:t>a mimo území řešené změnou</w:t>
      </w:r>
      <w:r w:rsidR="001C7EF8">
        <w:t>.</w:t>
      </w:r>
      <w:r w:rsidR="008F0E60" w:rsidRPr="006B3F59">
        <w:t xml:space="preserve"> </w:t>
      </w:r>
      <w:r w:rsidR="001C7EF8">
        <w:t>V</w:t>
      </w:r>
      <w:r w:rsidRPr="006B3F59">
        <w:t xml:space="preserve">ětšinu málo zastoupených </w:t>
      </w:r>
      <w:r w:rsidR="008F0E60" w:rsidRPr="006B3F59">
        <w:t>ne</w:t>
      </w:r>
      <w:r w:rsidRPr="006B3F59">
        <w:t xml:space="preserve">lesních kultur tvoří nepůvodní porosty </w:t>
      </w:r>
      <w:r w:rsidR="00867AFE" w:rsidRPr="006B3F59">
        <w:t>náletových dřevin s hlohem a pajasanem žláznatým</w:t>
      </w:r>
      <w:r w:rsidRPr="006B3F59">
        <w:t>. Trvalé travní porosty jsou zastoupeny jen sporadicky</w:t>
      </w:r>
      <w:r w:rsidR="008F0E60" w:rsidRPr="006B3F59">
        <w:t>,</w:t>
      </w:r>
      <w:r w:rsidRPr="006B3F59">
        <w:t xml:space="preserve"> a to především</w:t>
      </w:r>
      <w:r w:rsidR="00867AFE" w:rsidRPr="006B3F59">
        <w:t xml:space="preserve"> v obnoveném jabloňovém sadu severně od Podbabských skal s významným zastoupením nitrofilních druhů a</w:t>
      </w:r>
      <w:r w:rsidRPr="006B3F59">
        <w:t xml:space="preserve"> </w:t>
      </w:r>
      <w:r w:rsidR="00867AFE" w:rsidRPr="006B3F59">
        <w:t xml:space="preserve">dále </w:t>
      </w:r>
      <w:r w:rsidRPr="006B3F59">
        <w:t>na strmějších svazích s charakterem skalních stepí</w:t>
      </w:r>
      <w:r w:rsidR="008F0E60" w:rsidRPr="006B3F59">
        <w:t xml:space="preserve"> v </w:t>
      </w:r>
      <w:r w:rsidR="00544D81" w:rsidRPr="006B3F59">
        <w:t>navazujícím</w:t>
      </w:r>
      <w:r w:rsidR="008F0E60" w:rsidRPr="006B3F59">
        <w:t xml:space="preserve"> území</w:t>
      </w:r>
      <w:r w:rsidR="001C7EF8">
        <w:t>.</w:t>
      </w:r>
      <w:r w:rsidRPr="006B3F59">
        <w:t xml:space="preserve"> </w:t>
      </w:r>
      <w:r w:rsidR="001C7EF8">
        <w:t>T</w:t>
      </w:r>
      <w:r w:rsidRPr="006B3F59">
        <w:t xml:space="preserve">ato společenstva hostí vzácnou </w:t>
      </w:r>
      <w:r w:rsidR="00544D81" w:rsidRPr="006B3F59">
        <w:t xml:space="preserve">xerotermní </w:t>
      </w:r>
      <w:r w:rsidRPr="006B3F59">
        <w:t xml:space="preserve">květenu. </w:t>
      </w:r>
      <w:r w:rsidR="008F0E60" w:rsidRPr="006B3F59">
        <w:t>T</w:t>
      </w:r>
      <w:r w:rsidRPr="006B3F59">
        <w:t xml:space="preserve">ato stanoviště </w:t>
      </w:r>
      <w:r w:rsidR="008F0E60" w:rsidRPr="006B3F59">
        <w:t xml:space="preserve">jsou chráněna dle zákona č. 114/192 Sb., o ochraně přírody a krajiny, a jsou </w:t>
      </w:r>
      <w:r w:rsidRPr="006B3F59">
        <w:t>vyhlášena za zvláště chráněná území</w:t>
      </w:r>
      <w:r w:rsidR="008F0E60" w:rsidRPr="006B3F59">
        <w:t xml:space="preserve"> (PP Podbabské skály)</w:t>
      </w:r>
      <w:r w:rsidR="001C7EF8">
        <w:t>.</w:t>
      </w:r>
      <w:r w:rsidR="008F0E60" w:rsidRPr="006B3F59">
        <w:t xml:space="preserve"> </w:t>
      </w:r>
      <w:r w:rsidR="001C7EF8">
        <w:t>Z</w:t>
      </w:r>
      <w:r w:rsidR="008F0E60" w:rsidRPr="006B3F59">
        <w:t>ároveň jsou chráněna jako předměty ochrany EVL Kaňon Vltavy u Sedlce</w:t>
      </w:r>
      <w:r w:rsidR="001C7EF8">
        <w:t>.</w:t>
      </w:r>
      <w:r w:rsidR="008F0E60" w:rsidRPr="006B3F59">
        <w:t xml:space="preserve"> </w:t>
      </w:r>
      <w:r w:rsidR="001C7EF8">
        <w:t xml:space="preserve">Tato stanoviště </w:t>
      </w:r>
      <w:r w:rsidR="008F0E60" w:rsidRPr="006B3F59">
        <w:t>nebudou přímo dotčena řešením posuzované změny územního plánu</w:t>
      </w:r>
      <w:r w:rsidRPr="006B3F59">
        <w:t xml:space="preserve">. </w:t>
      </w:r>
      <w:r w:rsidR="008F0E60" w:rsidRPr="006B3F59">
        <w:t>Druhotná m</w:t>
      </w:r>
      <w:r w:rsidRPr="006B3F59">
        <w:t>imolesní vzrostlá zeleň lemuje především liniové kulturní prvky krajiny, často technicky upravené vodoteče, vytváří rozvolněné až zapojené porosty strání, dotváří obrazy sídel v krajině. Důležité jsou úzké travnaté pásy podél orné půdy</w:t>
      </w:r>
      <w:r w:rsidR="008F0E60" w:rsidRPr="006B3F59">
        <w:t xml:space="preserve"> a komunikací</w:t>
      </w:r>
      <w:r w:rsidRPr="006B3F59">
        <w:t>. Na okrajích sídel jsou místy dochovány sady</w:t>
      </w:r>
      <w:r w:rsidR="00544D81" w:rsidRPr="006B3F59">
        <w:t>. V intravilánu se jedná o umělé výsadby okrasných druhů stromů a keřů, místy doplněné ovocnými stromy, a to zejména podél komunikací a v zahradách a veřejných prostranstvích.</w:t>
      </w:r>
    </w:p>
    <w:p w14:paraId="59356DF9" w14:textId="6B79914D" w:rsidR="00603353" w:rsidRPr="006B3F59" w:rsidRDefault="00603353" w:rsidP="00492791">
      <w:pPr>
        <w:pStyle w:val="Podnadpis1"/>
      </w:pPr>
      <w:r w:rsidRPr="006B3F59">
        <w:t>Ochrana přírody</w:t>
      </w:r>
    </w:p>
    <w:p w14:paraId="3D1036C2" w14:textId="744647A3" w:rsidR="00603353" w:rsidRPr="006B3F59" w:rsidRDefault="00F10E8D" w:rsidP="00603353">
      <w:r w:rsidRPr="006B3F59">
        <w:t>Území</w:t>
      </w:r>
      <w:r w:rsidR="00FD316F" w:rsidRPr="006B3F59">
        <w:t xml:space="preserve"> </w:t>
      </w:r>
      <w:r w:rsidRPr="006B3F59">
        <w:t xml:space="preserve">řešené změnou Z 3827/00 </w:t>
      </w:r>
      <w:r w:rsidR="00FD316F" w:rsidRPr="006B3F59">
        <w:t>Nový Sedlec se</w:t>
      </w:r>
      <w:r w:rsidRPr="006B3F59">
        <w:t xml:space="preserve"> dotýká přírodní památky </w:t>
      </w:r>
      <w:r w:rsidR="00FD316F" w:rsidRPr="006B3F59">
        <w:t>Podbabské skály, včetně jejího ochranného pásma</w:t>
      </w:r>
      <w:r w:rsidR="00862241">
        <w:t>. Přírodní památka</w:t>
      </w:r>
      <w:r w:rsidR="00FD316F" w:rsidRPr="006B3F59">
        <w:t xml:space="preserve"> spolu s částí ploch evropsky významné lokality (Natura 2000) – Kaňon Vltavy u Sedlce – tvoří jižní skalnatý okraj řešeného území. </w:t>
      </w:r>
      <w:r w:rsidRPr="006B3F59">
        <w:t>Změna</w:t>
      </w:r>
      <w:r w:rsidR="00FD316F" w:rsidRPr="006B3F59">
        <w:t xml:space="preserve"> se snaží v maximální možné míře oddálit obytnou zástavbu od hrany Podbabských skal. </w:t>
      </w:r>
      <w:r w:rsidR="008F0E60" w:rsidRPr="006B3F59">
        <w:t>Cílem</w:t>
      </w:r>
      <w:r w:rsidR="00FD316F" w:rsidRPr="006B3F59">
        <w:t xml:space="preserve"> je zároveň směřovat atraktivní rekreační plochy i na jiná místa území, a tím snížit počet návštěvníků těchto chráněných oblastí. V těsném kontaktu s řešeným územím Nového Sedlce </w:t>
      </w:r>
      <w:r w:rsidR="008F0E60" w:rsidRPr="006B3F59">
        <w:t>se nachází</w:t>
      </w:r>
      <w:r w:rsidR="00FD316F" w:rsidRPr="006B3F59">
        <w:t xml:space="preserve"> Přírodní park Šárka – Lysolaje, který navazuje na jižní až jihozápadní hranu úze</w:t>
      </w:r>
      <w:r w:rsidRPr="006B3F59">
        <w:t>m</w:t>
      </w:r>
      <w:r w:rsidR="00FD316F" w:rsidRPr="006B3F59">
        <w:t>í</w:t>
      </w:r>
      <w:r w:rsidRPr="006B3F59">
        <w:t xml:space="preserve">. </w:t>
      </w:r>
      <w:r w:rsidR="00603353" w:rsidRPr="006B3F59">
        <w:t xml:space="preserve">V území dotčeném </w:t>
      </w:r>
      <w:r w:rsidR="000C5ED8" w:rsidRPr="006B3F59">
        <w:t>posuzovanou změnou územního plánu</w:t>
      </w:r>
      <w:r w:rsidR="00652419" w:rsidRPr="006B3F59">
        <w:t xml:space="preserve"> </w:t>
      </w:r>
      <w:r w:rsidR="00603353" w:rsidRPr="006B3F59">
        <w:t xml:space="preserve">ani v nejbližším okolí se nenachází žádný registrovaný významný krajinný prvek (dále jen VKP) </w:t>
      </w:r>
      <w:r w:rsidR="00747852" w:rsidRPr="006B3F59">
        <w:t>ani p</w:t>
      </w:r>
      <w:r w:rsidR="00603353" w:rsidRPr="006B3F59">
        <w:t xml:space="preserve">amátné stromy. </w:t>
      </w:r>
    </w:p>
    <w:p w14:paraId="3BEA4A55" w14:textId="1D041281" w:rsidR="00F10E8D" w:rsidRPr="005450BF" w:rsidRDefault="00F10E8D" w:rsidP="005E5602">
      <w:pPr>
        <w:rPr>
          <w:u w:val="single"/>
        </w:rPr>
      </w:pPr>
      <w:r w:rsidRPr="005450BF">
        <w:rPr>
          <w:u w:val="single"/>
        </w:rPr>
        <w:t>Přírodní památka Podbabské skály</w:t>
      </w:r>
    </w:p>
    <w:p w14:paraId="041751BA" w14:textId="0C9CCA50" w:rsidR="00F10E8D" w:rsidRPr="006B3F59" w:rsidRDefault="00F10E8D" w:rsidP="00F10E8D">
      <w:r w:rsidRPr="006B3F59">
        <w:t xml:space="preserve">Jedná se o strmé skalní útvary ležící nad železniční tratí. V horních partiích na sprašových půdách roste teplomilná převážně bylinná vegetace a nižší keře. Na území se vyskytují vzácné druhy bezobratlých. </w:t>
      </w:r>
      <w:r w:rsidR="00D1123D">
        <w:t>Jedná se o v</w:t>
      </w:r>
      <w:r w:rsidR="003C0CE6" w:rsidRPr="006B3F59">
        <w:t>ýchozy proterozoických hornin na levém břehu kaňonovitého údolí Vltavy, významná společenstva skal a skalní stepi s výskytem chráněných a ohrožených druhů.</w:t>
      </w:r>
    </w:p>
    <w:p w14:paraId="2CC77F1B" w14:textId="77777777" w:rsidR="00F10E8D" w:rsidRPr="006B3F59" w:rsidRDefault="00F10E8D" w:rsidP="00F10E8D">
      <w:r w:rsidRPr="006B3F59">
        <w:t>Důvodem pro vyhlášení přírodní památky byla ochrana rostlinných společenstev skal, skalních a hlinitých stepí s výskytem chráněných a ohrožených druhů rostlin a živočichů.</w:t>
      </w:r>
    </w:p>
    <w:p w14:paraId="614EEEAC" w14:textId="760A1A41" w:rsidR="00F10E8D" w:rsidRPr="006B3F59" w:rsidRDefault="00F10E8D" w:rsidP="00F10E8D">
      <w:r w:rsidRPr="006B3F59">
        <w:t xml:space="preserve">Na území přírodní památky rostou mnohé vzácné druhy rostlin: česnek chlumní, rozchodník bílý, trýzel škardolistý, kostřava </w:t>
      </w:r>
      <w:proofErr w:type="spellStart"/>
      <w:r w:rsidRPr="006B3F59">
        <w:t>walliská</w:t>
      </w:r>
      <w:proofErr w:type="spellEnd"/>
      <w:r w:rsidRPr="006B3F59">
        <w:t>, pryšec sivý, kavyl Ivanův, křivatec český, tařice skalní a rozrazil ladní.</w:t>
      </w:r>
    </w:p>
    <w:p w14:paraId="006AB59F" w14:textId="24F35C37" w:rsidR="00F10E8D" w:rsidRPr="006B3F59" w:rsidRDefault="00F10E8D" w:rsidP="00F10E8D">
      <w:r w:rsidRPr="006B3F59">
        <w:t>Území PP je útočištěm pro mnoho stepních druhů hmyzu, významný je například výskyt otakárka ovocného. Z obratlovců se zde vyskytuje ještěrka obecná a slepýš křehký.</w:t>
      </w:r>
    </w:p>
    <w:p w14:paraId="1F916F73" w14:textId="2F3654D2" w:rsidR="00EA29AC" w:rsidRPr="006B3F59" w:rsidRDefault="00EA29AC" w:rsidP="00F10E8D">
      <w:r w:rsidRPr="006B3F59">
        <w:t>Plochy navržené územním plánem ke změně využití nezasahují do území PP Podbabské skály. Změna vymezuje v kontaktním území směrem k PP Podbabské skály nárazníkové pásmo v podobě ploch ZMK a PS. Změna se snaží v maximální možné míře oddálit obytnou zástavbu od hrany Podbabských skal.</w:t>
      </w:r>
    </w:p>
    <w:p w14:paraId="72318097" w14:textId="701F23D4" w:rsidR="00651150" w:rsidRPr="006B3F59" w:rsidRDefault="00651150" w:rsidP="00F10E8D">
      <w:r w:rsidRPr="006B3F59">
        <w:rPr>
          <w:noProof/>
        </w:rPr>
        <w:lastRenderedPageBreak/>
        <w:drawing>
          <wp:inline distT="0" distB="0" distL="0" distR="0" wp14:anchorId="75AE6955" wp14:editId="3F0BE2AE">
            <wp:extent cx="4381964" cy="2931160"/>
            <wp:effectExtent l="0" t="0" r="0" b="254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4388791" cy="2935726"/>
                    </a:xfrm>
                    <a:prstGeom prst="rect">
                      <a:avLst/>
                    </a:prstGeom>
                  </pic:spPr>
                </pic:pic>
              </a:graphicData>
            </a:graphic>
          </wp:inline>
        </w:drawing>
      </w:r>
    </w:p>
    <w:p w14:paraId="5E45FFC1" w14:textId="66B999A4" w:rsidR="00651150" w:rsidRPr="006B3F59" w:rsidRDefault="00651150" w:rsidP="00651150">
      <w:pPr>
        <w:pStyle w:val="Obrnadpis"/>
      </w:pPr>
      <w:bookmarkStart w:id="88" w:name="_Toc138848197"/>
      <w:r w:rsidRPr="006B3F59">
        <w:t>PP Podbabské skály</w:t>
      </w:r>
      <w:bookmarkEnd w:id="88"/>
    </w:p>
    <w:p w14:paraId="6EAB024D" w14:textId="22E1D933" w:rsidR="00F10E8D" w:rsidRPr="006B3F59" w:rsidRDefault="00F10E8D" w:rsidP="00603353">
      <w:pPr>
        <w:rPr>
          <w:u w:val="single"/>
        </w:rPr>
      </w:pPr>
      <w:r w:rsidRPr="006B3F59">
        <w:rPr>
          <w:u w:val="single"/>
        </w:rPr>
        <w:t>Přírodní památka Baba</w:t>
      </w:r>
    </w:p>
    <w:p w14:paraId="67EE28DC" w14:textId="39775C37" w:rsidR="003C0CE6" w:rsidRPr="006B3F59" w:rsidRDefault="008E78F6" w:rsidP="003C0CE6">
      <w:r>
        <w:t>Přírodní památka</w:t>
      </w:r>
      <w:r w:rsidRPr="006B3F59">
        <w:t xml:space="preserve"> </w:t>
      </w:r>
      <w:r w:rsidR="003C0CE6" w:rsidRPr="006B3F59">
        <w:t>je pěknou ukázkou skalního defilé zaříznutého vltavského údolí, které je tvořeno břidlicemi a drobami uskupenými v členitý terén s roklemi a skalními zářezy. V půdním profilu méně ukloněných, především vrcholových partií převládají štěrkopísky vltavských teras a také vápnité spraše, na kterých se vyvinula cenná xerotermní vegetace, která je jedním z hlavních předmětů ochrany.</w:t>
      </w:r>
    </w:p>
    <w:p w14:paraId="6CE474D9" w14:textId="5245CEF0" w:rsidR="003C0CE6" w:rsidRPr="006B3F59" w:rsidRDefault="003C0CE6" w:rsidP="003C0CE6">
      <w:r w:rsidRPr="006B3F59">
        <w:t xml:space="preserve">Okrajové části </w:t>
      </w:r>
      <w:r w:rsidR="008E78F6">
        <w:t>památky</w:t>
      </w:r>
      <w:r w:rsidR="008E78F6" w:rsidRPr="006B3F59">
        <w:t xml:space="preserve"> </w:t>
      </w:r>
      <w:r w:rsidRPr="006B3F59">
        <w:t>jsou značně antropicky ovlivněné, převládají zapojené křoviny až drobné lesíky, ve kterých je častý trnovník akát (</w:t>
      </w:r>
      <w:proofErr w:type="spellStart"/>
      <w:r w:rsidRPr="006B3F59">
        <w:rPr>
          <w:i/>
          <w:iCs/>
        </w:rPr>
        <w:t>Robinia</w:t>
      </w:r>
      <w:proofErr w:type="spellEnd"/>
      <w:r w:rsidRPr="006B3F59">
        <w:rPr>
          <w:i/>
          <w:iCs/>
        </w:rPr>
        <w:t xml:space="preserve"> </w:t>
      </w:r>
      <w:proofErr w:type="spellStart"/>
      <w:r w:rsidRPr="006B3F59">
        <w:rPr>
          <w:i/>
          <w:iCs/>
        </w:rPr>
        <w:t>pseudoacacia</w:t>
      </w:r>
      <w:proofErr w:type="spellEnd"/>
      <w:r w:rsidRPr="006B3F59">
        <w:t>), pámelník bílý (</w:t>
      </w:r>
      <w:proofErr w:type="spellStart"/>
      <w:r w:rsidRPr="006B3F59">
        <w:rPr>
          <w:i/>
          <w:iCs/>
        </w:rPr>
        <w:t>Symphoricarpos</w:t>
      </w:r>
      <w:proofErr w:type="spellEnd"/>
      <w:r w:rsidRPr="006B3F59">
        <w:rPr>
          <w:i/>
          <w:iCs/>
        </w:rPr>
        <w:t xml:space="preserve"> </w:t>
      </w:r>
      <w:proofErr w:type="spellStart"/>
      <w:r w:rsidRPr="006B3F59">
        <w:rPr>
          <w:i/>
          <w:iCs/>
        </w:rPr>
        <w:t>albus</w:t>
      </w:r>
      <w:proofErr w:type="spellEnd"/>
      <w:r w:rsidRPr="006B3F59">
        <w:t>), slivoň trnka (</w:t>
      </w:r>
      <w:proofErr w:type="spellStart"/>
      <w:r w:rsidRPr="006B3F59">
        <w:rPr>
          <w:i/>
          <w:iCs/>
        </w:rPr>
        <w:t>Prunus</w:t>
      </w:r>
      <w:proofErr w:type="spellEnd"/>
      <w:r w:rsidRPr="006B3F59">
        <w:rPr>
          <w:i/>
          <w:iCs/>
        </w:rPr>
        <w:t xml:space="preserve"> </w:t>
      </w:r>
      <w:proofErr w:type="spellStart"/>
      <w:r w:rsidRPr="006B3F59">
        <w:rPr>
          <w:i/>
          <w:iCs/>
        </w:rPr>
        <w:t>spinosa</w:t>
      </w:r>
      <w:proofErr w:type="spellEnd"/>
      <w:r w:rsidRPr="006B3F59">
        <w:t>), kopřiva dvoudomá (</w:t>
      </w:r>
      <w:proofErr w:type="spellStart"/>
      <w:r w:rsidRPr="006B3F59">
        <w:rPr>
          <w:i/>
          <w:iCs/>
        </w:rPr>
        <w:t>Urtica</w:t>
      </w:r>
      <w:proofErr w:type="spellEnd"/>
      <w:r w:rsidRPr="006B3F59">
        <w:rPr>
          <w:i/>
          <w:iCs/>
        </w:rPr>
        <w:t xml:space="preserve"> </w:t>
      </w:r>
      <w:proofErr w:type="spellStart"/>
      <w:r w:rsidRPr="006B3F59">
        <w:rPr>
          <w:i/>
          <w:iCs/>
        </w:rPr>
        <w:t>dioica</w:t>
      </w:r>
      <w:proofErr w:type="spellEnd"/>
      <w:r w:rsidRPr="006B3F59">
        <w:t>), vlaštovičník větší (</w:t>
      </w:r>
      <w:proofErr w:type="spellStart"/>
      <w:r w:rsidRPr="006B3F59">
        <w:rPr>
          <w:i/>
          <w:iCs/>
        </w:rPr>
        <w:t>Chelidonium</w:t>
      </w:r>
      <w:proofErr w:type="spellEnd"/>
      <w:r w:rsidRPr="006B3F59">
        <w:rPr>
          <w:i/>
          <w:iCs/>
        </w:rPr>
        <w:t xml:space="preserve"> </w:t>
      </w:r>
      <w:proofErr w:type="spellStart"/>
      <w:r w:rsidRPr="006B3F59">
        <w:rPr>
          <w:i/>
          <w:iCs/>
        </w:rPr>
        <w:t>majus</w:t>
      </w:r>
      <w:proofErr w:type="spellEnd"/>
      <w:r w:rsidRPr="006B3F59">
        <w:t>)</w:t>
      </w:r>
      <w:r w:rsidR="001D6F89">
        <w:t>.</w:t>
      </w:r>
      <w:r w:rsidRPr="006B3F59">
        <w:t xml:space="preserve"> </w:t>
      </w:r>
      <w:r w:rsidR="001D6F89">
        <w:t>M</w:t>
      </w:r>
      <w:r w:rsidRPr="006B3F59">
        <w:t>ísty lze spatřit teplomilné, na živiny bohaté půdy vázané kerblíky – k. třebuli (</w:t>
      </w:r>
      <w:proofErr w:type="spellStart"/>
      <w:r w:rsidRPr="006B3F59">
        <w:rPr>
          <w:i/>
          <w:iCs/>
        </w:rPr>
        <w:t>Anthriscus</w:t>
      </w:r>
      <w:proofErr w:type="spellEnd"/>
      <w:r w:rsidRPr="006B3F59">
        <w:rPr>
          <w:i/>
          <w:iCs/>
        </w:rPr>
        <w:t xml:space="preserve"> </w:t>
      </w:r>
      <w:proofErr w:type="spellStart"/>
      <w:r w:rsidRPr="006B3F59">
        <w:rPr>
          <w:i/>
          <w:iCs/>
        </w:rPr>
        <w:t>cereifolium</w:t>
      </w:r>
      <w:proofErr w:type="spellEnd"/>
      <w:r w:rsidRPr="006B3F59">
        <w:t>) a k. obecný (A</w:t>
      </w:r>
      <w:r w:rsidRPr="006B3F59">
        <w:rPr>
          <w:i/>
          <w:iCs/>
        </w:rPr>
        <w:t xml:space="preserve">. </w:t>
      </w:r>
      <w:proofErr w:type="spellStart"/>
      <w:r w:rsidRPr="006B3F59">
        <w:rPr>
          <w:i/>
          <w:iCs/>
        </w:rPr>
        <w:t>caucalis</w:t>
      </w:r>
      <w:proofErr w:type="spellEnd"/>
      <w:r w:rsidRPr="006B3F59">
        <w:rPr>
          <w:i/>
          <w:iCs/>
        </w:rPr>
        <w:t>)</w:t>
      </w:r>
      <w:r w:rsidRPr="006B3F59">
        <w:t>. Z původních dřevin stojí za zmínku například výskyt mahalebky obecné (</w:t>
      </w:r>
      <w:proofErr w:type="spellStart"/>
      <w:r w:rsidRPr="006B3F59">
        <w:t>Prunus</w:t>
      </w:r>
      <w:proofErr w:type="spellEnd"/>
      <w:r w:rsidRPr="006B3F59">
        <w:t xml:space="preserve"> </w:t>
      </w:r>
      <w:proofErr w:type="spellStart"/>
      <w:r w:rsidRPr="006B3F59">
        <w:t>mahaleb</w:t>
      </w:r>
      <w:proofErr w:type="spellEnd"/>
      <w:r w:rsidRPr="006B3F59">
        <w:t>), skalníku celokrajného (</w:t>
      </w:r>
      <w:proofErr w:type="spellStart"/>
      <w:r w:rsidRPr="006B3F59">
        <w:t>Cotoneaster</w:t>
      </w:r>
      <w:proofErr w:type="spellEnd"/>
      <w:r w:rsidRPr="006B3F59">
        <w:t xml:space="preserve"> </w:t>
      </w:r>
      <w:proofErr w:type="spellStart"/>
      <w:r w:rsidRPr="006B3F59">
        <w:t>integerrimus</w:t>
      </w:r>
      <w:proofErr w:type="spellEnd"/>
      <w:r w:rsidRPr="006B3F59">
        <w:t>), řešetláku počistivého (</w:t>
      </w:r>
      <w:proofErr w:type="spellStart"/>
      <w:r w:rsidRPr="006B3F59">
        <w:rPr>
          <w:i/>
          <w:iCs/>
        </w:rPr>
        <w:t>Rhamnus</w:t>
      </w:r>
      <w:proofErr w:type="spellEnd"/>
      <w:r w:rsidRPr="006B3F59">
        <w:rPr>
          <w:i/>
          <w:iCs/>
        </w:rPr>
        <w:t xml:space="preserve"> </w:t>
      </w:r>
      <w:proofErr w:type="spellStart"/>
      <w:r w:rsidRPr="006B3F59">
        <w:rPr>
          <w:i/>
          <w:iCs/>
        </w:rPr>
        <w:t>cathartica</w:t>
      </w:r>
      <w:proofErr w:type="spellEnd"/>
      <w:r w:rsidRPr="006B3F59">
        <w:t>), jilmu habrolistého (</w:t>
      </w:r>
      <w:proofErr w:type="spellStart"/>
      <w:r w:rsidRPr="006B3F59">
        <w:rPr>
          <w:i/>
          <w:iCs/>
        </w:rPr>
        <w:t>Ulmus</w:t>
      </w:r>
      <w:proofErr w:type="spellEnd"/>
      <w:r w:rsidRPr="006B3F59">
        <w:rPr>
          <w:i/>
          <w:iCs/>
        </w:rPr>
        <w:t xml:space="preserve"> minor)</w:t>
      </w:r>
      <w:r w:rsidRPr="006B3F59">
        <w:t xml:space="preserve"> nebo vzácného jeřábu dunajského (</w:t>
      </w:r>
      <w:proofErr w:type="spellStart"/>
      <w:r w:rsidRPr="006B3F59">
        <w:rPr>
          <w:i/>
          <w:iCs/>
        </w:rPr>
        <w:t>Sorbus</w:t>
      </w:r>
      <w:proofErr w:type="spellEnd"/>
      <w:r w:rsidRPr="006B3F59">
        <w:rPr>
          <w:i/>
          <w:iCs/>
        </w:rPr>
        <w:t xml:space="preserve"> </w:t>
      </w:r>
      <w:proofErr w:type="spellStart"/>
      <w:r w:rsidRPr="006B3F59">
        <w:rPr>
          <w:i/>
          <w:iCs/>
        </w:rPr>
        <w:t>danubialis</w:t>
      </w:r>
      <w:proofErr w:type="spellEnd"/>
      <w:r w:rsidRPr="006B3F59">
        <w:t>). Xerotermní bylinná společenstva jsou budována především travami rodu kostřava – kostřavou sivou (</w:t>
      </w:r>
      <w:r w:rsidRPr="005450BF">
        <w:rPr>
          <w:i/>
          <w:iCs/>
        </w:rPr>
        <w:t xml:space="preserve">Festuca </w:t>
      </w:r>
      <w:proofErr w:type="spellStart"/>
      <w:r w:rsidRPr="005450BF">
        <w:rPr>
          <w:i/>
          <w:iCs/>
        </w:rPr>
        <w:t>pallens</w:t>
      </w:r>
      <w:proofErr w:type="spellEnd"/>
      <w:r w:rsidRPr="006B3F59">
        <w:t xml:space="preserve">), k. </w:t>
      </w:r>
      <w:proofErr w:type="spellStart"/>
      <w:r w:rsidRPr="006B3F59">
        <w:t>walliskou</w:t>
      </w:r>
      <w:proofErr w:type="spellEnd"/>
      <w:r w:rsidRPr="006B3F59">
        <w:t xml:space="preserve"> (</w:t>
      </w:r>
      <w:r w:rsidRPr="006B3F59">
        <w:rPr>
          <w:i/>
          <w:iCs/>
        </w:rPr>
        <w:t xml:space="preserve">F. </w:t>
      </w:r>
      <w:proofErr w:type="spellStart"/>
      <w:r w:rsidRPr="006B3F59">
        <w:rPr>
          <w:i/>
          <w:iCs/>
        </w:rPr>
        <w:t>valesiaca</w:t>
      </w:r>
      <w:proofErr w:type="spellEnd"/>
      <w:r w:rsidRPr="006B3F59">
        <w:t xml:space="preserve">) a k. </w:t>
      </w:r>
      <w:proofErr w:type="spellStart"/>
      <w:r w:rsidRPr="006B3F59">
        <w:t>žlábkatou</w:t>
      </w:r>
      <w:proofErr w:type="spellEnd"/>
      <w:r w:rsidRPr="006B3F59">
        <w:t xml:space="preserve"> (</w:t>
      </w:r>
      <w:r w:rsidRPr="005450BF">
        <w:rPr>
          <w:i/>
          <w:iCs/>
        </w:rPr>
        <w:t xml:space="preserve">F. </w:t>
      </w:r>
      <w:proofErr w:type="spellStart"/>
      <w:r w:rsidRPr="005450BF">
        <w:rPr>
          <w:i/>
          <w:iCs/>
        </w:rPr>
        <w:t>rupicola</w:t>
      </w:r>
      <w:proofErr w:type="spellEnd"/>
      <w:r w:rsidRPr="006B3F59">
        <w:t>), z dalších zajímavějších travin zde roste třeba lipnice cibulkatá (</w:t>
      </w:r>
      <w:r w:rsidRPr="006B3F59">
        <w:rPr>
          <w:i/>
          <w:iCs/>
        </w:rPr>
        <w:t xml:space="preserve">Poa </w:t>
      </w:r>
      <w:proofErr w:type="spellStart"/>
      <w:r w:rsidRPr="006B3F59">
        <w:rPr>
          <w:i/>
          <w:iCs/>
        </w:rPr>
        <w:t>bulbosa</w:t>
      </w:r>
      <w:proofErr w:type="spellEnd"/>
      <w:r w:rsidRPr="006B3F59">
        <w:t xml:space="preserve">), běžná je válečka </w:t>
      </w:r>
      <w:proofErr w:type="spellStart"/>
      <w:r w:rsidRPr="006B3F59">
        <w:t>prápořitá</w:t>
      </w:r>
      <w:proofErr w:type="spellEnd"/>
      <w:r w:rsidRPr="006B3F59">
        <w:t xml:space="preserve"> (</w:t>
      </w:r>
      <w:proofErr w:type="spellStart"/>
      <w:r w:rsidRPr="006B3F59">
        <w:rPr>
          <w:i/>
          <w:iCs/>
        </w:rPr>
        <w:t>Brachypodium</w:t>
      </w:r>
      <w:proofErr w:type="spellEnd"/>
      <w:r w:rsidRPr="006B3F59">
        <w:rPr>
          <w:i/>
          <w:iCs/>
        </w:rPr>
        <w:t xml:space="preserve"> </w:t>
      </w:r>
      <w:proofErr w:type="spellStart"/>
      <w:r w:rsidRPr="006B3F59">
        <w:rPr>
          <w:i/>
          <w:iCs/>
        </w:rPr>
        <w:t>pinnatum</w:t>
      </w:r>
      <w:proofErr w:type="spellEnd"/>
      <w:r w:rsidRPr="006B3F59">
        <w:t>) a ovsík vyvýšený (</w:t>
      </w:r>
      <w:proofErr w:type="spellStart"/>
      <w:r w:rsidRPr="006B3F59">
        <w:rPr>
          <w:i/>
          <w:iCs/>
        </w:rPr>
        <w:t>Arrhenatherum</w:t>
      </w:r>
      <w:proofErr w:type="spellEnd"/>
      <w:r w:rsidRPr="006B3F59">
        <w:rPr>
          <w:i/>
          <w:iCs/>
        </w:rPr>
        <w:t xml:space="preserve"> </w:t>
      </w:r>
      <w:proofErr w:type="spellStart"/>
      <w:r w:rsidRPr="006B3F59">
        <w:rPr>
          <w:i/>
          <w:iCs/>
        </w:rPr>
        <w:t>elatius</w:t>
      </w:r>
      <w:proofErr w:type="spellEnd"/>
      <w:r w:rsidRPr="006B3F59">
        <w:t>). Na jaře na skalách nechybí tařice skalní (</w:t>
      </w:r>
      <w:proofErr w:type="spellStart"/>
      <w:r w:rsidRPr="006B3F59">
        <w:rPr>
          <w:i/>
          <w:iCs/>
        </w:rPr>
        <w:t>Aurinia</w:t>
      </w:r>
      <w:proofErr w:type="spellEnd"/>
      <w:r w:rsidRPr="006B3F59">
        <w:rPr>
          <w:i/>
          <w:iCs/>
        </w:rPr>
        <w:t xml:space="preserve"> </w:t>
      </w:r>
      <w:proofErr w:type="spellStart"/>
      <w:r w:rsidRPr="006B3F59">
        <w:rPr>
          <w:i/>
          <w:iCs/>
        </w:rPr>
        <w:t>saxatilis</w:t>
      </w:r>
      <w:proofErr w:type="spellEnd"/>
      <w:r w:rsidRPr="006B3F59">
        <w:t>), ve vrcholné části tohoto období v travinobylinných společenstvech poutá pozornost modřenec tenkolistý (</w:t>
      </w:r>
      <w:proofErr w:type="spellStart"/>
      <w:r w:rsidRPr="006B3F59">
        <w:rPr>
          <w:i/>
          <w:iCs/>
        </w:rPr>
        <w:t>Muscari</w:t>
      </w:r>
      <w:proofErr w:type="spellEnd"/>
      <w:r w:rsidRPr="006B3F59">
        <w:rPr>
          <w:i/>
          <w:iCs/>
        </w:rPr>
        <w:t xml:space="preserve"> </w:t>
      </w:r>
      <w:proofErr w:type="spellStart"/>
      <w:r w:rsidRPr="006B3F59">
        <w:rPr>
          <w:i/>
          <w:iCs/>
        </w:rPr>
        <w:t>tenuiflorum</w:t>
      </w:r>
      <w:proofErr w:type="spellEnd"/>
      <w:r w:rsidRPr="006B3F59">
        <w:t>), kokořík vonný (</w:t>
      </w:r>
      <w:proofErr w:type="spellStart"/>
      <w:r w:rsidRPr="006B3F59">
        <w:rPr>
          <w:i/>
          <w:iCs/>
        </w:rPr>
        <w:t>Polygonatum</w:t>
      </w:r>
      <w:proofErr w:type="spellEnd"/>
      <w:r w:rsidRPr="006B3F59">
        <w:rPr>
          <w:i/>
          <w:iCs/>
        </w:rPr>
        <w:t xml:space="preserve"> </w:t>
      </w:r>
      <w:proofErr w:type="spellStart"/>
      <w:r w:rsidRPr="006B3F59">
        <w:rPr>
          <w:i/>
          <w:iCs/>
        </w:rPr>
        <w:t>odoratum</w:t>
      </w:r>
      <w:proofErr w:type="spellEnd"/>
      <w:r w:rsidRPr="006B3F59">
        <w:t>), locika vytrvalá (</w:t>
      </w:r>
      <w:proofErr w:type="spellStart"/>
      <w:r w:rsidRPr="006B3F59">
        <w:rPr>
          <w:i/>
          <w:iCs/>
        </w:rPr>
        <w:t>Lactuca</w:t>
      </w:r>
      <w:proofErr w:type="spellEnd"/>
      <w:r w:rsidRPr="006B3F59">
        <w:rPr>
          <w:i/>
          <w:iCs/>
        </w:rPr>
        <w:t xml:space="preserve"> </w:t>
      </w:r>
      <w:proofErr w:type="spellStart"/>
      <w:r w:rsidRPr="006B3F59">
        <w:rPr>
          <w:i/>
          <w:iCs/>
        </w:rPr>
        <w:t>perennis</w:t>
      </w:r>
      <w:proofErr w:type="spellEnd"/>
      <w:r w:rsidRPr="006B3F59">
        <w:t>), chrpa chlumní (</w:t>
      </w:r>
      <w:proofErr w:type="spellStart"/>
      <w:r w:rsidRPr="006B3F59">
        <w:rPr>
          <w:i/>
          <w:iCs/>
        </w:rPr>
        <w:t>Centaurea</w:t>
      </w:r>
      <w:proofErr w:type="spellEnd"/>
      <w:r w:rsidRPr="006B3F59">
        <w:rPr>
          <w:i/>
          <w:iCs/>
        </w:rPr>
        <w:t xml:space="preserve"> </w:t>
      </w:r>
      <w:proofErr w:type="spellStart"/>
      <w:r w:rsidRPr="006B3F59">
        <w:rPr>
          <w:i/>
          <w:iCs/>
        </w:rPr>
        <w:t>triumfetti</w:t>
      </w:r>
      <w:proofErr w:type="spellEnd"/>
      <w:r w:rsidRPr="006B3F59">
        <w:rPr>
          <w:i/>
          <w:iCs/>
        </w:rPr>
        <w:t>)</w:t>
      </w:r>
      <w:r w:rsidRPr="006B3F59">
        <w:t>, trýzel škardolistý (</w:t>
      </w:r>
      <w:proofErr w:type="spellStart"/>
      <w:r w:rsidRPr="006B3F59">
        <w:rPr>
          <w:i/>
          <w:iCs/>
        </w:rPr>
        <w:t>Erysimum</w:t>
      </w:r>
      <w:proofErr w:type="spellEnd"/>
      <w:r w:rsidRPr="006B3F59">
        <w:rPr>
          <w:i/>
          <w:iCs/>
        </w:rPr>
        <w:t xml:space="preserve"> </w:t>
      </w:r>
      <w:proofErr w:type="spellStart"/>
      <w:r w:rsidRPr="006B3F59">
        <w:rPr>
          <w:i/>
          <w:iCs/>
        </w:rPr>
        <w:t>crepidifolium</w:t>
      </w:r>
      <w:proofErr w:type="spellEnd"/>
      <w:r w:rsidRPr="006B3F59">
        <w:t>), třemdava bílá (</w:t>
      </w:r>
      <w:proofErr w:type="spellStart"/>
      <w:r w:rsidRPr="006B3F59">
        <w:rPr>
          <w:i/>
          <w:iCs/>
        </w:rPr>
        <w:t>Dictamnus</w:t>
      </w:r>
      <w:proofErr w:type="spellEnd"/>
      <w:r w:rsidRPr="006B3F59">
        <w:rPr>
          <w:i/>
          <w:iCs/>
        </w:rPr>
        <w:t xml:space="preserve"> </w:t>
      </w:r>
      <w:proofErr w:type="spellStart"/>
      <w:r w:rsidRPr="006B3F59">
        <w:rPr>
          <w:i/>
          <w:iCs/>
        </w:rPr>
        <w:t>albus</w:t>
      </w:r>
      <w:proofErr w:type="spellEnd"/>
      <w:r w:rsidRPr="006B3F59">
        <w:t>), kakost krvavý (</w:t>
      </w:r>
      <w:proofErr w:type="spellStart"/>
      <w:r w:rsidRPr="006B3F59">
        <w:rPr>
          <w:i/>
          <w:iCs/>
        </w:rPr>
        <w:t>Geranium</w:t>
      </w:r>
      <w:proofErr w:type="spellEnd"/>
      <w:r w:rsidRPr="006B3F59">
        <w:rPr>
          <w:i/>
          <w:iCs/>
        </w:rPr>
        <w:t xml:space="preserve"> </w:t>
      </w:r>
      <w:proofErr w:type="spellStart"/>
      <w:r w:rsidRPr="006B3F59">
        <w:rPr>
          <w:i/>
          <w:iCs/>
        </w:rPr>
        <w:t>sanguineum</w:t>
      </w:r>
      <w:proofErr w:type="spellEnd"/>
      <w:r w:rsidRPr="006B3F59">
        <w:t>), violka trojbarevná skalní (</w:t>
      </w:r>
      <w:r w:rsidRPr="006B3F59">
        <w:rPr>
          <w:i/>
          <w:iCs/>
        </w:rPr>
        <w:t xml:space="preserve">Viola </w:t>
      </w:r>
      <w:proofErr w:type="spellStart"/>
      <w:r w:rsidRPr="006B3F59">
        <w:rPr>
          <w:i/>
          <w:iCs/>
        </w:rPr>
        <w:t>tricolor</w:t>
      </w:r>
      <w:proofErr w:type="spellEnd"/>
      <w:r w:rsidRPr="006B3F59">
        <w:rPr>
          <w:i/>
          <w:iCs/>
        </w:rPr>
        <w:t xml:space="preserve"> </w:t>
      </w:r>
      <w:proofErr w:type="spellStart"/>
      <w:r w:rsidRPr="006B3F59">
        <w:rPr>
          <w:i/>
          <w:iCs/>
        </w:rPr>
        <w:t>subsp</w:t>
      </w:r>
      <w:proofErr w:type="spellEnd"/>
      <w:r w:rsidRPr="006B3F59">
        <w:rPr>
          <w:i/>
          <w:iCs/>
        </w:rPr>
        <w:t xml:space="preserve">. </w:t>
      </w:r>
      <w:proofErr w:type="spellStart"/>
      <w:r w:rsidRPr="006B3F59">
        <w:rPr>
          <w:i/>
          <w:iCs/>
        </w:rPr>
        <w:t>saxatilis</w:t>
      </w:r>
      <w:proofErr w:type="spellEnd"/>
      <w:r w:rsidRPr="006B3F59">
        <w:t>), pryšec chvojka (</w:t>
      </w:r>
      <w:proofErr w:type="spellStart"/>
      <w:r w:rsidRPr="006B3F59">
        <w:rPr>
          <w:i/>
          <w:iCs/>
        </w:rPr>
        <w:t>Euphorbia</w:t>
      </w:r>
      <w:proofErr w:type="spellEnd"/>
      <w:r w:rsidRPr="006B3F59">
        <w:rPr>
          <w:i/>
          <w:iCs/>
        </w:rPr>
        <w:t xml:space="preserve"> </w:t>
      </w:r>
      <w:proofErr w:type="spellStart"/>
      <w:r w:rsidRPr="006B3F59">
        <w:rPr>
          <w:i/>
          <w:iCs/>
        </w:rPr>
        <w:t>cyparissias</w:t>
      </w:r>
      <w:proofErr w:type="spellEnd"/>
      <w:r w:rsidRPr="006B3F59">
        <w:t>) nebo docela nenápadný pochybek prodloužený (</w:t>
      </w:r>
      <w:proofErr w:type="spellStart"/>
      <w:r w:rsidRPr="006B3F59">
        <w:rPr>
          <w:i/>
          <w:iCs/>
        </w:rPr>
        <w:t>Androsace</w:t>
      </w:r>
      <w:proofErr w:type="spellEnd"/>
      <w:r w:rsidRPr="006B3F59">
        <w:rPr>
          <w:i/>
          <w:iCs/>
        </w:rPr>
        <w:t xml:space="preserve"> </w:t>
      </w:r>
      <w:proofErr w:type="spellStart"/>
      <w:r w:rsidRPr="006B3F59">
        <w:rPr>
          <w:i/>
          <w:iCs/>
        </w:rPr>
        <w:t>elongata</w:t>
      </w:r>
      <w:proofErr w:type="spellEnd"/>
      <w:r w:rsidRPr="006B3F59">
        <w:t>). Později se objevuje mochna přímá (</w:t>
      </w:r>
      <w:proofErr w:type="spellStart"/>
      <w:r w:rsidRPr="006B3F59">
        <w:rPr>
          <w:i/>
          <w:iCs/>
        </w:rPr>
        <w:t>Potentilla</w:t>
      </w:r>
      <w:proofErr w:type="spellEnd"/>
      <w:r w:rsidRPr="006B3F59">
        <w:rPr>
          <w:i/>
          <w:iCs/>
        </w:rPr>
        <w:t xml:space="preserve"> </w:t>
      </w:r>
      <w:proofErr w:type="spellStart"/>
      <w:r w:rsidRPr="006B3F59">
        <w:rPr>
          <w:i/>
          <w:iCs/>
        </w:rPr>
        <w:t>recta</w:t>
      </w:r>
      <w:proofErr w:type="spellEnd"/>
      <w:r w:rsidRPr="006B3F59">
        <w:t>), česnek šerý horský (</w:t>
      </w:r>
      <w:proofErr w:type="spellStart"/>
      <w:r w:rsidRPr="006B3F59">
        <w:rPr>
          <w:i/>
          <w:iCs/>
        </w:rPr>
        <w:t>Allium</w:t>
      </w:r>
      <w:proofErr w:type="spellEnd"/>
      <w:r w:rsidRPr="006B3F59">
        <w:rPr>
          <w:i/>
          <w:iCs/>
        </w:rPr>
        <w:t xml:space="preserve"> </w:t>
      </w:r>
      <w:proofErr w:type="spellStart"/>
      <w:r w:rsidRPr="006B3F59">
        <w:rPr>
          <w:i/>
          <w:iCs/>
        </w:rPr>
        <w:t>senescens</w:t>
      </w:r>
      <w:proofErr w:type="spellEnd"/>
      <w:r w:rsidRPr="006B3F59">
        <w:rPr>
          <w:i/>
          <w:iCs/>
        </w:rPr>
        <w:t xml:space="preserve"> </w:t>
      </w:r>
      <w:proofErr w:type="spellStart"/>
      <w:r w:rsidRPr="006B3F59">
        <w:rPr>
          <w:i/>
          <w:iCs/>
        </w:rPr>
        <w:t>subsp</w:t>
      </w:r>
      <w:proofErr w:type="spellEnd"/>
      <w:r w:rsidRPr="006B3F59">
        <w:rPr>
          <w:i/>
          <w:iCs/>
        </w:rPr>
        <w:t>. montanum</w:t>
      </w:r>
      <w:r w:rsidRPr="006B3F59">
        <w:t>), bělozářka liliovitá (</w:t>
      </w:r>
      <w:r w:rsidRPr="006B3F59">
        <w:rPr>
          <w:i/>
          <w:iCs/>
        </w:rPr>
        <w:t>Anthericum liliago</w:t>
      </w:r>
      <w:r w:rsidRPr="006B3F59">
        <w:t>), jestřábník bledý (</w:t>
      </w:r>
      <w:proofErr w:type="spellStart"/>
      <w:r w:rsidRPr="006B3F59">
        <w:rPr>
          <w:i/>
          <w:iCs/>
        </w:rPr>
        <w:t>Hieracium</w:t>
      </w:r>
      <w:proofErr w:type="spellEnd"/>
      <w:r w:rsidRPr="006B3F59">
        <w:rPr>
          <w:i/>
          <w:iCs/>
        </w:rPr>
        <w:t xml:space="preserve"> </w:t>
      </w:r>
      <w:proofErr w:type="spellStart"/>
      <w:r w:rsidRPr="006B3F59">
        <w:rPr>
          <w:i/>
          <w:iCs/>
        </w:rPr>
        <w:t>schmidtii</w:t>
      </w:r>
      <w:proofErr w:type="spellEnd"/>
      <w:r w:rsidRPr="006B3F59">
        <w:t>), hlaváč žlutavý (</w:t>
      </w:r>
      <w:proofErr w:type="spellStart"/>
      <w:r w:rsidRPr="006B3F59">
        <w:rPr>
          <w:i/>
          <w:iCs/>
        </w:rPr>
        <w:t>Scabiosa</w:t>
      </w:r>
      <w:proofErr w:type="spellEnd"/>
      <w:r w:rsidRPr="006B3F59">
        <w:rPr>
          <w:i/>
          <w:iCs/>
        </w:rPr>
        <w:t xml:space="preserve"> </w:t>
      </w:r>
      <w:proofErr w:type="spellStart"/>
      <w:r w:rsidRPr="006B3F59">
        <w:rPr>
          <w:i/>
          <w:iCs/>
        </w:rPr>
        <w:t>ochroleuca</w:t>
      </w:r>
      <w:proofErr w:type="spellEnd"/>
      <w:r w:rsidRPr="006B3F59">
        <w:t>), srdečník obecný (</w:t>
      </w:r>
      <w:proofErr w:type="spellStart"/>
      <w:r w:rsidRPr="006B3F59">
        <w:rPr>
          <w:i/>
          <w:iCs/>
        </w:rPr>
        <w:t>Leonurus</w:t>
      </w:r>
      <w:proofErr w:type="spellEnd"/>
      <w:r w:rsidRPr="006B3F59">
        <w:rPr>
          <w:i/>
          <w:iCs/>
        </w:rPr>
        <w:t xml:space="preserve"> </w:t>
      </w:r>
      <w:proofErr w:type="spellStart"/>
      <w:r w:rsidRPr="006B3F59">
        <w:rPr>
          <w:i/>
          <w:iCs/>
        </w:rPr>
        <w:t>cardiaca</w:t>
      </w:r>
      <w:proofErr w:type="spellEnd"/>
      <w:r w:rsidRPr="006B3F59">
        <w:t>), čistec přímý (</w:t>
      </w:r>
      <w:proofErr w:type="spellStart"/>
      <w:r w:rsidRPr="006B3F59">
        <w:rPr>
          <w:i/>
          <w:iCs/>
        </w:rPr>
        <w:t>Stachys</w:t>
      </w:r>
      <w:proofErr w:type="spellEnd"/>
      <w:r w:rsidRPr="006B3F59">
        <w:rPr>
          <w:i/>
          <w:iCs/>
        </w:rPr>
        <w:t xml:space="preserve"> </w:t>
      </w:r>
      <w:proofErr w:type="spellStart"/>
      <w:r w:rsidRPr="006B3F59">
        <w:rPr>
          <w:i/>
          <w:iCs/>
        </w:rPr>
        <w:t>recta</w:t>
      </w:r>
      <w:proofErr w:type="spellEnd"/>
      <w:r w:rsidRPr="006B3F59">
        <w:t>), netřesk výběžkatý (</w:t>
      </w:r>
      <w:proofErr w:type="spellStart"/>
      <w:r w:rsidRPr="006B3F59">
        <w:rPr>
          <w:i/>
          <w:iCs/>
        </w:rPr>
        <w:t>Jovibarba</w:t>
      </w:r>
      <w:proofErr w:type="spellEnd"/>
      <w:r w:rsidRPr="006B3F59">
        <w:rPr>
          <w:i/>
          <w:iCs/>
        </w:rPr>
        <w:t xml:space="preserve"> </w:t>
      </w:r>
      <w:proofErr w:type="spellStart"/>
      <w:r w:rsidRPr="006B3F59">
        <w:rPr>
          <w:i/>
          <w:iCs/>
        </w:rPr>
        <w:t>globifera</w:t>
      </w:r>
      <w:proofErr w:type="spellEnd"/>
      <w:r w:rsidRPr="006B3F59">
        <w:t xml:space="preserve">), hvozdík </w:t>
      </w:r>
      <w:proofErr w:type="spellStart"/>
      <w:r w:rsidRPr="006B3F59">
        <w:t>kartouzek</w:t>
      </w:r>
      <w:proofErr w:type="spellEnd"/>
      <w:r w:rsidRPr="006B3F59">
        <w:t xml:space="preserve"> (</w:t>
      </w:r>
      <w:r w:rsidRPr="006B3F59">
        <w:rPr>
          <w:i/>
          <w:iCs/>
        </w:rPr>
        <w:t xml:space="preserve">Dianthus </w:t>
      </w:r>
      <w:proofErr w:type="spellStart"/>
      <w:r w:rsidRPr="006B3F59">
        <w:rPr>
          <w:i/>
          <w:iCs/>
        </w:rPr>
        <w:t>carthusianorum</w:t>
      </w:r>
      <w:proofErr w:type="spellEnd"/>
      <w:r w:rsidRPr="006B3F59">
        <w:t>), chřest lékařský (</w:t>
      </w:r>
      <w:proofErr w:type="spellStart"/>
      <w:r w:rsidRPr="006B3F59">
        <w:rPr>
          <w:i/>
          <w:iCs/>
        </w:rPr>
        <w:t>Asparagus</w:t>
      </w:r>
      <w:proofErr w:type="spellEnd"/>
      <w:r w:rsidRPr="006B3F59">
        <w:rPr>
          <w:i/>
          <w:iCs/>
        </w:rPr>
        <w:t xml:space="preserve"> </w:t>
      </w:r>
      <w:proofErr w:type="spellStart"/>
      <w:r w:rsidRPr="006B3F59">
        <w:rPr>
          <w:i/>
          <w:iCs/>
        </w:rPr>
        <w:t>officinalis</w:t>
      </w:r>
      <w:proofErr w:type="spellEnd"/>
      <w:r w:rsidRPr="006B3F59">
        <w:t>), oman německý (</w:t>
      </w:r>
      <w:r w:rsidRPr="006B3F59">
        <w:rPr>
          <w:i/>
          <w:iCs/>
        </w:rPr>
        <w:t xml:space="preserve">Inula </w:t>
      </w:r>
      <w:proofErr w:type="spellStart"/>
      <w:r w:rsidRPr="006B3F59">
        <w:rPr>
          <w:i/>
          <w:iCs/>
        </w:rPr>
        <w:t>germanica</w:t>
      </w:r>
      <w:proofErr w:type="spellEnd"/>
      <w:r w:rsidRPr="006B3F59">
        <w:t>), hvězdnice zlatovlásek (</w:t>
      </w:r>
      <w:r w:rsidRPr="006B3F59">
        <w:rPr>
          <w:i/>
          <w:iCs/>
        </w:rPr>
        <w:t xml:space="preserve">Aster </w:t>
      </w:r>
      <w:proofErr w:type="spellStart"/>
      <w:r w:rsidRPr="006B3F59">
        <w:rPr>
          <w:i/>
          <w:iCs/>
        </w:rPr>
        <w:t>linosyris</w:t>
      </w:r>
      <w:proofErr w:type="spellEnd"/>
      <w:r w:rsidRPr="006B3F59">
        <w:t>), pelyněk ladní (</w:t>
      </w:r>
      <w:proofErr w:type="spellStart"/>
      <w:r w:rsidRPr="006B3F59">
        <w:rPr>
          <w:i/>
          <w:iCs/>
        </w:rPr>
        <w:t>Artemisia</w:t>
      </w:r>
      <w:proofErr w:type="spellEnd"/>
      <w:r w:rsidRPr="006B3F59">
        <w:rPr>
          <w:i/>
          <w:iCs/>
        </w:rPr>
        <w:t xml:space="preserve"> campestris</w:t>
      </w:r>
      <w:r w:rsidRPr="006B3F59">
        <w:t>), na který je vázaná vzácná záraza šupinatá (</w:t>
      </w:r>
      <w:proofErr w:type="spellStart"/>
      <w:r w:rsidRPr="006B3F59">
        <w:rPr>
          <w:i/>
          <w:iCs/>
        </w:rPr>
        <w:t>Orobanche</w:t>
      </w:r>
      <w:proofErr w:type="spellEnd"/>
      <w:r w:rsidRPr="006B3F59">
        <w:rPr>
          <w:i/>
          <w:iCs/>
        </w:rPr>
        <w:t xml:space="preserve"> </w:t>
      </w:r>
      <w:proofErr w:type="spellStart"/>
      <w:r w:rsidRPr="006B3F59">
        <w:rPr>
          <w:i/>
          <w:iCs/>
        </w:rPr>
        <w:t>artemisiae</w:t>
      </w:r>
      <w:proofErr w:type="spellEnd"/>
      <w:r w:rsidRPr="006B3F59">
        <w:rPr>
          <w:i/>
          <w:iCs/>
        </w:rPr>
        <w:t>-campestris</w:t>
      </w:r>
      <w:r w:rsidRPr="006B3F59">
        <w:t>) a další druhy.</w:t>
      </w:r>
    </w:p>
    <w:p w14:paraId="63873523" w14:textId="77777777" w:rsidR="003C0CE6" w:rsidRPr="006B3F59" w:rsidRDefault="003C0CE6" w:rsidP="003C0CE6">
      <w:r w:rsidRPr="006B3F59">
        <w:t xml:space="preserve">Na xerotermní formace je vázána řada zajímavých a vzácných druhů hmyzu. Z blanokřídlých jsou k vidění samotářské včely, </w:t>
      </w:r>
      <w:proofErr w:type="spellStart"/>
      <w:r w:rsidRPr="006B3F59">
        <w:t>jízlivky</w:t>
      </w:r>
      <w:proofErr w:type="spellEnd"/>
      <w:r w:rsidRPr="006B3F59">
        <w:t xml:space="preserve">, </w:t>
      </w:r>
      <w:proofErr w:type="spellStart"/>
      <w:r w:rsidRPr="006B3F59">
        <w:t>bodrušky</w:t>
      </w:r>
      <w:proofErr w:type="spellEnd"/>
      <w:r w:rsidRPr="006B3F59">
        <w:t xml:space="preserve"> či paličatky. Rovnokřídlý hmyz je zastoupen </w:t>
      </w:r>
      <w:proofErr w:type="spellStart"/>
      <w:r w:rsidRPr="006B3F59">
        <w:t>cvrčivcem</w:t>
      </w:r>
      <w:proofErr w:type="spellEnd"/>
      <w:r w:rsidRPr="006B3F59">
        <w:t xml:space="preserve"> révovým (</w:t>
      </w:r>
      <w:proofErr w:type="spellStart"/>
      <w:r w:rsidRPr="006B3F59">
        <w:rPr>
          <w:i/>
          <w:iCs/>
        </w:rPr>
        <w:t>Oecanthus</w:t>
      </w:r>
      <w:proofErr w:type="spellEnd"/>
      <w:r w:rsidRPr="006B3F59">
        <w:rPr>
          <w:i/>
          <w:iCs/>
        </w:rPr>
        <w:t xml:space="preserve"> </w:t>
      </w:r>
      <w:proofErr w:type="spellStart"/>
      <w:r w:rsidRPr="006B3F59">
        <w:rPr>
          <w:i/>
          <w:iCs/>
        </w:rPr>
        <w:t>pellucens</w:t>
      </w:r>
      <w:proofErr w:type="spellEnd"/>
      <w:r w:rsidRPr="006B3F59">
        <w:t>) či kobylkou bělopruhou (</w:t>
      </w:r>
      <w:proofErr w:type="spellStart"/>
      <w:r w:rsidRPr="006B3F59">
        <w:rPr>
          <w:i/>
          <w:iCs/>
        </w:rPr>
        <w:t>Leptophyes</w:t>
      </w:r>
      <w:proofErr w:type="spellEnd"/>
      <w:r w:rsidRPr="006B3F59">
        <w:rPr>
          <w:i/>
          <w:iCs/>
        </w:rPr>
        <w:t xml:space="preserve"> </w:t>
      </w:r>
      <w:proofErr w:type="spellStart"/>
      <w:r w:rsidRPr="006B3F59">
        <w:rPr>
          <w:i/>
          <w:iCs/>
        </w:rPr>
        <w:t>albovittata</w:t>
      </w:r>
      <w:proofErr w:type="spellEnd"/>
      <w:r w:rsidRPr="006B3F59">
        <w:t xml:space="preserve">). Zajímavé zástupce brouků reprezentují </w:t>
      </w:r>
      <w:proofErr w:type="spellStart"/>
      <w:r w:rsidRPr="006B3F59">
        <w:t>krascovití</w:t>
      </w:r>
      <w:proofErr w:type="spellEnd"/>
      <w:r w:rsidRPr="006B3F59">
        <w:t xml:space="preserve"> jako například váleček (</w:t>
      </w:r>
      <w:proofErr w:type="spellStart"/>
      <w:r w:rsidRPr="006B3F59">
        <w:t>Cylindromorphus</w:t>
      </w:r>
      <w:proofErr w:type="spellEnd"/>
      <w:r w:rsidRPr="006B3F59">
        <w:t xml:space="preserve"> </w:t>
      </w:r>
      <w:proofErr w:type="spellStart"/>
      <w:r w:rsidRPr="006B3F59">
        <w:t>bifrons</w:t>
      </w:r>
      <w:proofErr w:type="spellEnd"/>
      <w:r w:rsidRPr="006B3F59">
        <w:t>) nebo krasec (</w:t>
      </w:r>
      <w:proofErr w:type="spellStart"/>
      <w:r w:rsidRPr="006B3F59">
        <w:rPr>
          <w:i/>
          <w:iCs/>
        </w:rPr>
        <w:t>Habroloma</w:t>
      </w:r>
      <w:proofErr w:type="spellEnd"/>
      <w:r w:rsidRPr="006B3F59">
        <w:rPr>
          <w:i/>
          <w:iCs/>
        </w:rPr>
        <w:t xml:space="preserve"> </w:t>
      </w:r>
      <w:proofErr w:type="spellStart"/>
      <w:r w:rsidRPr="006B3F59">
        <w:rPr>
          <w:i/>
          <w:iCs/>
        </w:rPr>
        <w:t>geranii</w:t>
      </w:r>
      <w:proofErr w:type="spellEnd"/>
      <w:r w:rsidRPr="006B3F59">
        <w:t>) vázaný na kakost krvavý. Mandelinek se zde vyskytuje více než 20 druhů, např. mandelinka (</w:t>
      </w:r>
      <w:proofErr w:type="spellStart"/>
      <w:r w:rsidRPr="006B3F59">
        <w:rPr>
          <w:i/>
          <w:iCs/>
        </w:rPr>
        <w:t>Coptocephala</w:t>
      </w:r>
      <w:proofErr w:type="spellEnd"/>
      <w:r w:rsidRPr="006B3F59">
        <w:rPr>
          <w:i/>
          <w:iCs/>
        </w:rPr>
        <w:t xml:space="preserve"> </w:t>
      </w:r>
      <w:proofErr w:type="spellStart"/>
      <w:r w:rsidRPr="006B3F59">
        <w:rPr>
          <w:i/>
          <w:iCs/>
        </w:rPr>
        <w:t>rubicunda</w:t>
      </w:r>
      <w:proofErr w:type="spellEnd"/>
      <w:r w:rsidRPr="006B3F59">
        <w:t>). Nosatcovité reprezentují teplomilné druhy jako je lalokonosec (</w:t>
      </w:r>
      <w:proofErr w:type="spellStart"/>
      <w:r w:rsidRPr="006B3F59">
        <w:rPr>
          <w:i/>
          <w:iCs/>
        </w:rPr>
        <w:t>Otiorhynchus</w:t>
      </w:r>
      <w:proofErr w:type="spellEnd"/>
      <w:r w:rsidRPr="006B3F59">
        <w:rPr>
          <w:i/>
          <w:iCs/>
        </w:rPr>
        <w:t xml:space="preserve"> </w:t>
      </w:r>
      <w:proofErr w:type="spellStart"/>
      <w:r w:rsidRPr="006B3F59">
        <w:rPr>
          <w:i/>
          <w:iCs/>
        </w:rPr>
        <w:t>velutinus</w:t>
      </w:r>
      <w:proofErr w:type="spellEnd"/>
      <w:r w:rsidRPr="006B3F59">
        <w:t>), nosatec (</w:t>
      </w:r>
      <w:proofErr w:type="spellStart"/>
      <w:r w:rsidRPr="006B3F59">
        <w:rPr>
          <w:i/>
          <w:iCs/>
        </w:rPr>
        <w:t>Trachyphloeus</w:t>
      </w:r>
      <w:proofErr w:type="spellEnd"/>
      <w:r w:rsidRPr="006B3F59">
        <w:rPr>
          <w:i/>
          <w:iCs/>
        </w:rPr>
        <w:t xml:space="preserve"> </w:t>
      </w:r>
      <w:proofErr w:type="spellStart"/>
      <w:r w:rsidRPr="006B3F59">
        <w:rPr>
          <w:i/>
          <w:iCs/>
        </w:rPr>
        <w:t>alternans</w:t>
      </w:r>
      <w:proofErr w:type="spellEnd"/>
      <w:r w:rsidRPr="006B3F59">
        <w:t>), nosatec (</w:t>
      </w:r>
      <w:proofErr w:type="spellStart"/>
      <w:r w:rsidRPr="006B3F59">
        <w:rPr>
          <w:i/>
          <w:iCs/>
        </w:rPr>
        <w:t>Sibinia</w:t>
      </w:r>
      <w:proofErr w:type="spellEnd"/>
      <w:r w:rsidRPr="006B3F59">
        <w:rPr>
          <w:i/>
          <w:iCs/>
        </w:rPr>
        <w:t xml:space="preserve"> </w:t>
      </w:r>
      <w:proofErr w:type="spellStart"/>
      <w:r w:rsidRPr="006B3F59">
        <w:rPr>
          <w:i/>
          <w:iCs/>
        </w:rPr>
        <w:t>phalerata</w:t>
      </w:r>
      <w:proofErr w:type="spellEnd"/>
      <w:r w:rsidRPr="006B3F59">
        <w:t xml:space="preserve">) ad. Bohatě jsou zastoupeni také motýli. Za zmínku jistě stojí osenice </w:t>
      </w:r>
      <w:proofErr w:type="spellStart"/>
      <w:r w:rsidRPr="006B3F59">
        <w:t>mnohoskvrnná</w:t>
      </w:r>
      <w:proofErr w:type="spellEnd"/>
      <w:r w:rsidRPr="006B3F59">
        <w:t xml:space="preserve"> (</w:t>
      </w:r>
      <w:proofErr w:type="spellStart"/>
      <w:r w:rsidRPr="006B3F59">
        <w:rPr>
          <w:i/>
          <w:iCs/>
        </w:rPr>
        <w:t>Chersotis</w:t>
      </w:r>
      <w:proofErr w:type="spellEnd"/>
      <w:r w:rsidRPr="006B3F59">
        <w:rPr>
          <w:i/>
          <w:iCs/>
        </w:rPr>
        <w:t xml:space="preserve"> </w:t>
      </w:r>
      <w:proofErr w:type="spellStart"/>
      <w:r w:rsidRPr="006B3F59">
        <w:rPr>
          <w:i/>
          <w:iCs/>
        </w:rPr>
        <w:t>multangula</w:t>
      </w:r>
      <w:proofErr w:type="spellEnd"/>
      <w:r w:rsidRPr="006B3F59">
        <w:t>), obaleč (</w:t>
      </w:r>
      <w:proofErr w:type="spellStart"/>
      <w:r w:rsidRPr="006B3F59">
        <w:rPr>
          <w:i/>
          <w:iCs/>
        </w:rPr>
        <w:t>Pelochrista</w:t>
      </w:r>
      <w:proofErr w:type="spellEnd"/>
      <w:r w:rsidRPr="006B3F59">
        <w:rPr>
          <w:i/>
          <w:iCs/>
        </w:rPr>
        <w:t xml:space="preserve"> </w:t>
      </w:r>
      <w:proofErr w:type="spellStart"/>
      <w:r w:rsidRPr="006B3F59">
        <w:rPr>
          <w:i/>
          <w:iCs/>
        </w:rPr>
        <w:t>infidana</w:t>
      </w:r>
      <w:proofErr w:type="spellEnd"/>
      <w:r w:rsidRPr="006B3F59">
        <w:t>) či ostruháček trnkový (</w:t>
      </w:r>
      <w:proofErr w:type="spellStart"/>
      <w:r w:rsidRPr="006B3F59">
        <w:rPr>
          <w:i/>
          <w:iCs/>
        </w:rPr>
        <w:t>Satyrium</w:t>
      </w:r>
      <w:proofErr w:type="spellEnd"/>
      <w:r w:rsidRPr="006B3F59">
        <w:rPr>
          <w:i/>
          <w:iCs/>
        </w:rPr>
        <w:t xml:space="preserve"> </w:t>
      </w:r>
      <w:proofErr w:type="spellStart"/>
      <w:r w:rsidRPr="006B3F59">
        <w:rPr>
          <w:i/>
          <w:iCs/>
        </w:rPr>
        <w:t>pruni</w:t>
      </w:r>
      <w:proofErr w:type="spellEnd"/>
      <w:r w:rsidRPr="006B3F59">
        <w:t>).</w:t>
      </w:r>
    </w:p>
    <w:p w14:paraId="7A665730" w14:textId="77777777" w:rsidR="003C0CE6" w:rsidRPr="006B3F59" w:rsidRDefault="003C0CE6" w:rsidP="003C0CE6">
      <w:r w:rsidRPr="006B3F59">
        <w:lastRenderedPageBreak/>
        <w:t xml:space="preserve">Raritní je výskyt řady pavouků jako je </w:t>
      </w:r>
      <w:proofErr w:type="spellStart"/>
      <w:r w:rsidRPr="006B3F59">
        <w:t>sklípkánek</w:t>
      </w:r>
      <w:proofErr w:type="spellEnd"/>
      <w:r w:rsidRPr="006B3F59">
        <w:t xml:space="preserve"> pontický (</w:t>
      </w:r>
      <w:proofErr w:type="spellStart"/>
      <w:r w:rsidRPr="005450BF">
        <w:rPr>
          <w:i/>
          <w:iCs/>
        </w:rPr>
        <w:t>Atypus</w:t>
      </w:r>
      <w:proofErr w:type="spellEnd"/>
      <w:r w:rsidRPr="005450BF">
        <w:rPr>
          <w:i/>
          <w:iCs/>
        </w:rPr>
        <w:t xml:space="preserve"> </w:t>
      </w:r>
      <w:proofErr w:type="spellStart"/>
      <w:r w:rsidRPr="005450BF">
        <w:rPr>
          <w:i/>
          <w:iCs/>
        </w:rPr>
        <w:t>muralis</w:t>
      </w:r>
      <w:proofErr w:type="spellEnd"/>
      <w:r w:rsidRPr="006B3F59">
        <w:t xml:space="preserve">), </w:t>
      </w:r>
      <w:proofErr w:type="spellStart"/>
      <w:r w:rsidRPr="006B3F59">
        <w:t>stepník</w:t>
      </w:r>
      <w:proofErr w:type="spellEnd"/>
      <w:r w:rsidRPr="006B3F59">
        <w:t xml:space="preserve"> rudý (</w:t>
      </w:r>
      <w:proofErr w:type="spellStart"/>
      <w:r w:rsidRPr="005450BF">
        <w:rPr>
          <w:i/>
          <w:iCs/>
        </w:rPr>
        <w:t>Eresus</w:t>
      </w:r>
      <w:proofErr w:type="spellEnd"/>
      <w:r w:rsidRPr="005450BF">
        <w:rPr>
          <w:i/>
          <w:iCs/>
        </w:rPr>
        <w:t xml:space="preserve"> </w:t>
      </w:r>
      <w:proofErr w:type="spellStart"/>
      <w:r w:rsidRPr="005450BF">
        <w:rPr>
          <w:i/>
          <w:iCs/>
        </w:rPr>
        <w:t>kollari</w:t>
      </w:r>
      <w:proofErr w:type="spellEnd"/>
      <w:r w:rsidRPr="006B3F59">
        <w:t>) či slíďák Schmidtův (</w:t>
      </w:r>
      <w:proofErr w:type="spellStart"/>
      <w:r w:rsidRPr="005450BF">
        <w:rPr>
          <w:i/>
          <w:iCs/>
        </w:rPr>
        <w:t>Alopecosa</w:t>
      </w:r>
      <w:proofErr w:type="spellEnd"/>
      <w:r w:rsidRPr="005450BF">
        <w:rPr>
          <w:i/>
          <w:iCs/>
        </w:rPr>
        <w:t xml:space="preserve"> </w:t>
      </w:r>
      <w:proofErr w:type="spellStart"/>
      <w:r w:rsidRPr="005450BF">
        <w:rPr>
          <w:i/>
          <w:iCs/>
        </w:rPr>
        <w:t>schmidti</w:t>
      </w:r>
      <w:proofErr w:type="spellEnd"/>
      <w:r w:rsidRPr="006B3F59">
        <w:t>). O vysokých kvalitách a zachovalosti území vypovídá i výskyt vzácných měkkýšů jako je skelnatka hladká (</w:t>
      </w:r>
      <w:proofErr w:type="spellStart"/>
      <w:r w:rsidRPr="005450BF">
        <w:rPr>
          <w:i/>
          <w:iCs/>
        </w:rPr>
        <w:t>Morlina</w:t>
      </w:r>
      <w:proofErr w:type="spellEnd"/>
      <w:r w:rsidRPr="005450BF">
        <w:rPr>
          <w:i/>
          <w:iCs/>
        </w:rPr>
        <w:t xml:space="preserve"> glabra</w:t>
      </w:r>
      <w:r w:rsidRPr="006B3F59">
        <w:t>) a zrnovka trojzubá (</w:t>
      </w:r>
      <w:r w:rsidRPr="005450BF">
        <w:rPr>
          <w:i/>
          <w:iCs/>
        </w:rPr>
        <w:t>Pupilla triplicata</w:t>
      </w:r>
      <w:r w:rsidRPr="006B3F59">
        <w:t>).</w:t>
      </w:r>
    </w:p>
    <w:p w14:paraId="3E39575C" w14:textId="09646330" w:rsidR="00F10E8D" w:rsidRPr="006B3F59" w:rsidRDefault="003C0CE6" w:rsidP="003C0CE6">
      <w:r w:rsidRPr="006B3F59">
        <w:t>Z plazů nechybí druhy výhřevných stanovišť jako ještěrka zelená (</w:t>
      </w:r>
      <w:r w:rsidRPr="006B3F59">
        <w:rPr>
          <w:i/>
          <w:iCs/>
        </w:rPr>
        <w:t>Lacerta viridis</w:t>
      </w:r>
      <w:r w:rsidRPr="006B3F59">
        <w:t>) a užovka hladká (</w:t>
      </w:r>
      <w:r w:rsidRPr="006B3F59">
        <w:rPr>
          <w:i/>
          <w:iCs/>
        </w:rPr>
        <w:t>Coronella austriaca</w:t>
      </w:r>
      <w:r w:rsidRPr="006B3F59">
        <w:t>). Avifauna je zastoupena drobnými pěvci jako je pěnice pokřovní (</w:t>
      </w:r>
      <w:r w:rsidRPr="006B3F59">
        <w:rPr>
          <w:i/>
          <w:iCs/>
        </w:rPr>
        <w:t xml:space="preserve">Sylvia </w:t>
      </w:r>
      <w:proofErr w:type="spellStart"/>
      <w:r w:rsidRPr="006B3F59">
        <w:rPr>
          <w:i/>
          <w:iCs/>
        </w:rPr>
        <w:t>curruca</w:t>
      </w:r>
      <w:proofErr w:type="spellEnd"/>
      <w:r w:rsidRPr="006B3F59">
        <w:t>), sýkora uhelníček (</w:t>
      </w:r>
      <w:proofErr w:type="spellStart"/>
      <w:r w:rsidRPr="006B3F59">
        <w:rPr>
          <w:i/>
          <w:iCs/>
        </w:rPr>
        <w:t>Periparus</w:t>
      </w:r>
      <w:proofErr w:type="spellEnd"/>
      <w:r w:rsidRPr="006B3F59">
        <w:rPr>
          <w:i/>
          <w:iCs/>
        </w:rPr>
        <w:t xml:space="preserve"> </w:t>
      </w:r>
      <w:proofErr w:type="spellStart"/>
      <w:r w:rsidRPr="006B3F59">
        <w:rPr>
          <w:i/>
          <w:iCs/>
        </w:rPr>
        <w:t>ater</w:t>
      </w:r>
      <w:proofErr w:type="spellEnd"/>
      <w:r w:rsidRPr="006B3F59">
        <w:t>), pěvuška modrá (</w:t>
      </w:r>
      <w:proofErr w:type="spellStart"/>
      <w:r w:rsidRPr="006B3F59">
        <w:rPr>
          <w:i/>
          <w:iCs/>
        </w:rPr>
        <w:t>Prunella</w:t>
      </w:r>
      <w:proofErr w:type="spellEnd"/>
      <w:r w:rsidRPr="006B3F59">
        <w:rPr>
          <w:i/>
          <w:iCs/>
        </w:rPr>
        <w:t xml:space="preserve"> </w:t>
      </w:r>
      <w:proofErr w:type="spellStart"/>
      <w:r w:rsidRPr="006B3F59">
        <w:rPr>
          <w:i/>
          <w:iCs/>
        </w:rPr>
        <w:t>modularis</w:t>
      </w:r>
      <w:proofErr w:type="spellEnd"/>
      <w:r w:rsidRPr="006B3F59">
        <w:t>), strnad obecný (</w:t>
      </w:r>
      <w:proofErr w:type="spellStart"/>
      <w:r w:rsidRPr="006B3F59">
        <w:rPr>
          <w:i/>
          <w:iCs/>
        </w:rPr>
        <w:t>Emberiza</w:t>
      </w:r>
      <w:proofErr w:type="spellEnd"/>
      <w:r w:rsidRPr="006B3F59">
        <w:rPr>
          <w:i/>
          <w:iCs/>
        </w:rPr>
        <w:t xml:space="preserve"> </w:t>
      </w:r>
      <w:proofErr w:type="spellStart"/>
      <w:r w:rsidRPr="006B3F59">
        <w:rPr>
          <w:i/>
          <w:iCs/>
        </w:rPr>
        <w:t>citrinella</w:t>
      </w:r>
      <w:proofErr w:type="spellEnd"/>
      <w:r w:rsidRPr="006B3F59">
        <w:t xml:space="preserve">) a další. </w:t>
      </w:r>
    </w:p>
    <w:p w14:paraId="05B659E7" w14:textId="1222E5DC" w:rsidR="00EA29AC" w:rsidRPr="006B3F59" w:rsidRDefault="00EA29AC" w:rsidP="003C0CE6">
      <w:r w:rsidRPr="006B3F59">
        <w:t>PP Baba nebude řešením změny Z 3827/00 nijak dotčena.</w:t>
      </w:r>
    </w:p>
    <w:p w14:paraId="6C5D9169" w14:textId="3F053BBB" w:rsidR="003C0CE6" w:rsidRPr="006B3F59" w:rsidRDefault="003C0CE6" w:rsidP="003C0CE6">
      <w:r w:rsidRPr="006B3F59">
        <w:rPr>
          <w:noProof/>
        </w:rPr>
        <w:drawing>
          <wp:inline distT="0" distB="0" distL="0" distR="0" wp14:anchorId="46D145EE" wp14:editId="025A3C8D">
            <wp:extent cx="4378315" cy="3449320"/>
            <wp:effectExtent l="0" t="0" r="3810" b="0"/>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4382649" cy="3452734"/>
                    </a:xfrm>
                    <a:prstGeom prst="rect">
                      <a:avLst/>
                    </a:prstGeom>
                  </pic:spPr>
                </pic:pic>
              </a:graphicData>
            </a:graphic>
          </wp:inline>
        </w:drawing>
      </w:r>
    </w:p>
    <w:p w14:paraId="36178FD3" w14:textId="3DFFA878" w:rsidR="003C0CE6" w:rsidRPr="006B3F59" w:rsidRDefault="003C0CE6" w:rsidP="003C0CE6">
      <w:pPr>
        <w:pStyle w:val="Obrnadpis"/>
      </w:pPr>
      <w:bookmarkStart w:id="89" w:name="_Toc138848198"/>
      <w:r w:rsidRPr="006B3F59">
        <w:t>Přírodní památka Baba</w:t>
      </w:r>
      <w:bookmarkEnd w:id="89"/>
    </w:p>
    <w:p w14:paraId="5F99E5AC" w14:textId="77777777" w:rsidR="006C6885" w:rsidRPr="006B3F59" w:rsidRDefault="006C6885" w:rsidP="00603353">
      <w:pPr>
        <w:rPr>
          <w:u w:val="single"/>
        </w:rPr>
      </w:pPr>
      <w:r w:rsidRPr="006B3F59">
        <w:rPr>
          <w:u w:val="single"/>
        </w:rPr>
        <w:t xml:space="preserve">EVL Kaňon Vltavy u Sedlce (CZ0110154) </w:t>
      </w:r>
    </w:p>
    <w:p w14:paraId="7D26DB2F" w14:textId="74D32E16" w:rsidR="000C5ED8" w:rsidRPr="006B3F59" w:rsidRDefault="006C6885" w:rsidP="00603353">
      <w:r w:rsidRPr="006B3F59">
        <w:t>Lokalitu představuje několik samostatných částí, které zahrnují nejcennější skalnaté srázy kaňonu Vltavy (Baba, Podbabské skály, Podhoří, Sedlecké skály a Zámky) při severním okraji Prahy. Na prudkých skalnatých srázech nad Vltavou se vytvořila xerotermní společenstva skalních stepí různých typů společenstva skal a křovin, které jsou předmětem ochrany EVL. V rámci EVL je mimořádně významnou částí právě část „Podbabské skály“. Jedná se o klasickou lokalitu, kterou hojně navštěvovali přírodovědci již v 19. století. Poprvé pro vědu byl odtud popsán např. křivatec český (</w:t>
      </w:r>
      <w:proofErr w:type="spellStart"/>
      <w:r w:rsidRPr="005450BF">
        <w:rPr>
          <w:i/>
          <w:iCs/>
        </w:rPr>
        <w:t>Gagea</w:t>
      </w:r>
      <w:proofErr w:type="spellEnd"/>
      <w:r w:rsidRPr="005450BF">
        <w:rPr>
          <w:i/>
          <w:iCs/>
        </w:rPr>
        <w:t xml:space="preserve"> </w:t>
      </w:r>
      <w:proofErr w:type="spellStart"/>
      <w:r w:rsidRPr="005450BF">
        <w:rPr>
          <w:i/>
          <w:iCs/>
        </w:rPr>
        <w:t>bohemica</w:t>
      </w:r>
      <w:proofErr w:type="spellEnd"/>
      <w:r w:rsidRPr="006B3F59">
        <w:t>) či houba špička stepní (</w:t>
      </w:r>
      <w:proofErr w:type="spellStart"/>
      <w:r w:rsidRPr="006B3F59">
        <w:rPr>
          <w:i/>
          <w:iCs/>
        </w:rPr>
        <w:t>Marasmiellus</w:t>
      </w:r>
      <w:proofErr w:type="spellEnd"/>
      <w:r w:rsidRPr="006B3F59">
        <w:rPr>
          <w:i/>
          <w:iCs/>
        </w:rPr>
        <w:t xml:space="preserve"> </w:t>
      </w:r>
      <w:proofErr w:type="spellStart"/>
      <w:r w:rsidRPr="006B3F59">
        <w:rPr>
          <w:i/>
          <w:iCs/>
        </w:rPr>
        <w:t>carneopallidus</w:t>
      </w:r>
      <w:proofErr w:type="spellEnd"/>
      <w:r w:rsidRPr="006B3F59">
        <w:t xml:space="preserve">). Většina nejvzácnějších druhů rostlin i živočichů je zde vázána na travinnou step na sprašové půdě nacházející se podél horní hrany levého vltavského svahu Podbabských skal. Tento typ stepního společenstva již nemá na území Prahy obdoby (Karlík &amp; Řezáč, 2008). Z význačných rostlinných druhů teplomilných skalních a lesostepních společenstev se v rámci EVL a zejména v dílčí části zvané „Podbabské skály“ vyskytuje např. </w:t>
      </w:r>
      <w:proofErr w:type="spellStart"/>
      <w:r w:rsidRPr="006B3F59">
        <w:rPr>
          <w:i/>
          <w:iCs/>
        </w:rPr>
        <w:t>Gagea</w:t>
      </w:r>
      <w:proofErr w:type="spellEnd"/>
      <w:r w:rsidRPr="006B3F59">
        <w:rPr>
          <w:i/>
          <w:iCs/>
        </w:rPr>
        <w:t xml:space="preserve"> </w:t>
      </w:r>
      <w:proofErr w:type="spellStart"/>
      <w:r w:rsidRPr="006B3F59">
        <w:rPr>
          <w:i/>
          <w:iCs/>
        </w:rPr>
        <w:t>bohemica</w:t>
      </w:r>
      <w:proofErr w:type="spellEnd"/>
      <w:r w:rsidRPr="006B3F59">
        <w:t xml:space="preserve"> (křivatec český), </w:t>
      </w:r>
      <w:proofErr w:type="spellStart"/>
      <w:r w:rsidRPr="006B3F59">
        <w:t>Hieracium</w:t>
      </w:r>
      <w:proofErr w:type="spellEnd"/>
      <w:r w:rsidRPr="006B3F59">
        <w:t xml:space="preserve"> </w:t>
      </w:r>
      <w:proofErr w:type="spellStart"/>
      <w:r w:rsidRPr="006B3F59">
        <w:t>schmidtii</w:t>
      </w:r>
      <w:proofErr w:type="spellEnd"/>
      <w:r w:rsidRPr="006B3F59">
        <w:t xml:space="preserve"> (jestřábník bledý), </w:t>
      </w:r>
      <w:proofErr w:type="spellStart"/>
      <w:r w:rsidRPr="006B3F59">
        <w:t>Muscari</w:t>
      </w:r>
      <w:proofErr w:type="spellEnd"/>
      <w:r w:rsidRPr="006B3F59">
        <w:t xml:space="preserve"> </w:t>
      </w:r>
      <w:proofErr w:type="spellStart"/>
      <w:r w:rsidRPr="006B3F59">
        <w:t>tenuiflorum</w:t>
      </w:r>
      <w:proofErr w:type="spellEnd"/>
      <w:r w:rsidRPr="006B3F59">
        <w:t xml:space="preserve"> (modřenec tenkokvětý), </w:t>
      </w:r>
      <w:r w:rsidRPr="006B3F59">
        <w:rPr>
          <w:i/>
          <w:iCs/>
        </w:rPr>
        <w:t xml:space="preserve">Pulsatilla pratensis </w:t>
      </w:r>
      <w:proofErr w:type="spellStart"/>
      <w:r w:rsidRPr="006B3F59">
        <w:rPr>
          <w:i/>
          <w:iCs/>
        </w:rPr>
        <w:t>subsp</w:t>
      </w:r>
      <w:proofErr w:type="spellEnd"/>
      <w:r w:rsidRPr="006B3F59">
        <w:rPr>
          <w:i/>
          <w:iCs/>
        </w:rPr>
        <w:t xml:space="preserve">. </w:t>
      </w:r>
      <w:proofErr w:type="spellStart"/>
      <w:r w:rsidRPr="006B3F59">
        <w:rPr>
          <w:i/>
          <w:iCs/>
        </w:rPr>
        <w:t>bohemica</w:t>
      </w:r>
      <w:proofErr w:type="spellEnd"/>
      <w:r w:rsidRPr="006B3F59">
        <w:t xml:space="preserve"> (koniklec luční český), </w:t>
      </w:r>
      <w:r w:rsidRPr="006B3F59">
        <w:rPr>
          <w:i/>
          <w:iCs/>
        </w:rPr>
        <w:t xml:space="preserve">Stipa </w:t>
      </w:r>
      <w:proofErr w:type="spellStart"/>
      <w:r w:rsidRPr="006B3F59">
        <w:rPr>
          <w:i/>
          <w:iCs/>
        </w:rPr>
        <w:t>pennata</w:t>
      </w:r>
      <w:proofErr w:type="spellEnd"/>
      <w:r w:rsidRPr="006B3F59">
        <w:t xml:space="preserve"> (kavyl Ivanův), </w:t>
      </w:r>
      <w:r w:rsidRPr="006B3F59">
        <w:rPr>
          <w:i/>
          <w:iCs/>
        </w:rPr>
        <w:t xml:space="preserve">Stipa </w:t>
      </w:r>
      <w:proofErr w:type="spellStart"/>
      <w:r w:rsidRPr="006B3F59">
        <w:rPr>
          <w:i/>
          <w:iCs/>
        </w:rPr>
        <w:t>capillata</w:t>
      </w:r>
      <w:proofErr w:type="spellEnd"/>
      <w:r w:rsidRPr="006B3F59">
        <w:t xml:space="preserve"> (kavyl vláskovitý), </w:t>
      </w:r>
      <w:r w:rsidRPr="006B3F59">
        <w:rPr>
          <w:i/>
          <w:iCs/>
        </w:rPr>
        <w:t xml:space="preserve">Adonis </w:t>
      </w:r>
      <w:proofErr w:type="spellStart"/>
      <w:r w:rsidRPr="006B3F59">
        <w:rPr>
          <w:i/>
          <w:iCs/>
        </w:rPr>
        <w:t>vernalis</w:t>
      </w:r>
      <w:proofErr w:type="spellEnd"/>
      <w:r w:rsidRPr="006B3F59">
        <w:t xml:space="preserve"> (hlaváček jarní), </w:t>
      </w:r>
      <w:r w:rsidRPr="006B3F59">
        <w:rPr>
          <w:i/>
          <w:iCs/>
        </w:rPr>
        <w:t>Anthericum ramosum</w:t>
      </w:r>
      <w:r w:rsidRPr="006B3F59">
        <w:t xml:space="preserve"> (bělozářka větvitá), </w:t>
      </w:r>
      <w:r w:rsidRPr="006B3F59">
        <w:rPr>
          <w:i/>
          <w:iCs/>
        </w:rPr>
        <w:t xml:space="preserve">Aster </w:t>
      </w:r>
      <w:proofErr w:type="spellStart"/>
      <w:r w:rsidRPr="006B3F59">
        <w:rPr>
          <w:i/>
          <w:iCs/>
        </w:rPr>
        <w:t>linosyris</w:t>
      </w:r>
      <w:proofErr w:type="spellEnd"/>
      <w:r w:rsidRPr="006B3F59">
        <w:t xml:space="preserve"> (hvězdnice zlatovlásek) nebo </w:t>
      </w:r>
      <w:proofErr w:type="spellStart"/>
      <w:r w:rsidRPr="006B3F59">
        <w:rPr>
          <w:i/>
          <w:iCs/>
        </w:rPr>
        <w:t>Ranunculus</w:t>
      </w:r>
      <w:proofErr w:type="spellEnd"/>
      <w:r w:rsidRPr="006B3F59">
        <w:rPr>
          <w:i/>
          <w:iCs/>
        </w:rPr>
        <w:t xml:space="preserve"> </w:t>
      </w:r>
      <w:proofErr w:type="spellStart"/>
      <w:r w:rsidRPr="006B3F59">
        <w:rPr>
          <w:i/>
          <w:iCs/>
        </w:rPr>
        <w:t>illyricus</w:t>
      </w:r>
      <w:proofErr w:type="spellEnd"/>
      <w:r w:rsidRPr="006B3F59">
        <w:t xml:space="preserve"> (pryskyřník ilyrský). Jednotlivé části lokality jsou významné výskytem celé řady vzácných teplomilných bezobratlých nejrůznějších skupin. Hlavními příčinami ohrožení je sukcese představující zarůstání křovinami, plošná i lokální eutrofizace a sešlap. Na levém břehu Vltavy dochází k poškozování při údržbě významné železniční trati. Charakteristickým chráněným biotopem na skalách a horních hranách svahů je skalní vegetace s kostřavou sivou (T3.1). Velmi vzácně se na výchozech </w:t>
      </w:r>
      <w:proofErr w:type="spellStart"/>
      <w:r w:rsidRPr="006B3F59">
        <w:t>spilitů</w:t>
      </w:r>
      <w:proofErr w:type="spellEnd"/>
      <w:r w:rsidRPr="006B3F59">
        <w:t xml:space="preserve"> vyskytují </w:t>
      </w:r>
      <w:proofErr w:type="spellStart"/>
      <w:r w:rsidRPr="006B3F59">
        <w:t>pěchavové</w:t>
      </w:r>
      <w:proofErr w:type="spellEnd"/>
      <w:r w:rsidRPr="006B3F59">
        <w:t xml:space="preserve"> trávníky (T3.2). Oba přírodní biotopy patří do chráněného evropského stanoviště 6190 - panonské skalní trávníky (</w:t>
      </w:r>
      <w:proofErr w:type="spellStart"/>
      <w:r w:rsidRPr="006B3F59">
        <w:t>Stipo-Festucetalia</w:t>
      </w:r>
      <w:proofErr w:type="spellEnd"/>
      <w:r w:rsidRPr="006B3F59">
        <w:t xml:space="preserve"> pallentis). Na plošinách s mělkou až středně hlubokou půdou se uplatňuje evropské stanoviště 6210 - polopřirozené suché trávníky a facie křovin na vápnitých podložích (</w:t>
      </w:r>
      <w:proofErr w:type="spellStart"/>
      <w:r w:rsidRPr="006B3F59">
        <w:t>Festuco</w:t>
      </w:r>
      <w:proofErr w:type="spellEnd"/>
      <w:r w:rsidR="00447B37" w:rsidRPr="006B3F59">
        <w:t xml:space="preserve"> </w:t>
      </w:r>
      <w:proofErr w:type="spellStart"/>
      <w:r w:rsidRPr="006B3F59">
        <w:t>Brometalia</w:t>
      </w:r>
      <w:proofErr w:type="spellEnd"/>
      <w:r w:rsidRPr="006B3F59">
        <w:t>). Je zastoupeno dvěma typy přírodních biotopů. Na mělkých půdách, typicky na hranách svahů a skalních plošinách jsou typické porosty přírodního biotopu T3.</w:t>
      </w:r>
      <w:proofErr w:type="gramStart"/>
      <w:r w:rsidRPr="006B3F59">
        <w:t>3D</w:t>
      </w:r>
      <w:proofErr w:type="gramEnd"/>
      <w:r w:rsidRPr="006B3F59">
        <w:t xml:space="preserve"> – úzkolisté suché trávníky bez význačného výskytu vstavačovitých. V dotčené části EVL jsou charakteristické porosty kavylů – </w:t>
      </w:r>
      <w:r w:rsidRPr="006B3F59">
        <w:rPr>
          <w:i/>
          <w:iCs/>
        </w:rPr>
        <w:t xml:space="preserve">Stipa </w:t>
      </w:r>
      <w:proofErr w:type="spellStart"/>
      <w:r w:rsidRPr="006B3F59">
        <w:rPr>
          <w:i/>
          <w:iCs/>
        </w:rPr>
        <w:t>capillata</w:t>
      </w:r>
      <w:proofErr w:type="spellEnd"/>
      <w:r w:rsidRPr="006B3F59">
        <w:t xml:space="preserve"> (kavyl vláskovitý), Stipa </w:t>
      </w:r>
      <w:proofErr w:type="spellStart"/>
      <w:r w:rsidRPr="006B3F59">
        <w:t>pennata</w:t>
      </w:r>
      <w:proofErr w:type="spellEnd"/>
      <w:r w:rsidRPr="006B3F59">
        <w:t xml:space="preserve"> </w:t>
      </w:r>
      <w:r w:rsidRPr="006B3F59">
        <w:lastRenderedPageBreak/>
        <w:t>(kavyl péřovitý). V částech s hlubší půdou se vyskytuje přírodní biotop T3.</w:t>
      </w:r>
      <w:proofErr w:type="gramStart"/>
      <w:r w:rsidR="00CF6B6D" w:rsidRPr="006B3F59">
        <w:t>4D</w:t>
      </w:r>
      <w:proofErr w:type="gramEnd"/>
      <w:r w:rsidR="00CF6B6D" w:rsidRPr="006B3F59">
        <w:t xml:space="preserve"> – širolisté</w:t>
      </w:r>
      <w:r w:rsidRPr="006B3F59">
        <w:t xml:space="preserve"> suché trávníky, kde dominantními druhy jsou </w:t>
      </w:r>
      <w:proofErr w:type="spellStart"/>
      <w:r w:rsidRPr="006B3F59">
        <w:rPr>
          <w:i/>
          <w:iCs/>
        </w:rPr>
        <w:t>Brachypodium</w:t>
      </w:r>
      <w:proofErr w:type="spellEnd"/>
      <w:r w:rsidRPr="006B3F59">
        <w:rPr>
          <w:i/>
          <w:iCs/>
        </w:rPr>
        <w:t xml:space="preserve"> </w:t>
      </w:r>
      <w:proofErr w:type="spellStart"/>
      <w:r w:rsidRPr="006B3F59">
        <w:rPr>
          <w:i/>
          <w:iCs/>
        </w:rPr>
        <w:t>pinnatum</w:t>
      </w:r>
      <w:proofErr w:type="spellEnd"/>
      <w:r w:rsidRPr="006B3F59">
        <w:t xml:space="preserve"> (válečka </w:t>
      </w:r>
      <w:proofErr w:type="spellStart"/>
      <w:r w:rsidRPr="006B3F59">
        <w:t>prapořivá</w:t>
      </w:r>
      <w:proofErr w:type="spellEnd"/>
      <w:r w:rsidRPr="006B3F59">
        <w:t xml:space="preserve">), </w:t>
      </w:r>
      <w:proofErr w:type="spellStart"/>
      <w:r w:rsidRPr="006B3F59">
        <w:rPr>
          <w:i/>
          <w:iCs/>
        </w:rPr>
        <w:t>Bromus</w:t>
      </w:r>
      <w:proofErr w:type="spellEnd"/>
      <w:r w:rsidRPr="006B3F59">
        <w:rPr>
          <w:i/>
          <w:iCs/>
        </w:rPr>
        <w:t xml:space="preserve"> </w:t>
      </w:r>
      <w:proofErr w:type="spellStart"/>
      <w:r w:rsidRPr="006B3F59">
        <w:rPr>
          <w:i/>
          <w:iCs/>
        </w:rPr>
        <w:t>erectus</w:t>
      </w:r>
      <w:proofErr w:type="spellEnd"/>
      <w:r w:rsidRPr="006B3F59">
        <w:t xml:space="preserve"> (sveřep vzpřímený).</w:t>
      </w:r>
    </w:p>
    <w:p w14:paraId="41F17356" w14:textId="48055E3B" w:rsidR="006C6885" w:rsidRPr="006B3F59" w:rsidRDefault="006C6885" w:rsidP="00603353">
      <w:r w:rsidRPr="006B3F59">
        <w:t xml:space="preserve">Základním evropským stanovištěm na skalách je evropské stanoviště 8220 - chasmofytická vegetace silikátových skalnatých svahů, které v systému přírodních biotopů odpovídá biotopu S1.2 – štěrbinová vegetace silikátových skal a drolin. Ve žlebech, rýhách i na plošinách skal se vyskytuje evropské stanoviště </w:t>
      </w:r>
      <w:proofErr w:type="gramStart"/>
      <w:r w:rsidRPr="006B3F59">
        <w:t>40A0 - kontinentální</w:t>
      </w:r>
      <w:proofErr w:type="gramEnd"/>
      <w:r w:rsidRPr="006B3F59">
        <w:t xml:space="preserve"> opadavé křoviny, odpovídající přírodnímu biotopu K4A - nízké xerofilní křoviny - porosty se skalníky (</w:t>
      </w:r>
      <w:proofErr w:type="spellStart"/>
      <w:r w:rsidRPr="006B3F59">
        <w:t>Cotoneaster</w:t>
      </w:r>
      <w:proofErr w:type="spellEnd"/>
      <w:r w:rsidRPr="006B3F59">
        <w:t xml:space="preserve"> spp.). Typickým druhem je v tomto případě skalník celokrajný (</w:t>
      </w:r>
      <w:proofErr w:type="spellStart"/>
      <w:r w:rsidRPr="006B3F59">
        <w:rPr>
          <w:i/>
          <w:iCs/>
        </w:rPr>
        <w:t>Cotoneaster</w:t>
      </w:r>
      <w:proofErr w:type="spellEnd"/>
      <w:r w:rsidRPr="006B3F59">
        <w:rPr>
          <w:i/>
          <w:iCs/>
        </w:rPr>
        <w:t xml:space="preserve"> </w:t>
      </w:r>
      <w:proofErr w:type="spellStart"/>
      <w:r w:rsidRPr="006B3F59">
        <w:rPr>
          <w:i/>
          <w:iCs/>
        </w:rPr>
        <w:t>intergerrimus</w:t>
      </w:r>
      <w:proofErr w:type="spellEnd"/>
      <w:r w:rsidRPr="006B3F59">
        <w:t>). Plošně nejméně rozšířeným stanovištěm v rámci EVL je evropské stanoviště 8230 - pionýrská vegetace silikátových skal. V mozaice s ostatními biotopy se uplatňuje přírodní biotop T6.</w:t>
      </w:r>
      <w:proofErr w:type="gramStart"/>
      <w:r w:rsidRPr="006B3F59">
        <w:t>1B</w:t>
      </w:r>
      <w:proofErr w:type="gramEnd"/>
      <w:r w:rsidRPr="006B3F59">
        <w:t xml:space="preserve"> – vegetace efemér a sukulentů. Z dalších biotopů, které nejsou předmětem ochrany EVL se hojně vyskytují vysoké mezofilní a xerofilní křoviny (K3), biotop se šíří i na místa chráněných evropských stanovišť. V lemech křovin rostou druhy teplomilných bylinných lemů (T4.1) s </w:t>
      </w:r>
      <w:proofErr w:type="spellStart"/>
      <w:r w:rsidRPr="006B3F59">
        <w:rPr>
          <w:i/>
          <w:iCs/>
        </w:rPr>
        <w:t>Geranium</w:t>
      </w:r>
      <w:proofErr w:type="spellEnd"/>
      <w:r w:rsidRPr="006B3F59">
        <w:rPr>
          <w:i/>
          <w:iCs/>
        </w:rPr>
        <w:t xml:space="preserve"> </w:t>
      </w:r>
      <w:proofErr w:type="spellStart"/>
      <w:r w:rsidRPr="006B3F59">
        <w:rPr>
          <w:i/>
          <w:iCs/>
        </w:rPr>
        <w:t>sanguineum</w:t>
      </w:r>
      <w:proofErr w:type="spellEnd"/>
      <w:r w:rsidRPr="006B3F59">
        <w:t xml:space="preserve"> (kakost krvavý) a </w:t>
      </w:r>
      <w:proofErr w:type="spellStart"/>
      <w:r w:rsidRPr="006B3F59">
        <w:rPr>
          <w:i/>
          <w:iCs/>
        </w:rPr>
        <w:t>Dictamnus</w:t>
      </w:r>
      <w:proofErr w:type="spellEnd"/>
      <w:r w:rsidRPr="006B3F59">
        <w:rPr>
          <w:i/>
          <w:iCs/>
        </w:rPr>
        <w:t xml:space="preserve"> </w:t>
      </w:r>
      <w:proofErr w:type="spellStart"/>
      <w:r w:rsidRPr="006B3F59">
        <w:rPr>
          <w:i/>
          <w:iCs/>
        </w:rPr>
        <w:t>albus</w:t>
      </w:r>
      <w:proofErr w:type="spellEnd"/>
      <w:r w:rsidRPr="006B3F59">
        <w:t xml:space="preserve"> (třemdava bílá).</w:t>
      </w:r>
    </w:p>
    <w:p w14:paraId="59A42200" w14:textId="77777777" w:rsidR="006C6885" w:rsidRPr="006B3F59" w:rsidRDefault="006C6885" w:rsidP="00603353">
      <w:r w:rsidRPr="006B3F59">
        <w:t>Předměty ochrany EVL Kaňon Vltavy u Sedlce</w:t>
      </w:r>
    </w:p>
    <w:p w14:paraId="2E62E186" w14:textId="77777777" w:rsidR="00287E37" w:rsidRPr="006B3F59" w:rsidRDefault="006C6885" w:rsidP="00287E37">
      <w:pPr>
        <w:pStyle w:val="Odstavecseseznamem"/>
        <w:numPr>
          <w:ilvl w:val="0"/>
          <w:numId w:val="48"/>
        </w:numPr>
      </w:pPr>
      <w:r w:rsidRPr="006B3F59">
        <w:t xml:space="preserve">40A0 Kontinentální opadavé křoviny </w:t>
      </w:r>
    </w:p>
    <w:p w14:paraId="208788E4" w14:textId="77777777" w:rsidR="00287E37" w:rsidRPr="006B3F59" w:rsidRDefault="006C6885" w:rsidP="00287E37">
      <w:pPr>
        <w:pStyle w:val="Odstavecseseznamem"/>
        <w:numPr>
          <w:ilvl w:val="0"/>
          <w:numId w:val="48"/>
        </w:numPr>
      </w:pPr>
      <w:r w:rsidRPr="006B3F59">
        <w:t>6190 Panonské skalní trávníky (</w:t>
      </w:r>
      <w:proofErr w:type="spellStart"/>
      <w:r w:rsidRPr="006B3F59">
        <w:t>Stipo-Festucetalia</w:t>
      </w:r>
      <w:proofErr w:type="spellEnd"/>
      <w:r w:rsidRPr="006B3F59">
        <w:t xml:space="preserve"> pallentis) </w:t>
      </w:r>
    </w:p>
    <w:p w14:paraId="0673FB81" w14:textId="77777777" w:rsidR="00287E37" w:rsidRPr="006B3F59" w:rsidRDefault="006C6885" w:rsidP="00287E37">
      <w:pPr>
        <w:pStyle w:val="Odstavecseseznamem"/>
        <w:numPr>
          <w:ilvl w:val="0"/>
          <w:numId w:val="48"/>
        </w:numPr>
      </w:pPr>
      <w:r w:rsidRPr="006B3F59">
        <w:t>6210 Polopřirozené suché trávníky a facie křovin na vápnitých podložích (</w:t>
      </w:r>
      <w:proofErr w:type="spellStart"/>
      <w:r w:rsidRPr="006B3F59">
        <w:t>Festuco-Brometalia</w:t>
      </w:r>
      <w:proofErr w:type="spellEnd"/>
      <w:r w:rsidRPr="006B3F59">
        <w:t xml:space="preserve">) </w:t>
      </w:r>
    </w:p>
    <w:p w14:paraId="2F73BD73" w14:textId="77777777" w:rsidR="00287E37" w:rsidRPr="006B3F59" w:rsidRDefault="006C6885" w:rsidP="00287E37">
      <w:pPr>
        <w:pStyle w:val="Odstavecseseznamem"/>
        <w:numPr>
          <w:ilvl w:val="0"/>
          <w:numId w:val="48"/>
        </w:numPr>
      </w:pPr>
      <w:r w:rsidRPr="006B3F59">
        <w:t xml:space="preserve">8220 Chasmofytická vegetace silikátových skalnatých svahů </w:t>
      </w:r>
    </w:p>
    <w:p w14:paraId="10FCDBD9" w14:textId="6D95ACF2" w:rsidR="006C6885" w:rsidRPr="006B3F59" w:rsidRDefault="006C6885" w:rsidP="00287E37">
      <w:pPr>
        <w:pStyle w:val="Odstavecseseznamem"/>
        <w:numPr>
          <w:ilvl w:val="0"/>
          <w:numId w:val="48"/>
        </w:numPr>
      </w:pPr>
      <w:r w:rsidRPr="006B3F59">
        <w:t>8230 Pionýrská vegetace silikátových skal (</w:t>
      </w:r>
      <w:proofErr w:type="spellStart"/>
      <w:r w:rsidRPr="006B3F59">
        <w:t>Sedo-</w:t>
      </w:r>
      <w:r w:rsidR="007F0572" w:rsidRPr="006B3F59">
        <w:t>Scleranthion</w:t>
      </w:r>
      <w:proofErr w:type="spellEnd"/>
      <w:r w:rsidR="007F0572" w:rsidRPr="006B3F59">
        <w:t>)</w:t>
      </w:r>
    </w:p>
    <w:p w14:paraId="753991A2" w14:textId="77FA96E8" w:rsidR="006C6885" w:rsidRPr="006B3F59" w:rsidRDefault="006C6885" w:rsidP="00603353">
      <w:r w:rsidRPr="006B3F59">
        <w:t xml:space="preserve">Trasa navrhovaného tramvajového propojení Podbaby a Suchdola </w:t>
      </w:r>
      <w:r w:rsidR="008C7F96">
        <w:t xml:space="preserve">je vedena </w:t>
      </w:r>
      <w:r w:rsidRPr="006B3F59">
        <w:t>do bezprostřední blízkosti jedné části EV</w:t>
      </w:r>
      <w:r w:rsidR="00296FBA" w:rsidRPr="006B3F59">
        <w:t>L</w:t>
      </w:r>
      <w:r w:rsidRPr="006B3F59">
        <w:t>, kterou tvoří přírodní památka Podbabské skály</w:t>
      </w:r>
      <w:r w:rsidR="00296FBA" w:rsidRPr="006B3F59">
        <w:t xml:space="preserve">. K přímému dotčení EVL </w:t>
      </w:r>
      <w:r w:rsidR="007F0572" w:rsidRPr="006B3F59">
        <w:t>nedochází. Trať</w:t>
      </w:r>
      <w:r w:rsidR="00296FBA" w:rsidRPr="006B3F59">
        <w:t xml:space="preserve"> je vedena podél východní hranice EVL, od které je koridor tramvajové dráhy oddělen nejprve železniční tratí a výrazným převýšením.</w:t>
      </w:r>
    </w:p>
    <w:p w14:paraId="7E769F8B" w14:textId="35DF0667" w:rsidR="006C6885" w:rsidRDefault="006C6885" w:rsidP="00603353">
      <w:r w:rsidRPr="006B3F59">
        <w:t>Kromě výše popsané části EVL prochází navrhovaná tramvajová trasa v těsném souběhu ještě s jednou částí EVL Kaňon Vltavy u Sedlce, a sice s částí, která je vymezena shodně s přírodní památkou Baba. Trať je vedena podél východní hranice EVL, od které je koridor tramvajové dráhy oddělen nejprve železniční tratí a výrazným převýšením. Vliv lze proto vyloučit a touto části EVL se dále podrobně nezabýváme.</w:t>
      </w:r>
    </w:p>
    <w:p w14:paraId="3801E3B7" w14:textId="1C15B99A" w:rsidR="006B3F59" w:rsidRDefault="0046206D" w:rsidP="00603353">
      <w:r w:rsidRPr="0046206D">
        <w:t>Podrobněji viz část B a příloha č. 1 tohoto dokumentu.</w:t>
      </w:r>
    </w:p>
    <w:p w14:paraId="73605AB2" w14:textId="77777777" w:rsidR="0046206D" w:rsidRDefault="0046206D" w:rsidP="00603353"/>
    <w:p w14:paraId="39AB8E3E" w14:textId="77777777" w:rsidR="0046206D" w:rsidRDefault="0046206D" w:rsidP="00603353"/>
    <w:p w14:paraId="1CFDB3D9" w14:textId="77777777" w:rsidR="0046206D" w:rsidRDefault="0046206D" w:rsidP="00603353"/>
    <w:p w14:paraId="4FF796CF" w14:textId="77777777" w:rsidR="0046206D" w:rsidRDefault="0046206D" w:rsidP="00603353"/>
    <w:p w14:paraId="06A52E4B" w14:textId="22EAA887" w:rsidR="000979E0" w:rsidRPr="006B3F59" w:rsidRDefault="000979E0" w:rsidP="000C5ED8">
      <w:pPr>
        <w:spacing w:before="60"/>
        <w:rPr>
          <w:noProof/>
          <w:lang w:eastAsia="cs-CZ"/>
        </w:rPr>
      </w:pPr>
      <w:r w:rsidRPr="006B3F59">
        <w:rPr>
          <w:noProof/>
          <w:lang w:eastAsia="cs-CZ"/>
        </w:rPr>
        <w:lastRenderedPageBreak/>
        <w:drawing>
          <wp:inline distT="0" distB="0" distL="0" distR="0" wp14:anchorId="0E6A2234" wp14:editId="09006B23">
            <wp:extent cx="6120130" cy="3749040"/>
            <wp:effectExtent l="0" t="0" r="0" b="381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20130" cy="3749040"/>
                    </a:xfrm>
                    <a:prstGeom prst="rect">
                      <a:avLst/>
                    </a:prstGeom>
                  </pic:spPr>
                </pic:pic>
              </a:graphicData>
            </a:graphic>
          </wp:inline>
        </w:drawing>
      </w:r>
    </w:p>
    <w:p w14:paraId="1F5010D2" w14:textId="45FEBEB4" w:rsidR="000979E0" w:rsidRPr="006B3F59" w:rsidRDefault="008D39D5" w:rsidP="000C5ED8">
      <w:pPr>
        <w:spacing w:before="60"/>
        <w:rPr>
          <w:noProof/>
          <w:lang w:eastAsia="cs-CZ"/>
        </w:rPr>
      </w:pPr>
      <w:r w:rsidRPr="006B3F59">
        <w:rPr>
          <w:noProof/>
          <w:lang w:eastAsia="cs-CZ"/>
        </w:rPr>
        <w:drawing>
          <wp:inline distT="0" distB="0" distL="0" distR="0" wp14:anchorId="011217FE" wp14:editId="110FAD1C">
            <wp:extent cx="2052418" cy="1048043"/>
            <wp:effectExtent l="0" t="0" r="5080"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2062732" cy="1053309"/>
                    </a:xfrm>
                    <a:prstGeom prst="rect">
                      <a:avLst/>
                    </a:prstGeom>
                  </pic:spPr>
                </pic:pic>
              </a:graphicData>
            </a:graphic>
          </wp:inline>
        </w:drawing>
      </w:r>
      <w:r w:rsidRPr="006B3F59">
        <w:rPr>
          <w:noProof/>
          <w:lang w:eastAsia="cs-CZ"/>
        </w:rPr>
        <w:drawing>
          <wp:inline distT="0" distB="0" distL="0" distR="0" wp14:anchorId="58E6C8E5" wp14:editId="3B14E562">
            <wp:extent cx="1907695" cy="1002763"/>
            <wp:effectExtent l="0" t="0" r="0" b="698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1937810" cy="1018593"/>
                    </a:xfrm>
                    <a:prstGeom prst="rect">
                      <a:avLst/>
                    </a:prstGeom>
                  </pic:spPr>
                </pic:pic>
              </a:graphicData>
            </a:graphic>
          </wp:inline>
        </w:drawing>
      </w:r>
    </w:p>
    <w:p w14:paraId="3BECF284" w14:textId="25923946" w:rsidR="000979E0" w:rsidRPr="006B3F59" w:rsidRDefault="000979E0" w:rsidP="000979E0">
      <w:pPr>
        <w:pStyle w:val="Obrnadpis"/>
      </w:pPr>
      <w:bookmarkStart w:id="90" w:name="_Toc138848199"/>
      <w:r w:rsidRPr="006B3F59">
        <w:t>Zvláště chráněná území v řešeném území dle Geoportálu INSPIRE, cit.: 6.4.2023</w:t>
      </w:r>
      <w:bookmarkEnd w:id="90"/>
    </w:p>
    <w:p w14:paraId="56DED7B2" w14:textId="3AD12520" w:rsidR="000C5ED8" w:rsidRPr="006B3F59" w:rsidRDefault="000979E0" w:rsidP="000C5ED8">
      <w:pPr>
        <w:spacing w:before="60"/>
        <w:rPr>
          <w:sz w:val="16"/>
          <w:szCs w:val="16"/>
        </w:rPr>
      </w:pPr>
      <w:r w:rsidRPr="006B3F59">
        <w:rPr>
          <w:noProof/>
          <w:lang w:eastAsia="cs-CZ"/>
        </w:rPr>
        <w:lastRenderedPageBreak/>
        <w:drawing>
          <wp:inline distT="0" distB="0" distL="0" distR="0" wp14:anchorId="048A1AAA" wp14:editId="09A9A384">
            <wp:extent cx="6120130" cy="6294755"/>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120130" cy="6294755"/>
                    </a:xfrm>
                    <a:prstGeom prst="rect">
                      <a:avLst/>
                    </a:prstGeom>
                  </pic:spPr>
                </pic:pic>
              </a:graphicData>
            </a:graphic>
          </wp:inline>
        </w:drawing>
      </w:r>
      <w:r w:rsidR="000C5ED8" w:rsidRPr="006B3F59">
        <w:rPr>
          <w:noProof/>
          <w:lang w:eastAsia="cs-CZ"/>
        </w:rPr>
        <w:drawing>
          <wp:inline distT="0" distB="0" distL="0" distR="0" wp14:anchorId="2B064C52" wp14:editId="5DF8A479">
            <wp:extent cx="1781503" cy="2226877"/>
            <wp:effectExtent l="0" t="0" r="0" b="254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9"/>
                    <a:srcRect l="932" t="20040" r="91279" b="51710"/>
                    <a:stretch/>
                  </pic:blipFill>
                  <pic:spPr bwMode="auto">
                    <a:xfrm>
                      <a:off x="0" y="0"/>
                      <a:ext cx="1802680" cy="2253348"/>
                    </a:xfrm>
                    <a:prstGeom prst="rect">
                      <a:avLst/>
                    </a:prstGeom>
                    <a:ln>
                      <a:noFill/>
                    </a:ln>
                    <a:extLst>
                      <a:ext uri="{53640926-AAD7-44D8-BBD7-CCE9431645EC}">
                        <a14:shadowObscured xmlns:a14="http://schemas.microsoft.com/office/drawing/2010/main"/>
                      </a:ext>
                    </a:extLst>
                  </pic:spPr>
                </pic:pic>
              </a:graphicData>
            </a:graphic>
          </wp:inline>
        </w:drawing>
      </w:r>
      <w:r w:rsidR="00A46993" w:rsidRPr="006B3F59">
        <w:rPr>
          <w:noProof/>
          <w:lang w:eastAsia="cs-CZ"/>
        </w:rPr>
        <w:t xml:space="preserve"> </w:t>
      </w:r>
      <w:r w:rsidR="00A46993" w:rsidRPr="006B3F59">
        <w:rPr>
          <w:noProof/>
          <w:lang w:eastAsia="cs-CZ"/>
        </w:rPr>
        <w:drawing>
          <wp:inline distT="0" distB="0" distL="0" distR="0" wp14:anchorId="3D762767" wp14:editId="78D2759A">
            <wp:extent cx="1797269" cy="1597566"/>
            <wp:effectExtent l="0" t="0" r="0" b="3175"/>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0"/>
                    <a:srcRect l="533" t="18930" r="91078" b="59436"/>
                    <a:stretch/>
                  </pic:blipFill>
                  <pic:spPr bwMode="auto">
                    <a:xfrm>
                      <a:off x="0" y="0"/>
                      <a:ext cx="1793165" cy="1593918"/>
                    </a:xfrm>
                    <a:prstGeom prst="rect">
                      <a:avLst/>
                    </a:prstGeom>
                    <a:ln>
                      <a:noFill/>
                    </a:ln>
                    <a:extLst>
                      <a:ext uri="{53640926-AAD7-44D8-BBD7-CCE9431645EC}">
                        <a14:shadowObscured xmlns:a14="http://schemas.microsoft.com/office/drawing/2010/main"/>
                      </a:ext>
                    </a:extLst>
                  </pic:spPr>
                </pic:pic>
              </a:graphicData>
            </a:graphic>
          </wp:inline>
        </w:drawing>
      </w:r>
    </w:p>
    <w:p w14:paraId="32117E7A" w14:textId="32589DCD" w:rsidR="00603353" w:rsidRPr="006B3F59" w:rsidRDefault="000C5ED8" w:rsidP="000C5ED8">
      <w:pPr>
        <w:pStyle w:val="Obrnadpis"/>
      </w:pPr>
      <w:bookmarkStart w:id="91" w:name="_Toc138848200"/>
      <w:r w:rsidRPr="006B3F59">
        <w:t xml:space="preserve">Ochrana přírody a krajiny v řešeném území. Zdroj: Atlas životního prostředí Praha IPR Praha dostupný z: </w:t>
      </w:r>
      <w:r w:rsidR="005813FD" w:rsidRPr="006B3F59">
        <w:rPr>
          <w:sz w:val="20"/>
        </w:rPr>
        <w:t>www.geoportalpraha.cz</w:t>
      </w:r>
      <w:r w:rsidR="00603353" w:rsidRPr="006B3F59">
        <w:rPr>
          <w:sz w:val="20"/>
        </w:rPr>
        <w:t xml:space="preserve"> </w:t>
      </w:r>
      <w:r w:rsidR="00FA0753" w:rsidRPr="006B3F59">
        <w:rPr>
          <w:sz w:val="20"/>
        </w:rPr>
        <w:t>, citováno 10.</w:t>
      </w:r>
      <w:r w:rsidR="000979E0" w:rsidRPr="006B3F59">
        <w:rPr>
          <w:sz w:val="20"/>
        </w:rPr>
        <w:t>4</w:t>
      </w:r>
      <w:r w:rsidR="00FA0753" w:rsidRPr="006B3F59">
        <w:rPr>
          <w:sz w:val="20"/>
        </w:rPr>
        <w:t>.202</w:t>
      </w:r>
      <w:r w:rsidR="000979E0" w:rsidRPr="006B3F59">
        <w:rPr>
          <w:sz w:val="20"/>
        </w:rPr>
        <w:t>3</w:t>
      </w:r>
      <w:bookmarkEnd w:id="91"/>
    </w:p>
    <w:p w14:paraId="6629F770" w14:textId="77777777" w:rsidR="008D39D5" w:rsidRPr="006B3F59" w:rsidRDefault="008D39D5" w:rsidP="008D39D5">
      <w:pPr>
        <w:rPr>
          <w:lang w:eastAsia="cs-CZ"/>
        </w:rPr>
      </w:pPr>
    </w:p>
    <w:p w14:paraId="580AC106" w14:textId="76E5A08B" w:rsidR="008D39D5" w:rsidRPr="006B3F59" w:rsidRDefault="00230F3C" w:rsidP="008D39D5">
      <w:pPr>
        <w:rPr>
          <w:lang w:eastAsia="cs-CZ"/>
        </w:rPr>
      </w:pPr>
      <w:r w:rsidRPr="006B3F59">
        <w:rPr>
          <w:lang w:eastAsia="cs-CZ"/>
        </w:rPr>
        <w:t xml:space="preserve">  </w:t>
      </w:r>
      <w:r w:rsidRPr="006B3F59">
        <w:rPr>
          <w:noProof/>
          <w:lang w:eastAsia="cs-CZ"/>
        </w:rPr>
        <w:drawing>
          <wp:inline distT="0" distB="0" distL="0" distR="0" wp14:anchorId="624CF8D1" wp14:editId="5296FB1B">
            <wp:extent cx="2186402" cy="4037085"/>
            <wp:effectExtent l="0" t="0" r="4445" b="1905"/>
            <wp:docPr id="39" name="Obráze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2199374" cy="4061037"/>
                    </a:xfrm>
                    <a:prstGeom prst="rect">
                      <a:avLst/>
                    </a:prstGeom>
                  </pic:spPr>
                </pic:pic>
              </a:graphicData>
            </a:graphic>
          </wp:inline>
        </w:drawing>
      </w:r>
      <w:r w:rsidRPr="006B3F59">
        <w:rPr>
          <w:lang w:eastAsia="cs-CZ"/>
        </w:rPr>
        <w:t xml:space="preserve"> </w:t>
      </w:r>
      <w:r w:rsidRPr="006B3F59">
        <w:rPr>
          <w:noProof/>
          <w:lang w:eastAsia="cs-CZ"/>
        </w:rPr>
        <w:drawing>
          <wp:inline distT="0" distB="0" distL="0" distR="0" wp14:anchorId="6827A9AD" wp14:editId="54A55280">
            <wp:extent cx="2874917" cy="4044462"/>
            <wp:effectExtent l="0" t="0" r="1905" b="0"/>
            <wp:docPr id="32" name="Obráze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882911" cy="4055708"/>
                    </a:xfrm>
                    <a:prstGeom prst="rect">
                      <a:avLst/>
                    </a:prstGeom>
                  </pic:spPr>
                </pic:pic>
              </a:graphicData>
            </a:graphic>
          </wp:inline>
        </w:drawing>
      </w:r>
    </w:p>
    <w:p w14:paraId="085B676D" w14:textId="4C80D71D" w:rsidR="008D39D5" w:rsidRPr="006B3F59" w:rsidRDefault="00230F3C" w:rsidP="008D39D5">
      <w:pPr>
        <w:rPr>
          <w:lang w:eastAsia="cs-CZ"/>
        </w:rPr>
      </w:pPr>
      <w:r w:rsidRPr="006B3F59">
        <w:rPr>
          <w:noProof/>
          <w:lang w:eastAsia="cs-CZ"/>
        </w:rPr>
        <w:drawing>
          <wp:inline distT="0" distB="0" distL="0" distR="0" wp14:anchorId="05C94A28" wp14:editId="2904C79C">
            <wp:extent cx="1688123" cy="616387"/>
            <wp:effectExtent l="0" t="0" r="7620" b="0"/>
            <wp:docPr id="38" name="Obráze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1707165" cy="623340"/>
                    </a:xfrm>
                    <a:prstGeom prst="rect">
                      <a:avLst/>
                    </a:prstGeom>
                  </pic:spPr>
                </pic:pic>
              </a:graphicData>
            </a:graphic>
          </wp:inline>
        </w:drawing>
      </w:r>
    </w:p>
    <w:p w14:paraId="10F50E70" w14:textId="2F9BD587" w:rsidR="008D39D5" w:rsidRPr="006B3F59" w:rsidRDefault="008D39D5" w:rsidP="008D39D5">
      <w:pPr>
        <w:pStyle w:val="Obrnadpis"/>
      </w:pPr>
      <w:bookmarkStart w:id="92" w:name="_Toc138848201"/>
      <w:r w:rsidRPr="006B3F59">
        <w:t>Plochy se změnou využití území a detail vymezení EVL Kaňon Vltavy v řešeném území, zdroj: IPR, návrh změny a Atlas ŽP Prahy, IPR, cit. 6.4.2023</w:t>
      </w:r>
      <w:bookmarkEnd w:id="92"/>
    </w:p>
    <w:p w14:paraId="642DEB87" w14:textId="58C62756" w:rsidR="00603353" w:rsidRPr="006B3F59" w:rsidRDefault="00603353" w:rsidP="00492791">
      <w:pPr>
        <w:pStyle w:val="Podnadpis1"/>
      </w:pPr>
      <w:r w:rsidRPr="006B3F59">
        <w:t>Územní systém ekologické stability (ÚSES)</w:t>
      </w:r>
    </w:p>
    <w:p w14:paraId="44CD5AEB" w14:textId="7880F214" w:rsidR="005440E1" w:rsidRPr="006B3F59" w:rsidRDefault="00FD316F" w:rsidP="000C5ED8">
      <w:r w:rsidRPr="006B3F59">
        <w:t xml:space="preserve">Územím Nového Sedlce prochází stávající ÚSES. </w:t>
      </w:r>
      <w:r w:rsidR="005440E1" w:rsidRPr="006B3F59">
        <w:t>ÚSES v oblasti Výhledů je zastoupen funkčním nadregionálním biokoridorem N3/9, který navazuje na biocentrum L1/165 severně od Kamýcké ulice. Stávající vedení biokoridoru bylo v návrhu upraveno s ohledem na plánovanou aktualizaci celého systému, jak je navržen v oborovém dokumentu „Plán místního systému ekologické stability pro území hl. m. Prahy“ a pořízen OCP MHMP v roce 2021 jako podklad pro územní plánování. Změna nově počítá s umístěním biocentra na východním okraji řešeného území.</w:t>
      </w:r>
    </w:p>
    <w:p w14:paraId="47B622DA" w14:textId="5802DDB8" w:rsidR="00FD316F" w:rsidRPr="006B3F59" w:rsidRDefault="00FD316F" w:rsidP="000C5ED8">
      <w:r w:rsidRPr="006B3F59">
        <w:t xml:space="preserve">Do území biokoridoru spadá též pískovcová stěna při hraně pozemku parc. č. 429/12, k. ú. Suchdol, která musí být ponechána ve stávajícím stavu. </w:t>
      </w:r>
    </w:p>
    <w:p w14:paraId="72314C24" w14:textId="3AA90CCE" w:rsidR="00306E4A" w:rsidRPr="006B3F59" w:rsidRDefault="00306E4A" w:rsidP="00306E4A">
      <w:pPr>
        <w:rPr>
          <w:lang w:eastAsia="cs-CZ"/>
        </w:rPr>
      </w:pPr>
      <w:r w:rsidRPr="006B3F59">
        <w:rPr>
          <w:lang w:eastAsia="cs-CZ"/>
        </w:rPr>
        <w:t>V návrhu řešení posuzované změny územního plánu dochází ke dvěma změnám ve vymezení ÚSES. První změnou jsou místní, upřesňující korekce průběhu nadregionálního biokoridoru N3/9 v oblasti Nového Sedlce a druhou změnou je vložení nového lokálního biocentra (označeného L1/428) do tohoto biokoridoru. Vymezení ÚSES tak reaguje nejen na nový plán ÚSES od OCP, ale zohledňuje v sobě také revizi nadregionálního ÚSES v Praze zpracovanou MŽP ČR v roce 2018 a zároveň nové z</w:t>
      </w:r>
      <w:r w:rsidR="00191A49">
        <w:rPr>
          <w:lang w:eastAsia="cs-CZ"/>
        </w:rPr>
        <w:t>n</w:t>
      </w:r>
      <w:r w:rsidRPr="006B3F59">
        <w:rPr>
          <w:lang w:eastAsia="cs-CZ"/>
        </w:rPr>
        <w:t>ění metodiky MŽP ČR pro vymezování ÚSES z roku 2017. Korekce hranice ÚSES severně od ulice Kamýcké je pouze opravou nepřesnosti.</w:t>
      </w:r>
    </w:p>
    <w:p w14:paraId="43B5C9F9" w14:textId="0C5160AF" w:rsidR="00455E26" w:rsidRDefault="00455E26" w:rsidP="000C5ED8">
      <w:pPr>
        <w:rPr>
          <w:lang w:eastAsia="cs-CZ"/>
        </w:rPr>
      </w:pPr>
      <w:r w:rsidRPr="00455E26">
        <w:rPr>
          <w:noProof/>
          <w:lang w:eastAsia="cs-CZ"/>
        </w:rPr>
        <w:lastRenderedPageBreak/>
        <w:drawing>
          <wp:inline distT="0" distB="0" distL="0" distR="0" wp14:anchorId="3C8A5458" wp14:editId="2B888276">
            <wp:extent cx="3311951" cy="4170694"/>
            <wp:effectExtent l="0" t="0" r="3175" b="1270"/>
            <wp:docPr id="62" name="Obráze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3319276" cy="4179918"/>
                    </a:xfrm>
                    <a:prstGeom prst="rect">
                      <a:avLst/>
                    </a:prstGeom>
                  </pic:spPr>
                </pic:pic>
              </a:graphicData>
            </a:graphic>
          </wp:inline>
        </w:drawing>
      </w:r>
      <w:r w:rsidRPr="00455E26">
        <w:rPr>
          <w:noProof/>
          <w:lang w:eastAsia="cs-CZ"/>
        </w:rPr>
        <w:drawing>
          <wp:inline distT="0" distB="0" distL="0" distR="0" wp14:anchorId="28F6C6C2" wp14:editId="0E087A1F">
            <wp:extent cx="1822531" cy="1856788"/>
            <wp:effectExtent l="0" t="0" r="6350" b="0"/>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1829706" cy="1864098"/>
                    </a:xfrm>
                    <a:prstGeom prst="rect">
                      <a:avLst/>
                    </a:prstGeom>
                  </pic:spPr>
                </pic:pic>
              </a:graphicData>
            </a:graphic>
          </wp:inline>
        </w:drawing>
      </w:r>
    </w:p>
    <w:p w14:paraId="4F966ABE" w14:textId="6FD3D2F7" w:rsidR="00455E26" w:rsidRDefault="00455E26" w:rsidP="00455E26">
      <w:pPr>
        <w:pStyle w:val="Obrnadpis"/>
      </w:pPr>
      <w:bookmarkStart w:id="93" w:name="_Toc138848202"/>
      <w:r>
        <w:t>ÚSES v řešeném území, zdroj: Atlas ŽP Praha, IPR, cit. 6.4.2023</w:t>
      </w:r>
      <w:bookmarkEnd w:id="93"/>
    </w:p>
    <w:p w14:paraId="31A69334" w14:textId="77777777" w:rsidR="00296FBA" w:rsidRPr="006B3F59" w:rsidRDefault="00296FBA" w:rsidP="00296FBA">
      <w:pPr>
        <w:pStyle w:val="Podnadpis1"/>
      </w:pPr>
      <w:r w:rsidRPr="006B3F59">
        <w:t>Celoměstský systém zeleně</w:t>
      </w:r>
    </w:p>
    <w:p w14:paraId="7736861A" w14:textId="5E69F540" w:rsidR="00296FBA" w:rsidRPr="006B3F59" w:rsidRDefault="00296FBA" w:rsidP="00296FBA">
      <w:pPr>
        <w:rPr>
          <w:lang w:eastAsia="cs-CZ"/>
        </w:rPr>
      </w:pPr>
      <w:r w:rsidRPr="006B3F59">
        <w:rPr>
          <w:lang w:eastAsia="cs-CZ"/>
        </w:rPr>
        <w:t xml:space="preserve">Změnou dojde k navýšení ploch celoměstského systému zeleně (CSZ) v rozsahu 16 268 m². Výměra stávajících ploch včetně navrhovaných s umístěním celoměstského systému zeleně činí 65 691 m² oproti rušeným plochám celoměstského systému zeleně, jejichž výměra činí 49 423 m². Tato úprava pozitivně ovlivní celkovou koncepci celoměstského systému zeleně v daném území a posílí jeho funkčnost. V lokalitě Výhledy prostupuje systém centrálním prostorem rozvojových území a zároveň posiluje pás v severní a západní části. V lokalitě Nový Sedlec je systém posílen především v okrajových částech od severu k jihu.   </w:t>
      </w:r>
    </w:p>
    <w:p w14:paraId="316B1178" w14:textId="1FC0ED57" w:rsidR="003F0E5A" w:rsidRPr="006B3F59" w:rsidRDefault="003F0E5A" w:rsidP="00A67277">
      <w:pPr>
        <w:pStyle w:val="Nadpis3"/>
      </w:pPr>
      <w:bookmarkStart w:id="94" w:name="_Toc29298328"/>
      <w:bookmarkStart w:id="95" w:name="_Toc138848107"/>
      <w:r w:rsidRPr="006B3F59">
        <w:t>Půda</w:t>
      </w:r>
      <w:bookmarkEnd w:id="87"/>
      <w:bookmarkEnd w:id="94"/>
      <w:bookmarkEnd w:id="95"/>
    </w:p>
    <w:p w14:paraId="5869BE7A" w14:textId="77777777" w:rsidR="00BC433E" w:rsidRPr="006B3F59" w:rsidRDefault="00BC433E" w:rsidP="00AC5717">
      <w:bookmarkStart w:id="96" w:name="_Hlk135829658"/>
      <w:r w:rsidRPr="006B3F59">
        <w:t xml:space="preserve">Převažujícím půdním typem Řípského bioregionu (dle biogeografického členění ČR Culek a kol., 1996) jsou karbonátové černozemě na spraších. Typické kambizemě se vyskytují v zaříznutých údolích na svazích tvořených kyselejšími skalními horninami, zvláště na svazích údolí Vltavy a jejích přítoků. Na strmějších skalnatých svazích, pískovcích a buližnících přecházejí tyto půdy až do kyselých rankerů a litozemí. Na zbytcích teras jsou vyvinuty arenické kambizemě s tendencí k podzolizaci. </w:t>
      </w:r>
    </w:p>
    <w:p w14:paraId="1EA950B3" w14:textId="65D1AB8A" w:rsidR="00BE4A30" w:rsidRPr="006B3F59" w:rsidRDefault="00BE4A30" w:rsidP="00AC5717">
      <w:r w:rsidRPr="006B3F59">
        <w:t>Z hlediska ochrany zemědělského půdního fondu (dále jen ZPF) jsou nejhodnotnější půdy zařazené do třídy ochrany I. a II., které by měly být vyjímány jen v nejnutnějších případech pro významné infrastrukturní stavby a pro záměry ekologické obnovy krajiny. U pozemků třídy ochrany I. a II. by se v případě vynětí ze ZPF měl prokázat převažující veřejný zájem záboru ZPF nad veřejným zájmem ochrany ZPF. Pro výstavbu by tedy měly být využívány půdy třídy ochrany III.-V., tedy půdy méně kvalitní. Půdy, resp. pokryvné útvary, v oblasti Nového Sedlce jsou zařazeny do tříd ochrany I. a II., tedy do nejcennějších skupin, avšak kvůli minulé těžební činnosti a současnému využití území pro recyklaci zemin a stavebních materiálů území ztratilo své vlastnosti pro vyšší ochranu. Místy dochází k masivním erozím půdy. Výstavbou tramvajové tratě a okolní zástavby tak dojde k revitalizaci brownfieldu. Na území Výhledů se</w:t>
      </w:r>
      <w:r w:rsidR="00296FBA" w:rsidRPr="006B3F59">
        <w:t xml:space="preserve"> naopak</w:t>
      </w:r>
      <w:r w:rsidRPr="006B3F59">
        <w:t xml:space="preserve"> nachází nejcennější půdy třídy ochrany I., které jsou zemědělsky obhospodařované. Předpokládaný zábor ZPF je zdůvodnitelný veřejnou prospěšností výstavby tramvajové tratě, její smyčkou a v neposlední řadě pak výstavbou parkovacího objektu P+R. V platném ÚP je zábor ZPF na lokalitách změn již vyhodnocen, změnou dojde k</w:t>
      </w:r>
      <w:r w:rsidR="00296FBA" w:rsidRPr="006B3F59">
        <w:t xml:space="preserve"> přerozdělení a </w:t>
      </w:r>
      <w:r w:rsidRPr="006B3F59">
        <w:t>úpravě předpokládaného záboru ZPF</w:t>
      </w:r>
      <w:r w:rsidR="00296FBA" w:rsidRPr="006B3F59">
        <w:t xml:space="preserve"> zakotveného již v platném ÚP</w:t>
      </w:r>
      <w:r w:rsidRPr="006B3F59">
        <w:t>.</w:t>
      </w:r>
    </w:p>
    <w:p w14:paraId="550D83CC" w14:textId="4821C6A7" w:rsidR="00BC433E" w:rsidRPr="006B3F59" w:rsidRDefault="00BC433E" w:rsidP="00AC5717">
      <w:r w:rsidRPr="006B3F59">
        <w:lastRenderedPageBreak/>
        <w:t>Nalezneme zde také navážky, přičemž nejvýznamnější je deponie zemin v úseku od ulice Kamýcké severním směrem (Budovec), která dosahuje mocnosti až 9 m.</w:t>
      </w:r>
    </w:p>
    <w:p w14:paraId="211193DC" w14:textId="146BF186" w:rsidR="00AC5717" w:rsidRPr="006B3F59" w:rsidRDefault="00AC5717" w:rsidP="00AC5717">
      <w:r w:rsidRPr="006B3F59">
        <w:t xml:space="preserve">V současnosti se </w:t>
      </w:r>
      <w:r w:rsidR="009E2559" w:rsidRPr="006B3F59">
        <w:t xml:space="preserve">tak </w:t>
      </w:r>
      <w:r w:rsidRPr="006B3F59">
        <w:t>jedná o území převážně bez přirozeného půdního profilu</w:t>
      </w:r>
      <w:r w:rsidR="009E2559" w:rsidRPr="006B3F59">
        <w:t xml:space="preserve"> (s výjimkou oblasti Výhledů)</w:t>
      </w:r>
      <w:r w:rsidRPr="006B3F59">
        <w:t>, zastavěné území pokryté antropozeměmi</w:t>
      </w:r>
      <w:r w:rsidR="009E2559" w:rsidRPr="006B3F59">
        <w:t>, oblast brownfields a bývalých těžeben zavezených navážkami</w:t>
      </w:r>
      <w:r w:rsidRPr="006B3F59">
        <w:t>.</w:t>
      </w:r>
      <w:r w:rsidR="00296FBA" w:rsidRPr="006B3F59">
        <w:t xml:space="preserve"> Na většině území jsou půdy evidované jako ZPF zbytkovými plochami v zastavěném území.</w:t>
      </w:r>
    </w:p>
    <w:p w14:paraId="2CF119BD" w14:textId="6C7B8609" w:rsidR="007654DF" w:rsidRPr="006B3F59" w:rsidRDefault="007654DF" w:rsidP="007654DF">
      <w:r w:rsidRPr="006B3F59">
        <w:t xml:space="preserve">Změna předpokládá zábor zemědělského půdního fondu (ZPF), druhu pozemku ve větší míře orná půda a o menší rozloze pak zahrada, celkem </w:t>
      </w:r>
      <w:r w:rsidR="00296FBA" w:rsidRPr="006B3F59">
        <w:t xml:space="preserve">lze očekávat zábor v rozsahu </w:t>
      </w:r>
      <w:r w:rsidRPr="006B3F59">
        <w:t xml:space="preserve">cca 18,7 ha, </w:t>
      </w:r>
      <w:r w:rsidR="00296FBA" w:rsidRPr="006B3F59">
        <w:t>návrat</w:t>
      </w:r>
      <w:r w:rsidRPr="006B3F59">
        <w:t xml:space="preserve"> pozemků do ZPF </w:t>
      </w:r>
      <w:r w:rsidR="00296FBA" w:rsidRPr="006B3F59">
        <w:t>lze</w:t>
      </w:r>
      <w:r w:rsidRPr="006B3F59">
        <w:t xml:space="preserve"> předpokl</w:t>
      </w:r>
      <w:r w:rsidR="00296FBA" w:rsidRPr="006B3F59">
        <w:t>á</w:t>
      </w:r>
      <w:r w:rsidRPr="006B3F59">
        <w:t>d</w:t>
      </w:r>
      <w:r w:rsidR="00296FBA" w:rsidRPr="006B3F59">
        <w:t xml:space="preserve">at v rozsahu </w:t>
      </w:r>
      <w:r w:rsidRPr="006B3F59">
        <w:t>cca 9,6</w:t>
      </w:r>
      <w:r w:rsidR="00F439F2" w:rsidRPr="006B3F59">
        <w:t xml:space="preserve"> ha</w:t>
      </w:r>
      <w:r w:rsidRPr="006B3F59">
        <w:t xml:space="preserve">. V platném ÚP SÚ hl. Prahy je zábor na plochách uplatňujících se ve </w:t>
      </w:r>
      <w:r w:rsidR="00CF6B6D" w:rsidRPr="006B3F59">
        <w:t>změně,</w:t>
      </w:r>
      <w:r w:rsidRPr="006B3F59">
        <w:t xml:space="preserve"> již vyhodnocen. Změna nenavrhuje nové plochy nad rámec již vyhodnocených záborů, dochází však k jejich přerozdělení a změnám funkcí. Zábor ZPF je možný rozdělit na dvě zásadní lokality: Nový Sedlec a Výhledy. </w:t>
      </w:r>
    </w:p>
    <w:p w14:paraId="38753E5A" w14:textId="77777777" w:rsidR="007654DF" w:rsidRPr="006B3F59" w:rsidRDefault="007654DF" w:rsidP="007654DF">
      <w:r w:rsidRPr="006B3F59">
        <w:t>V části Nový Sedlec se jedná o předpokládaný zábor druhů pozemku orná půda a zahrada TO I. pro plochy veřejného vybavení /VV/, sportu a oddechu /SO/ a zeleně /ZMK/. Pozemky nejsou zemědělsky využívány, sousedí se zastavěnými a zastavitelnými plochami a jsou součástí zastavěného území. Pozemky jsou v zásadě devastované a zarostlé ruderální zelení. Formální zábor ZPF je zdůvodnitelný a veřejný zájem záboru ZPF je prokazatelný právě veřejnou prospěšností školy, sportoviště a celkovým dotvořením sídla v návaznosti na tramvajovou trať.</w:t>
      </w:r>
    </w:p>
    <w:p w14:paraId="04E5E29C" w14:textId="695A8D1D" w:rsidR="007654DF" w:rsidRPr="006B3F59" w:rsidRDefault="007654DF" w:rsidP="007654DF">
      <w:r w:rsidRPr="006B3F59">
        <w:t xml:space="preserve">Oblast Výhledů </w:t>
      </w:r>
      <w:r w:rsidR="00E92C47" w:rsidRPr="006B3F59">
        <w:t>je</w:t>
      </w:r>
      <w:r w:rsidRPr="006B3F59">
        <w:t xml:space="preserve"> zemědělsky využívána. V platném územním plánu je zábor ZPF také vyhodnocen, změnou se jen transformuje předpokládané využití dle podkladových studií a v návaznosti na vedené tramvajové tratě. Pozemky změny navazují na zastavitelné plochy a zastavěné území. Uplatněním změny se předpokládá zábor ZPF druhu pozemku orná půda TO I. pro zastavitelné plochy pro bydlení, plochy dopravní infrastruktury tramvajové tratě a terminálu a pro plochy zeleně. Zábor ZPF je zdůvodnitelný a veřejný zájem záboru ZPF prokazatelný právě výstavbou dopravní infrastruktury a doprovodných staveb, dále pak dotvořením struktury sídla. </w:t>
      </w:r>
      <w:r w:rsidRPr="008C4947">
        <w:t>Plochy nad tubusem tunelu</w:t>
      </w:r>
      <w:r w:rsidRPr="006B3F59">
        <w:t xml:space="preserve"> by měly mít parkovou podobu.</w:t>
      </w:r>
    </w:p>
    <w:p w14:paraId="02331AF8" w14:textId="77777777" w:rsidR="007654DF" w:rsidRPr="006B3F59" w:rsidRDefault="007654DF" w:rsidP="007654DF">
      <w:r w:rsidRPr="006B3F59">
        <w:t>Převážná část záborů nejhodnotnějších půd je pak tvořena zábory pro zeleň a pro travnaté plochy a pro plochy dopravní infrastruktury. Rozsah a struktura ploch ÚP jsou navrženy s ohledem na hospodárné využití ZPF, což je v souladu s § 4 zákona o ochraně ZPF.</w:t>
      </w:r>
    </w:p>
    <w:p w14:paraId="2CA7CDAD" w14:textId="3F05F2B4" w:rsidR="00AC5717" w:rsidRPr="006B3F59" w:rsidRDefault="007654DF" w:rsidP="007654DF">
      <w:r w:rsidRPr="006B3F59">
        <w:t>Změnou dojde k odnětí pozemků určených k plnění funkce lesa (PUPFL) v celkové ploše 0,4321 ha ve stopě koridoru přivaděče Rybářka. Odnětí je zdůvodnitelné výstavbou stavby dopravní infrastruktury ve veřejném zájmu.</w:t>
      </w:r>
    </w:p>
    <w:p w14:paraId="1D10C725" w14:textId="7F969BC6" w:rsidR="00AC559F" w:rsidRPr="006B3F59" w:rsidRDefault="00AC559F" w:rsidP="00AC559F">
      <w:pPr>
        <w:pStyle w:val="Tabulkanzev"/>
      </w:pPr>
      <w:bookmarkStart w:id="97" w:name="_Toc138848171"/>
      <w:r w:rsidRPr="006B3F59">
        <w:t>Přehled potenciálního záboru ZPF, zdroj: IPR</w:t>
      </w:r>
      <w:bookmarkEnd w:id="97"/>
    </w:p>
    <w:tbl>
      <w:tblPr>
        <w:tblW w:w="9645" w:type="dxa"/>
        <w:tblInd w:w="70" w:type="dxa"/>
        <w:tblCellMar>
          <w:left w:w="70" w:type="dxa"/>
          <w:right w:w="70" w:type="dxa"/>
        </w:tblCellMar>
        <w:tblLook w:val="04A0" w:firstRow="1" w:lastRow="0" w:firstColumn="1" w:lastColumn="0" w:noHBand="0" w:noVBand="1"/>
      </w:tblPr>
      <w:tblGrid>
        <w:gridCol w:w="997"/>
        <w:gridCol w:w="1134"/>
        <w:gridCol w:w="1616"/>
        <w:gridCol w:w="805"/>
        <w:gridCol w:w="805"/>
        <w:gridCol w:w="805"/>
        <w:gridCol w:w="805"/>
        <w:gridCol w:w="805"/>
        <w:gridCol w:w="1873"/>
      </w:tblGrid>
      <w:tr w:rsidR="00AC559F" w:rsidRPr="006B3F59" w14:paraId="5DB60356" w14:textId="77777777" w:rsidTr="005450BF">
        <w:trPr>
          <w:trHeight w:val="642"/>
          <w:tblHeader/>
        </w:trPr>
        <w:tc>
          <w:tcPr>
            <w:tcW w:w="997" w:type="dxa"/>
            <w:vMerge w:val="restart"/>
            <w:tcBorders>
              <w:top w:val="single" w:sz="4" w:space="0" w:color="auto"/>
              <w:left w:val="single" w:sz="4" w:space="0" w:color="auto"/>
              <w:bottom w:val="single" w:sz="4" w:space="0" w:color="000000"/>
              <w:right w:val="single" w:sz="4" w:space="0" w:color="auto"/>
            </w:tcBorders>
            <w:shd w:val="clear" w:color="000000" w:fill="D9D9D9"/>
            <w:vAlign w:val="bottom"/>
            <w:hideMark/>
          </w:tcPr>
          <w:p w14:paraId="7C486FF9"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Označení plochy / koridoru</w:t>
            </w:r>
          </w:p>
        </w:tc>
        <w:tc>
          <w:tcPr>
            <w:tcW w:w="1134" w:type="dxa"/>
            <w:vMerge w:val="restart"/>
            <w:tcBorders>
              <w:top w:val="single" w:sz="4" w:space="0" w:color="auto"/>
              <w:left w:val="single" w:sz="4" w:space="0" w:color="auto"/>
              <w:bottom w:val="single" w:sz="4" w:space="0" w:color="000000"/>
              <w:right w:val="single" w:sz="4" w:space="0" w:color="auto"/>
            </w:tcBorders>
            <w:shd w:val="clear" w:color="000000" w:fill="D9D9D9"/>
            <w:vAlign w:val="bottom"/>
            <w:hideMark/>
          </w:tcPr>
          <w:p w14:paraId="01FC92BB"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Navržené využití</w:t>
            </w:r>
          </w:p>
        </w:tc>
        <w:tc>
          <w:tcPr>
            <w:tcW w:w="1616" w:type="dxa"/>
            <w:vMerge w:val="restart"/>
            <w:tcBorders>
              <w:top w:val="single" w:sz="4" w:space="0" w:color="auto"/>
              <w:left w:val="single" w:sz="4" w:space="0" w:color="auto"/>
              <w:bottom w:val="single" w:sz="4" w:space="0" w:color="000000"/>
              <w:right w:val="single" w:sz="4" w:space="0" w:color="auto"/>
            </w:tcBorders>
            <w:shd w:val="clear" w:color="000000" w:fill="D9D9D9"/>
            <w:vAlign w:val="bottom"/>
            <w:hideMark/>
          </w:tcPr>
          <w:p w14:paraId="5195B95E"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Souhrn výměry záboru (ha)</w:t>
            </w:r>
          </w:p>
        </w:tc>
        <w:tc>
          <w:tcPr>
            <w:tcW w:w="4025" w:type="dxa"/>
            <w:gridSpan w:val="5"/>
            <w:tcBorders>
              <w:top w:val="single" w:sz="4" w:space="0" w:color="auto"/>
              <w:left w:val="nil"/>
              <w:bottom w:val="single" w:sz="4" w:space="0" w:color="auto"/>
              <w:right w:val="single" w:sz="4" w:space="0" w:color="auto"/>
            </w:tcBorders>
            <w:shd w:val="clear" w:color="000000" w:fill="D9D9D9"/>
            <w:vAlign w:val="bottom"/>
            <w:hideMark/>
          </w:tcPr>
          <w:p w14:paraId="77F53625" w14:textId="2D3B2EB8"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xml:space="preserve">Výměra záboru podle tříd ochrany (ha) </w:t>
            </w:r>
          </w:p>
        </w:tc>
        <w:tc>
          <w:tcPr>
            <w:tcW w:w="1873" w:type="dxa"/>
            <w:vMerge w:val="restart"/>
            <w:tcBorders>
              <w:top w:val="single" w:sz="4" w:space="0" w:color="auto"/>
              <w:left w:val="single" w:sz="4" w:space="0" w:color="auto"/>
              <w:bottom w:val="single" w:sz="4" w:space="0" w:color="000000"/>
              <w:right w:val="single" w:sz="4" w:space="0" w:color="auto"/>
            </w:tcBorders>
            <w:shd w:val="clear" w:color="000000" w:fill="D9D9D9"/>
            <w:vAlign w:val="bottom"/>
            <w:hideMark/>
          </w:tcPr>
          <w:p w14:paraId="152B28F9"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Odhad výměry záboru, na kterém bude provedena rekultivace na zemědělskou půdu</w:t>
            </w:r>
          </w:p>
        </w:tc>
      </w:tr>
      <w:tr w:rsidR="00AC559F" w:rsidRPr="006B3F59" w14:paraId="3E0681F2" w14:textId="77777777" w:rsidTr="005450BF">
        <w:trPr>
          <w:trHeight w:val="58"/>
          <w:tblHeader/>
        </w:trPr>
        <w:tc>
          <w:tcPr>
            <w:tcW w:w="997" w:type="dxa"/>
            <w:vMerge/>
            <w:tcBorders>
              <w:top w:val="single" w:sz="4" w:space="0" w:color="auto"/>
              <w:left w:val="single" w:sz="4" w:space="0" w:color="auto"/>
              <w:bottom w:val="single" w:sz="4" w:space="0" w:color="000000"/>
              <w:right w:val="single" w:sz="4" w:space="0" w:color="auto"/>
            </w:tcBorders>
            <w:vAlign w:val="center"/>
            <w:hideMark/>
          </w:tcPr>
          <w:p w14:paraId="2AAAEDC9" w14:textId="77777777" w:rsidR="00AC559F" w:rsidRPr="006B3F59" w:rsidRDefault="00AC559F" w:rsidP="009B4A0C">
            <w:pPr>
              <w:rPr>
                <w:rFonts w:eastAsia="Times New Roman" w:cs="Arial"/>
                <w:color w:val="000000"/>
                <w:szCs w:val="20"/>
                <w:lang w:eastAsia="cs-CZ"/>
              </w:rPr>
            </w:pPr>
          </w:p>
        </w:tc>
        <w:tc>
          <w:tcPr>
            <w:tcW w:w="1134" w:type="dxa"/>
            <w:vMerge/>
            <w:tcBorders>
              <w:top w:val="single" w:sz="4" w:space="0" w:color="auto"/>
              <w:left w:val="single" w:sz="4" w:space="0" w:color="auto"/>
              <w:bottom w:val="single" w:sz="4" w:space="0" w:color="000000"/>
              <w:right w:val="single" w:sz="4" w:space="0" w:color="auto"/>
            </w:tcBorders>
            <w:vAlign w:val="center"/>
            <w:hideMark/>
          </w:tcPr>
          <w:p w14:paraId="7A70EEF0" w14:textId="77777777" w:rsidR="00AC559F" w:rsidRPr="006B3F59" w:rsidRDefault="00AC559F" w:rsidP="009B4A0C">
            <w:pPr>
              <w:rPr>
                <w:rFonts w:eastAsia="Times New Roman" w:cs="Arial"/>
                <w:color w:val="000000"/>
                <w:szCs w:val="20"/>
                <w:lang w:eastAsia="cs-CZ"/>
              </w:rPr>
            </w:pPr>
          </w:p>
        </w:tc>
        <w:tc>
          <w:tcPr>
            <w:tcW w:w="1616" w:type="dxa"/>
            <w:vMerge/>
            <w:tcBorders>
              <w:top w:val="single" w:sz="4" w:space="0" w:color="auto"/>
              <w:left w:val="single" w:sz="4" w:space="0" w:color="auto"/>
              <w:bottom w:val="single" w:sz="4" w:space="0" w:color="000000"/>
              <w:right w:val="single" w:sz="4" w:space="0" w:color="auto"/>
            </w:tcBorders>
            <w:vAlign w:val="center"/>
            <w:hideMark/>
          </w:tcPr>
          <w:p w14:paraId="598B72DC" w14:textId="77777777" w:rsidR="00AC559F" w:rsidRPr="006B3F59" w:rsidRDefault="00AC559F" w:rsidP="009B4A0C">
            <w:pPr>
              <w:rPr>
                <w:rFonts w:eastAsia="Times New Roman" w:cs="Arial"/>
                <w:color w:val="000000"/>
                <w:szCs w:val="20"/>
                <w:lang w:eastAsia="cs-CZ"/>
              </w:rPr>
            </w:pPr>
          </w:p>
        </w:tc>
        <w:tc>
          <w:tcPr>
            <w:tcW w:w="805" w:type="dxa"/>
            <w:tcBorders>
              <w:top w:val="nil"/>
              <w:left w:val="nil"/>
              <w:bottom w:val="single" w:sz="4" w:space="0" w:color="auto"/>
              <w:right w:val="single" w:sz="4" w:space="0" w:color="auto"/>
            </w:tcBorders>
            <w:shd w:val="clear" w:color="000000" w:fill="D9D9D9"/>
            <w:vAlign w:val="bottom"/>
            <w:hideMark/>
          </w:tcPr>
          <w:p w14:paraId="55C23D8F"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I.</w:t>
            </w:r>
          </w:p>
        </w:tc>
        <w:tc>
          <w:tcPr>
            <w:tcW w:w="805" w:type="dxa"/>
            <w:tcBorders>
              <w:top w:val="nil"/>
              <w:left w:val="nil"/>
              <w:bottom w:val="single" w:sz="4" w:space="0" w:color="auto"/>
              <w:right w:val="single" w:sz="4" w:space="0" w:color="auto"/>
            </w:tcBorders>
            <w:shd w:val="clear" w:color="000000" w:fill="D9D9D9"/>
            <w:vAlign w:val="bottom"/>
            <w:hideMark/>
          </w:tcPr>
          <w:p w14:paraId="17C07669"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II.</w:t>
            </w:r>
          </w:p>
        </w:tc>
        <w:tc>
          <w:tcPr>
            <w:tcW w:w="805" w:type="dxa"/>
            <w:tcBorders>
              <w:top w:val="nil"/>
              <w:left w:val="nil"/>
              <w:bottom w:val="single" w:sz="4" w:space="0" w:color="auto"/>
              <w:right w:val="single" w:sz="4" w:space="0" w:color="auto"/>
            </w:tcBorders>
            <w:shd w:val="clear" w:color="000000" w:fill="D9D9D9"/>
            <w:vAlign w:val="bottom"/>
            <w:hideMark/>
          </w:tcPr>
          <w:p w14:paraId="4D8B5D5B"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III.</w:t>
            </w:r>
          </w:p>
        </w:tc>
        <w:tc>
          <w:tcPr>
            <w:tcW w:w="805" w:type="dxa"/>
            <w:tcBorders>
              <w:top w:val="nil"/>
              <w:left w:val="nil"/>
              <w:bottom w:val="single" w:sz="4" w:space="0" w:color="auto"/>
              <w:right w:val="single" w:sz="4" w:space="0" w:color="auto"/>
            </w:tcBorders>
            <w:shd w:val="clear" w:color="000000" w:fill="D9D9D9"/>
            <w:vAlign w:val="bottom"/>
            <w:hideMark/>
          </w:tcPr>
          <w:p w14:paraId="76894346"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IV.</w:t>
            </w:r>
          </w:p>
        </w:tc>
        <w:tc>
          <w:tcPr>
            <w:tcW w:w="805" w:type="dxa"/>
            <w:tcBorders>
              <w:top w:val="nil"/>
              <w:left w:val="nil"/>
              <w:bottom w:val="single" w:sz="4" w:space="0" w:color="auto"/>
              <w:right w:val="single" w:sz="4" w:space="0" w:color="auto"/>
            </w:tcBorders>
            <w:shd w:val="clear" w:color="000000" w:fill="D9D9D9"/>
            <w:vAlign w:val="bottom"/>
            <w:hideMark/>
          </w:tcPr>
          <w:p w14:paraId="0AE6BEC2"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V.</w:t>
            </w:r>
          </w:p>
        </w:tc>
        <w:tc>
          <w:tcPr>
            <w:tcW w:w="1873" w:type="dxa"/>
            <w:vMerge/>
            <w:tcBorders>
              <w:top w:val="single" w:sz="4" w:space="0" w:color="auto"/>
              <w:left w:val="single" w:sz="4" w:space="0" w:color="auto"/>
              <w:bottom w:val="single" w:sz="4" w:space="0" w:color="000000"/>
              <w:right w:val="single" w:sz="4" w:space="0" w:color="auto"/>
            </w:tcBorders>
            <w:vAlign w:val="center"/>
            <w:hideMark/>
          </w:tcPr>
          <w:p w14:paraId="5130C25C" w14:textId="77777777" w:rsidR="00AC559F" w:rsidRPr="006B3F59" w:rsidRDefault="00AC559F" w:rsidP="009B4A0C">
            <w:pPr>
              <w:rPr>
                <w:rFonts w:eastAsia="Times New Roman" w:cs="Arial"/>
                <w:color w:val="000000"/>
                <w:szCs w:val="20"/>
                <w:lang w:eastAsia="cs-CZ"/>
              </w:rPr>
            </w:pPr>
          </w:p>
        </w:tc>
      </w:tr>
      <w:tr w:rsidR="00AC559F" w:rsidRPr="006B3F59" w14:paraId="0CC6C859" w14:textId="77777777" w:rsidTr="00AC559F">
        <w:trPr>
          <w:trHeight w:val="255"/>
        </w:trPr>
        <w:tc>
          <w:tcPr>
            <w:tcW w:w="997" w:type="dxa"/>
            <w:tcBorders>
              <w:top w:val="nil"/>
              <w:left w:val="single" w:sz="4" w:space="0" w:color="auto"/>
              <w:bottom w:val="single" w:sz="4" w:space="0" w:color="auto"/>
              <w:right w:val="single" w:sz="4" w:space="0" w:color="auto"/>
            </w:tcBorders>
            <w:shd w:val="clear" w:color="auto" w:fill="auto"/>
            <w:vAlign w:val="bottom"/>
            <w:hideMark/>
          </w:tcPr>
          <w:p w14:paraId="1AB3FF2D"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3827</w:t>
            </w:r>
          </w:p>
        </w:tc>
        <w:tc>
          <w:tcPr>
            <w:tcW w:w="1134" w:type="dxa"/>
            <w:tcBorders>
              <w:top w:val="nil"/>
              <w:left w:val="nil"/>
              <w:bottom w:val="single" w:sz="4" w:space="0" w:color="auto"/>
              <w:right w:val="single" w:sz="4" w:space="0" w:color="auto"/>
            </w:tcBorders>
            <w:shd w:val="clear" w:color="auto" w:fill="auto"/>
            <w:noWrap/>
            <w:vAlign w:val="bottom"/>
            <w:hideMark/>
          </w:tcPr>
          <w:p w14:paraId="06512829"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DH</w:t>
            </w:r>
          </w:p>
        </w:tc>
        <w:tc>
          <w:tcPr>
            <w:tcW w:w="1616" w:type="dxa"/>
            <w:tcBorders>
              <w:top w:val="nil"/>
              <w:left w:val="nil"/>
              <w:bottom w:val="single" w:sz="4" w:space="0" w:color="auto"/>
              <w:right w:val="single" w:sz="4" w:space="0" w:color="auto"/>
            </w:tcBorders>
            <w:shd w:val="clear" w:color="auto" w:fill="auto"/>
            <w:noWrap/>
            <w:vAlign w:val="bottom"/>
            <w:hideMark/>
          </w:tcPr>
          <w:p w14:paraId="727E52F5"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1,2349</w:t>
            </w:r>
          </w:p>
        </w:tc>
        <w:tc>
          <w:tcPr>
            <w:tcW w:w="805" w:type="dxa"/>
            <w:tcBorders>
              <w:top w:val="nil"/>
              <w:left w:val="nil"/>
              <w:bottom w:val="single" w:sz="4" w:space="0" w:color="auto"/>
              <w:right w:val="single" w:sz="4" w:space="0" w:color="auto"/>
            </w:tcBorders>
            <w:shd w:val="clear" w:color="auto" w:fill="auto"/>
            <w:noWrap/>
            <w:vAlign w:val="bottom"/>
            <w:hideMark/>
          </w:tcPr>
          <w:p w14:paraId="73416555"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1,1972</w:t>
            </w:r>
          </w:p>
        </w:tc>
        <w:tc>
          <w:tcPr>
            <w:tcW w:w="805" w:type="dxa"/>
            <w:tcBorders>
              <w:top w:val="nil"/>
              <w:left w:val="nil"/>
              <w:bottom w:val="single" w:sz="4" w:space="0" w:color="auto"/>
              <w:right w:val="single" w:sz="4" w:space="0" w:color="auto"/>
            </w:tcBorders>
            <w:shd w:val="clear" w:color="auto" w:fill="auto"/>
            <w:noWrap/>
            <w:vAlign w:val="bottom"/>
            <w:hideMark/>
          </w:tcPr>
          <w:p w14:paraId="2ED9501C"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0,0377</w:t>
            </w:r>
          </w:p>
        </w:tc>
        <w:tc>
          <w:tcPr>
            <w:tcW w:w="805" w:type="dxa"/>
            <w:tcBorders>
              <w:top w:val="nil"/>
              <w:left w:val="nil"/>
              <w:bottom w:val="single" w:sz="4" w:space="0" w:color="auto"/>
              <w:right w:val="single" w:sz="4" w:space="0" w:color="auto"/>
            </w:tcBorders>
            <w:shd w:val="clear" w:color="auto" w:fill="auto"/>
            <w:noWrap/>
            <w:vAlign w:val="bottom"/>
            <w:hideMark/>
          </w:tcPr>
          <w:p w14:paraId="61E3211B"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6179E7F7"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1CC4E2CC"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1873" w:type="dxa"/>
            <w:tcBorders>
              <w:top w:val="nil"/>
              <w:left w:val="nil"/>
              <w:bottom w:val="single" w:sz="4" w:space="0" w:color="auto"/>
              <w:right w:val="single" w:sz="4" w:space="0" w:color="auto"/>
            </w:tcBorders>
            <w:shd w:val="clear" w:color="auto" w:fill="auto"/>
            <w:noWrap/>
            <w:vAlign w:val="bottom"/>
            <w:hideMark/>
          </w:tcPr>
          <w:p w14:paraId="483D6D72"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w:t>
            </w:r>
          </w:p>
        </w:tc>
      </w:tr>
      <w:tr w:rsidR="00AC559F" w:rsidRPr="006B3F59" w14:paraId="6154DCFF" w14:textId="77777777" w:rsidTr="00AC559F">
        <w:trPr>
          <w:trHeight w:val="255"/>
        </w:trPr>
        <w:tc>
          <w:tcPr>
            <w:tcW w:w="997" w:type="dxa"/>
            <w:tcBorders>
              <w:top w:val="nil"/>
              <w:left w:val="single" w:sz="4" w:space="0" w:color="auto"/>
              <w:bottom w:val="single" w:sz="4" w:space="0" w:color="auto"/>
              <w:right w:val="single" w:sz="4" w:space="0" w:color="auto"/>
            </w:tcBorders>
            <w:shd w:val="clear" w:color="auto" w:fill="auto"/>
            <w:vAlign w:val="bottom"/>
            <w:hideMark/>
          </w:tcPr>
          <w:p w14:paraId="4100BAE0"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1134" w:type="dxa"/>
            <w:tcBorders>
              <w:top w:val="nil"/>
              <w:left w:val="nil"/>
              <w:bottom w:val="single" w:sz="4" w:space="0" w:color="auto"/>
              <w:right w:val="single" w:sz="4" w:space="0" w:color="auto"/>
            </w:tcBorders>
            <w:shd w:val="clear" w:color="auto" w:fill="auto"/>
            <w:noWrap/>
            <w:vAlign w:val="bottom"/>
            <w:hideMark/>
          </w:tcPr>
          <w:p w14:paraId="540DF439"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DU</w:t>
            </w:r>
          </w:p>
        </w:tc>
        <w:tc>
          <w:tcPr>
            <w:tcW w:w="1616" w:type="dxa"/>
            <w:tcBorders>
              <w:top w:val="nil"/>
              <w:left w:val="nil"/>
              <w:bottom w:val="single" w:sz="4" w:space="0" w:color="auto"/>
              <w:right w:val="single" w:sz="4" w:space="0" w:color="auto"/>
            </w:tcBorders>
            <w:shd w:val="clear" w:color="auto" w:fill="auto"/>
            <w:noWrap/>
            <w:vAlign w:val="bottom"/>
            <w:hideMark/>
          </w:tcPr>
          <w:p w14:paraId="365F082C"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1,5645</w:t>
            </w:r>
          </w:p>
        </w:tc>
        <w:tc>
          <w:tcPr>
            <w:tcW w:w="805" w:type="dxa"/>
            <w:tcBorders>
              <w:top w:val="nil"/>
              <w:left w:val="nil"/>
              <w:bottom w:val="single" w:sz="4" w:space="0" w:color="auto"/>
              <w:right w:val="single" w:sz="4" w:space="0" w:color="auto"/>
            </w:tcBorders>
            <w:shd w:val="clear" w:color="auto" w:fill="auto"/>
            <w:noWrap/>
            <w:vAlign w:val="bottom"/>
            <w:hideMark/>
          </w:tcPr>
          <w:p w14:paraId="76C9552D"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1,4179</w:t>
            </w:r>
          </w:p>
        </w:tc>
        <w:tc>
          <w:tcPr>
            <w:tcW w:w="805" w:type="dxa"/>
            <w:tcBorders>
              <w:top w:val="nil"/>
              <w:left w:val="nil"/>
              <w:bottom w:val="single" w:sz="4" w:space="0" w:color="auto"/>
              <w:right w:val="single" w:sz="4" w:space="0" w:color="auto"/>
            </w:tcBorders>
            <w:shd w:val="clear" w:color="auto" w:fill="auto"/>
            <w:noWrap/>
            <w:vAlign w:val="bottom"/>
            <w:hideMark/>
          </w:tcPr>
          <w:p w14:paraId="24D58D58"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0,1188</w:t>
            </w:r>
          </w:p>
        </w:tc>
        <w:tc>
          <w:tcPr>
            <w:tcW w:w="805" w:type="dxa"/>
            <w:tcBorders>
              <w:top w:val="nil"/>
              <w:left w:val="nil"/>
              <w:bottom w:val="single" w:sz="4" w:space="0" w:color="auto"/>
              <w:right w:val="single" w:sz="4" w:space="0" w:color="auto"/>
            </w:tcBorders>
            <w:shd w:val="clear" w:color="auto" w:fill="auto"/>
            <w:noWrap/>
            <w:vAlign w:val="bottom"/>
            <w:hideMark/>
          </w:tcPr>
          <w:p w14:paraId="2F9C3552"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0,0278</w:t>
            </w:r>
          </w:p>
        </w:tc>
        <w:tc>
          <w:tcPr>
            <w:tcW w:w="805" w:type="dxa"/>
            <w:tcBorders>
              <w:top w:val="nil"/>
              <w:left w:val="nil"/>
              <w:bottom w:val="single" w:sz="4" w:space="0" w:color="auto"/>
              <w:right w:val="single" w:sz="4" w:space="0" w:color="auto"/>
            </w:tcBorders>
            <w:shd w:val="clear" w:color="auto" w:fill="auto"/>
            <w:noWrap/>
            <w:vAlign w:val="bottom"/>
            <w:hideMark/>
          </w:tcPr>
          <w:p w14:paraId="16B66827"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6EC66014"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1873" w:type="dxa"/>
            <w:tcBorders>
              <w:top w:val="nil"/>
              <w:left w:val="nil"/>
              <w:bottom w:val="single" w:sz="4" w:space="0" w:color="auto"/>
              <w:right w:val="single" w:sz="4" w:space="0" w:color="auto"/>
            </w:tcBorders>
            <w:shd w:val="clear" w:color="auto" w:fill="auto"/>
            <w:noWrap/>
            <w:vAlign w:val="bottom"/>
            <w:hideMark/>
          </w:tcPr>
          <w:p w14:paraId="4B60DD25"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w:t>
            </w:r>
          </w:p>
        </w:tc>
      </w:tr>
      <w:tr w:rsidR="00AC559F" w:rsidRPr="006B3F59" w14:paraId="4987062C" w14:textId="77777777" w:rsidTr="00AC559F">
        <w:trPr>
          <w:trHeight w:val="255"/>
        </w:trPr>
        <w:tc>
          <w:tcPr>
            <w:tcW w:w="997" w:type="dxa"/>
            <w:tcBorders>
              <w:top w:val="nil"/>
              <w:left w:val="single" w:sz="4" w:space="0" w:color="auto"/>
              <w:bottom w:val="single" w:sz="4" w:space="0" w:color="auto"/>
              <w:right w:val="single" w:sz="4" w:space="0" w:color="auto"/>
            </w:tcBorders>
            <w:shd w:val="clear" w:color="auto" w:fill="auto"/>
            <w:vAlign w:val="bottom"/>
            <w:hideMark/>
          </w:tcPr>
          <w:p w14:paraId="0FAF162E"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1134" w:type="dxa"/>
            <w:tcBorders>
              <w:top w:val="nil"/>
              <w:left w:val="nil"/>
              <w:bottom w:val="single" w:sz="4" w:space="0" w:color="auto"/>
              <w:right w:val="single" w:sz="4" w:space="0" w:color="auto"/>
            </w:tcBorders>
            <w:shd w:val="clear" w:color="auto" w:fill="auto"/>
            <w:noWrap/>
            <w:vAlign w:val="bottom"/>
            <w:hideMark/>
          </w:tcPr>
          <w:p w14:paraId="4AF299A2"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IZ</w:t>
            </w:r>
          </w:p>
        </w:tc>
        <w:tc>
          <w:tcPr>
            <w:tcW w:w="1616" w:type="dxa"/>
            <w:tcBorders>
              <w:top w:val="nil"/>
              <w:left w:val="nil"/>
              <w:bottom w:val="single" w:sz="4" w:space="0" w:color="auto"/>
              <w:right w:val="single" w:sz="4" w:space="0" w:color="auto"/>
            </w:tcBorders>
            <w:shd w:val="clear" w:color="auto" w:fill="auto"/>
            <w:noWrap/>
            <w:vAlign w:val="bottom"/>
            <w:hideMark/>
          </w:tcPr>
          <w:p w14:paraId="57FCBB29"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1,4064</w:t>
            </w:r>
          </w:p>
        </w:tc>
        <w:tc>
          <w:tcPr>
            <w:tcW w:w="805" w:type="dxa"/>
            <w:tcBorders>
              <w:top w:val="nil"/>
              <w:left w:val="nil"/>
              <w:bottom w:val="single" w:sz="4" w:space="0" w:color="auto"/>
              <w:right w:val="single" w:sz="4" w:space="0" w:color="auto"/>
            </w:tcBorders>
            <w:shd w:val="clear" w:color="auto" w:fill="auto"/>
            <w:noWrap/>
            <w:vAlign w:val="bottom"/>
            <w:hideMark/>
          </w:tcPr>
          <w:p w14:paraId="15A4EF89"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1,4064</w:t>
            </w:r>
          </w:p>
        </w:tc>
        <w:tc>
          <w:tcPr>
            <w:tcW w:w="805" w:type="dxa"/>
            <w:tcBorders>
              <w:top w:val="nil"/>
              <w:left w:val="nil"/>
              <w:bottom w:val="single" w:sz="4" w:space="0" w:color="auto"/>
              <w:right w:val="single" w:sz="4" w:space="0" w:color="auto"/>
            </w:tcBorders>
            <w:shd w:val="clear" w:color="auto" w:fill="auto"/>
            <w:noWrap/>
            <w:vAlign w:val="bottom"/>
            <w:hideMark/>
          </w:tcPr>
          <w:p w14:paraId="738613DD"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79B4EEDB"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2D3C4537"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7C3819FB"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1873" w:type="dxa"/>
            <w:tcBorders>
              <w:top w:val="nil"/>
              <w:left w:val="nil"/>
              <w:bottom w:val="single" w:sz="4" w:space="0" w:color="auto"/>
              <w:right w:val="single" w:sz="4" w:space="0" w:color="auto"/>
            </w:tcBorders>
            <w:shd w:val="clear" w:color="auto" w:fill="auto"/>
            <w:noWrap/>
            <w:vAlign w:val="bottom"/>
            <w:hideMark/>
          </w:tcPr>
          <w:p w14:paraId="0F49AB92"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1,4064</w:t>
            </w:r>
          </w:p>
        </w:tc>
      </w:tr>
      <w:tr w:rsidR="00AC559F" w:rsidRPr="006B3F59" w14:paraId="6F5D894E" w14:textId="77777777" w:rsidTr="00AC559F">
        <w:trPr>
          <w:trHeight w:val="255"/>
        </w:trPr>
        <w:tc>
          <w:tcPr>
            <w:tcW w:w="997" w:type="dxa"/>
            <w:tcBorders>
              <w:top w:val="nil"/>
              <w:left w:val="single" w:sz="4" w:space="0" w:color="auto"/>
              <w:bottom w:val="single" w:sz="4" w:space="0" w:color="auto"/>
              <w:right w:val="single" w:sz="4" w:space="0" w:color="auto"/>
            </w:tcBorders>
            <w:shd w:val="clear" w:color="auto" w:fill="auto"/>
            <w:vAlign w:val="bottom"/>
            <w:hideMark/>
          </w:tcPr>
          <w:p w14:paraId="5C0495DB"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1134" w:type="dxa"/>
            <w:tcBorders>
              <w:top w:val="nil"/>
              <w:left w:val="nil"/>
              <w:bottom w:val="single" w:sz="4" w:space="0" w:color="auto"/>
              <w:right w:val="single" w:sz="4" w:space="0" w:color="auto"/>
            </w:tcBorders>
            <w:shd w:val="clear" w:color="auto" w:fill="auto"/>
            <w:noWrap/>
            <w:vAlign w:val="bottom"/>
            <w:hideMark/>
          </w:tcPr>
          <w:p w14:paraId="36F5E487"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NL</w:t>
            </w:r>
          </w:p>
        </w:tc>
        <w:tc>
          <w:tcPr>
            <w:tcW w:w="1616" w:type="dxa"/>
            <w:tcBorders>
              <w:top w:val="nil"/>
              <w:left w:val="nil"/>
              <w:bottom w:val="single" w:sz="4" w:space="0" w:color="auto"/>
              <w:right w:val="single" w:sz="4" w:space="0" w:color="auto"/>
            </w:tcBorders>
            <w:shd w:val="clear" w:color="auto" w:fill="auto"/>
            <w:noWrap/>
            <w:vAlign w:val="bottom"/>
            <w:hideMark/>
          </w:tcPr>
          <w:p w14:paraId="124CCD16"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2,0837</w:t>
            </w:r>
          </w:p>
        </w:tc>
        <w:tc>
          <w:tcPr>
            <w:tcW w:w="805" w:type="dxa"/>
            <w:tcBorders>
              <w:top w:val="nil"/>
              <w:left w:val="nil"/>
              <w:bottom w:val="single" w:sz="4" w:space="0" w:color="auto"/>
              <w:right w:val="single" w:sz="4" w:space="0" w:color="auto"/>
            </w:tcBorders>
            <w:shd w:val="clear" w:color="auto" w:fill="auto"/>
            <w:noWrap/>
            <w:vAlign w:val="bottom"/>
            <w:hideMark/>
          </w:tcPr>
          <w:p w14:paraId="276487C1"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2,0837</w:t>
            </w:r>
          </w:p>
        </w:tc>
        <w:tc>
          <w:tcPr>
            <w:tcW w:w="805" w:type="dxa"/>
            <w:tcBorders>
              <w:top w:val="nil"/>
              <w:left w:val="nil"/>
              <w:bottom w:val="single" w:sz="4" w:space="0" w:color="auto"/>
              <w:right w:val="single" w:sz="4" w:space="0" w:color="auto"/>
            </w:tcBorders>
            <w:shd w:val="clear" w:color="auto" w:fill="auto"/>
            <w:noWrap/>
            <w:vAlign w:val="bottom"/>
            <w:hideMark/>
          </w:tcPr>
          <w:p w14:paraId="56B8CAE2"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0A4C1CCB"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24F93F4F"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08FE8FF2"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1873" w:type="dxa"/>
            <w:tcBorders>
              <w:top w:val="nil"/>
              <w:left w:val="nil"/>
              <w:bottom w:val="single" w:sz="4" w:space="0" w:color="auto"/>
              <w:right w:val="single" w:sz="4" w:space="0" w:color="auto"/>
            </w:tcBorders>
            <w:shd w:val="clear" w:color="auto" w:fill="auto"/>
            <w:noWrap/>
            <w:vAlign w:val="bottom"/>
            <w:hideMark/>
          </w:tcPr>
          <w:p w14:paraId="28E4ED04"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2,0837</w:t>
            </w:r>
          </w:p>
        </w:tc>
      </w:tr>
      <w:tr w:rsidR="00AC559F" w:rsidRPr="006B3F59" w14:paraId="03EF702A" w14:textId="77777777" w:rsidTr="00AC559F">
        <w:trPr>
          <w:trHeight w:val="255"/>
        </w:trPr>
        <w:tc>
          <w:tcPr>
            <w:tcW w:w="997" w:type="dxa"/>
            <w:tcBorders>
              <w:top w:val="nil"/>
              <w:left w:val="single" w:sz="4" w:space="0" w:color="auto"/>
              <w:bottom w:val="single" w:sz="4" w:space="0" w:color="auto"/>
              <w:right w:val="single" w:sz="4" w:space="0" w:color="auto"/>
            </w:tcBorders>
            <w:shd w:val="clear" w:color="auto" w:fill="auto"/>
            <w:vAlign w:val="bottom"/>
            <w:hideMark/>
          </w:tcPr>
          <w:p w14:paraId="7269716A"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1134" w:type="dxa"/>
            <w:tcBorders>
              <w:top w:val="nil"/>
              <w:left w:val="nil"/>
              <w:bottom w:val="single" w:sz="4" w:space="0" w:color="auto"/>
              <w:right w:val="single" w:sz="4" w:space="0" w:color="auto"/>
            </w:tcBorders>
            <w:shd w:val="clear" w:color="auto" w:fill="auto"/>
            <w:noWrap/>
            <w:vAlign w:val="bottom"/>
            <w:hideMark/>
          </w:tcPr>
          <w:p w14:paraId="5230E7EB"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OB-D</w:t>
            </w:r>
          </w:p>
        </w:tc>
        <w:tc>
          <w:tcPr>
            <w:tcW w:w="1616" w:type="dxa"/>
            <w:tcBorders>
              <w:top w:val="nil"/>
              <w:left w:val="nil"/>
              <w:bottom w:val="single" w:sz="4" w:space="0" w:color="auto"/>
              <w:right w:val="single" w:sz="4" w:space="0" w:color="auto"/>
            </w:tcBorders>
            <w:shd w:val="clear" w:color="auto" w:fill="auto"/>
            <w:noWrap/>
            <w:vAlign w:val="bottom"/>
            <w:hideMark/>
          </w:tcPr>
          <w:p w14:paraId="393DF851"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0,2267</w:t>
            </w:r>
          </w:p>
        </w:tc>
        <w:tc>
          <w:tcPr>
            <w:tcW w:w="805" w:type="dxa"/>
            <w:tcBorders>
              <w:top w:val="nil"/>
              <w:left w:val="nil"/>
              <w:bottom w:val="single" w:sz="4" w:space="0" w:color="auto"/>
              <w:right w:val="single" w:sz="4" w:space="0" w:color="auto"/>
            </w:tcBorders>
            <w:shd w:val="clear" w:color="auto" w:fill="auto"/>
            <w:noWrap/>
            <w:vAlign w:val="bottom"/>
            <w:hideMark/>
          </w:tcPr>
          <w:p w14:paraId="196BFC04"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5EAFEEF5"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0,2267</w:t>
            </w:r>
          </w:p>
        </w:tc>
        <w:tc>
          <w:tcPr>
            <w:tcW w:w="805" w:type="dxa"/>
            <w:tcBorders>
              <w:top w:val="nil"/>
              <w:left w:val="nil"/>
              <w:bottom w:val="single" w:sz="4" w:space="0" w:color="auto"/>
              <w:right w:val="single" w:sz="4" w:space="0" w:color="auto"/>
            </w:tcBorders>
            <w:shd w:val="clear" w:color="auto" w:fill="auto"/>
            <w:noWrap/>
            <w:vAlign w:val="bottom"/>
            <w:hideMark/>
          </w:tcPr>
          <w:p w14:paraId="1E6F0E1D"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257D3199"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4EE483DC"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1873" w:type="dxa"/>
            <w:tcBorders>
              <w:top w:val="nil"/>
              <w:left w:val="nil"/>
              <w:bottom w:val="single" w:sz="4" w:space="0" w:color="auto"/>
              <w:right w:val="single" w:sz="4" w:space="0" w:color="auto"/>
            </w:tcBorders>
            <w:shd w:val="clear" w:color="auto" w:fill="auto"/>
            <w:noWrap/>
            <w:vAlign w:val="bottom"/>
            <w:hideMark/>
          </w:tcPr>
          <w:p w14:paraId="2FA3817D"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0,0793</w:t>
            </w:r>
          </w:p>
        </w:tc>
      </w:tr>
      <w:tr w:rsidR="00AC559F" w:rsidRPr="006B3F59" w14:paraId="223F1E64" w14:textId="77777777" w:rsidTr="00AC559F">
        <w:trPr>
          <w:trHeight w:val="300"/>
        </w:trPr>
        <w:tc>
          <w:tcPr>
            <w:tcW w:w="997" w:type="dxa"/>
            <w:tcBorders>
              <w:top w:val="nil"/>
              <w:left w:val="single" w:sz="4" w:space="0" w:color="auto"/>
              <w:bottom w:val="single" w:sz="4" w:space="0" w:color="auto"/>
              <w:right w:val="single" w:sz="4" w:space="0" w:color="auto"/>
            </w:tcBorders>
            <w:shd w:val="clear" w:color="auto" w:fill="auto"/>
            <w:vAlign w:val="bottom"/>
            <w:hideMark/>
          </w:tcPr>
          <w:p w14:paraId="13AEA269"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1134" w:type="dxa"/>
            <w:tcBorders>
              <w:top w:val="nil"/>
              <w:left w:val="nil"/>
              <w:bottom w:val="single" w:sz="4" w:space="0" w:color="auto"/>
              <w:right w:val="single" w:sz="4" w:space="0" w:color="auto"/>
            </w:tcBorders>
            <w:shd w:val="clear" w:color="auto" w:fill="auto"/>
            <w:noWrap/>
            <w:vAlign w:val="bottom"/>
            <w:hideMark/>
          </w:tcPr>
          <w:p w14:paraId="2D99593F"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OB-E</w:t>
            </w:r>
          </w:p>
        </w:tc>
        <w:tc>
          <w:tcPr>
            <w:tcW w:w="1616" w:type="dxa"/>
            <w:tcBorders>
              <w:top w:val="nil"/>
              <w:left w:val="nil"/>
              <w:bottom w:val="single" w:sz="4" w:space="0" w:color="auto"/>
              <w:right w:val="single" w:sz="4" w:space="0" w:color="auto"/>
            </w:tcBorders>
            <w:shd w:val="clear" w:color="auto" w:fill="auto"/>
            <w:noWrap/>
            <w:vAlign w:val="bottom"/>
            <w:hideMark/>
          </w:tcPr>
          <w:p w14:paraId="6F017F77"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0,0170</w:t>
            </w:r>
          </w:p>
        </w:tc>
        <w:tc>
          <w:tcPr>
            <w:tcW w:w="805" w:type="dxa"/>
            <w:tcBorders>
              <w:top w:val="nil"/>
              <w:left w:val="nil"/>
              <w:bottom w:val="single" w:sz="4" w:space="0" w:color="auto"/>
              <w:right w:val="single" w:sz="4" w:space="0" w:color="auto"/>
            </w:tcBorders>
            <w:shd w:val="clear" w:color="auto" w:fill="auto"/>
            <w:noWrap/>
            <w:vAlign w:val="bottom"/>
            <w:hideMark/>
          </w:tcPr>
          <w:p w14:paraId="2783FBEB"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0D643606"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0,0170</w:t>
            </w:r>
          </w:p>
        </w:tc>
        <w:tc>
          <w:tcPr>
            <w:tcW w:w="805" w:type="dxa"/>
            <w:tcBorders>
              <w:top w:val="nil"/>
              <w:left w:val="nil"/>
              <w:bottom w:val="single" w:sz="4" w:space="0" w:color="auto"/>
              <w:right w:val="single" w:sz="4" w:space="0" w:color="auto"/>
            </w:tcBorders>
            <w:shd w:val="clear" w:color="auto" w:fill="auto"/>
            <w:noWrap/>
            <w:vAlign w:val="bottom"/>
            <w:hideMark/>
          </w:tcPr>
          <w:p w14:paraId="58793AE0"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3DD49424"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1F441115"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1873" w:type="dxa"/>
            <w:tcBorders>
              <w:top w:val="nil"/>
              <w:left w:val="nil"/>
              <w:bottom w:val="single" w:sz="4" w:space="0" w:color="auto"/>
              <w:right w:val="single" w:sz="4" w:space="0" w:color="auto"/>
            </w:tcBorders>
            <w:shd w:val="clear" w:color="auto" w:fill="auto"/>
            <w:noWrap/>
            <w:vAlign w:val="bottom"/>
            <w:hideMark/>
          </w:tcPr>
          <w:p w14:paraId="11500A9B"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0,0026</w:t>
            </w:r>
          </w:p>
        </w:tc>
      </w:tr>
      <w:tr w:rsidR="00AC559F" w:rsidRPr="006B3F59" w14:paraId="5E13C572" w14:textId="77777777" w:rsidTr="00AC559F">
        <w:trPr>
          <w:trHeight w:val="300"/>
        </w:trPr>
        <w:tc>
          <w:tcPr>
            <w:tcW w:w="997" w:type="dxa"/>
            <w:tcBorders>
              <w:top w:val="nil"/>
              <w:left w:val="single" w:sz="4" w:space="0" w:color="auto"/>
              <w:bottom w:val="single" w:sz="4" w:space="0" w:color="auto"/>
              <w:right w:val="single" w:sz="4" w:space="0" w:color="auto"/>
            </w:tcBorders>
            <w:shd w:val="clear" w:color="auto" w:fill="auto"/>
            <w:vAlign w:val="bottom"/>
            <w:hideMark/>
          </w:tcPr>
          <w:p w14:paraId="6A7D9A26"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1134" w:type="dxa"/>
            <w:tcBorders>
              <w:top w:val="nil"/>
              <w:left w:val="nil"/>
              <w:bottom w:val="single" w:sz="4" w:space="0" w:color="auto"/>
              <w:right w:val="single" w:sz="4" w:space="0" w:color="auto"/>
            </w:tcBorders>
            <w:shd w:val="clear" w:color="auto" w:fill="auto"/>
            <w:noWrap/>
            <w:vAlign w:val="bottom"/>
            <w:hideMark/>
          </w:tcPr>
          <w:p w14:paraId="6F8F8A01"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OV-C</w:t>
            </w:r>
          </w:p>
        </w:tc>
        <w:tc>
          <w:tcPr>
            <w:tcW w:w="1616" w:type="dxa"/>
            <w:tcBorders>
              <w:top w:val="nil"/>
              <w:left w:val="nil"/>
              <w:bottom w:val="single" w:sz="4" w:space="0" w:color="auto"/>
              <w:right w:val="single" w:sz="4" w:space="0" w:color="auto"/>
            </w:tcBorders>
            <w:shd w:val="clear" w:color="auto" w:fill="auto"/>
            <w:noWrap/>
            <w:vAlign w:val="bottom"/>
            <w:hideMark/>
          </w:tcPr>
          <w:p w14:paraId="70AE3F46"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1,8151</w:t>
            </w:r>
          </w:p>
        </w:tc>
        <w:tc>
          <w:tcPr>
            <w:tcW w:w="805" w:type="dxa"/>
            <w:tcBorders>
              <w:top w:val="nil"/>
              <w:left w:val="nil"/>
              <w:bottom w:val="single" w:sz="4" w:space="0" w:color="auto"/>
              <w:right w:val="single" w:sz="4" w:space="0" w:color="auto"/>
            </w:tcBorders>
            <w:shd w:val="clear" w:color="auto" w:fill="auto"/>
            <w:noWrap/>
            <w:vAlign w:val="bottom"/>
            <w:hideMark/>
          </w:tcPr>
          <w:p w14:paraId="67BE4475"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0,8459</w:t>
            </w:r>
          </w:p>
        </w:tc>
        <w:tc>
          <w:tcPr>
            <w:tcW w:w="805" w:type="dxa"/>
            <w:tcBorders>
              <w:top w:val="nil"/>
              <w:left w:val="nil"/>
              <w:bottom w:val="single" w:sz="4" w:space="0" w:color="auto"/>
              <w:right w:val="single" w:sz="4" w:space="0" w:color="auto"/>
            </w:tcBorders>
            <w:shd w:val="clear" w:color="auto" w:fill="auto"/>
            <w:noWrap/>
            <w:vAlign w:val="bottom"/>
            <w:hideMark/>
          </w:tcPr>
          <w:p w14:paraId="0955293B"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0,5480</w:t>
            </w:r>
          </w:p>
        </w:tc>
        <w:tc>
          <w:tcPr>
            <w:tcW w:w="805" w:type="dxa"/>
            <w:tcBorders>
              <w:top w:val="nil"/>
              <w:left w:val="nil"/>
              <w:bottom w:val="single" w:sz="4" w:space="0" w:color="auto"/>
              <w:right w:val="single" w:sz="4" w:space="0" w:color="auto"/>
            </w:tcBorders>
            <w:shd w:val="clear" w:color="auto" w:fill="auto"/>
            <w:noWrap/>
            <w:vAlign w:val="bottom"/>
            <w:hideMark/>
          </w:tcPr>
          <w:p w14:paraId="231B5F0D"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0,4212</w:t>
            </w:r>
          </w:p>
        </w:tc>
        <w:tc>
          <w:tcPr>
            <w:tcW w:w="805" w:type="dxa"/>
            <w:tcBorders>
              <w:top w:val="nil"/>
              <w:left w:val="nil"/>
              <w:bottom w:val="single" w:sz="4" w:space="0" w:color="auto"/>
              <w:right w:val="single" w:sz="4" w:space="0" w:color="auto"/>
            </w:tcBorders>
            <w:shd w:val="clear" w:color="auto" w:fill="auto"/>
            <w:noWrap/>
            <w:vAlign w:val="bottom"/>
            <w:hideMark/>
          </w:tcPr>
          <w:p w14:paraId="6C1A4C6A"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47F25E6A"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1873" w:type="dxa"/>
            <w:tcBorders>
              <w:top w:val="nil"/>
              <w:left w:val="nil"/>
              <w:bottom w:val="single" w:sz="4" w:space="0" w:color="auto"/>
              <w:right w:val="single" w:sz="4" w:space="0" w:color="auto"/>
            </w:tcBorders>
            <w:shd w:val="clear" w:color="auto" w:fill="auto"/>
            <w:noWrap/>
            <w:vAlign w:val="bottom"/>
            <w:hideMark/>
          </w:tcPr>
          <w:p w14:paraId="381CF587"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0,5445</w:t>
            </w:r>
          </w:p>
        </w:tc>
      </w:tr>
      <w:tr w:rsidR="00AC559F" w:rsidRPr="006B3F59" w14:paraId="1927F80E" w14:textId="77777777" w:rsidTr="00AC559F">
        <w:trPr>
          <w:trHeight w:val="300"/>
        </w:trPr>
        <w:tc>
          <w:tcPr>
            <w:tcW w:w="997" w:type="dxa"/>
            <w:tcBorders>
              <w:top w:val="nil"/>
              <w:left w:val="single" w:sz="4" w:space="0" w:color="auto"/>
              <w:bottom w:val="single" w:sz="4" w:space="0" w:color="auto"/>
              <w:right w:val="single" w:sz="4" w:space="0" w:color="auto"/>
            </w:tcBorders>
            <w:shd w:val="clear" w:color="auto" w:fill="auto"/>
            <w:vAlign w:val="bottom"/>
            <w:hideMark/>
          </w:tcPr>
          <w:p w14:paraId="378A9AA1"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1134" w:type="dxa"/>
            <w:tcBorders>
              <w:top w:val="nil"/>
              <w:left w:val="nil"/>
              <w:bottom w:val="single" w:sz="4" w:space="0" w:color="auto"/>
              <w:right w:val="single" w:sz="4" w:space="0" w:color="auto"/>
            </w:tcBorders>
            <w:shd w:val="clear" w:color="auto" w:fill="auto"/>
            <w:noWrap/>
            <w:vAlign w:val="bottom"/>
            <w:hideMark/>
          </w:tcPr>
          <w:p w14:paraId="5B5AE1C3"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OV-D</w:t>
            </w:r>
          </w:p>
        </w:tc>
        <w:tc>
          <w:tcPr>
            <w:tcW w:w="1616" w:type="dxa"/>
            <w:tcBorders>
              <w:top w:val="nil"/>
              <w:left w:val="nil"/>
              <w:bottom w:val="single" w:sz="4" w:space="0" w:color="auto"/>
              <w:right w:val="single" w:sz="4" w:space="0" w:color="auto"/>
            </w:tcBorders>
            <w:shd w:val="clear" w:color="auto" w:fill="auto"/>
            <w:noWrap/>
            <w:vAlign w:val="bottom"/>
            <w:hideMark/>
          </w:tcPr>
          <w:p w14:paraId="4893D66C"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3,2712</w:t>
            </w:r>
          </w:p>
        </w:tc>
        <w:tc>
          <w:tcPr>
            <w:tcW w:w="805" w:type="dxa"/>
            <w:tcBorders>
              <w:top w:val="nil"/>
              <w:left w:val="nil"/>
              <w:bottom w:val="single" w:sz="4" w:space="0" w:color="auto"/>
              <w:right w:val="single" w:sz="4" w:space="0" w:color="auto"/>
            </w:tcBorders>
            <w:shd w:val="clear" w:color="auto" w:fill="auto"/>
            <w:noWrap/>
            <w:vAlign w:val="bottom"/>
            <w:hideMark/>
          </w:tcPr>
          <w:p w14:paraId="6A95CC3E"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3,2250</w:t>
            </w:r>
          </w:p>
        </w:tc>
        <w:tc>
          <w:tcPr>
            <w:tcW w:w="805" w:type="dxa"/>
            <w:tcBorders>
              <w:top w:val="nil"/>
              <w:left w:val="nil"/>
              <w:bottom w:val="single" w:sz="4" w:space="0" w:color="auto"/>
              <w:right w:val="single" w:sz="4" w:space="0" w:color="auto"/>
            </w:tcBorders>
            <w:shd w:val="clear" w:color="auto" w:fill="auto"/>
            <w:noWrap/>
            <w:vAlign w:val="bottom"/>
            <w:hideMark/>
          </w:tcPr>
          <w:p w14:paraId="0FC94CA7"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0,0120</w:t>
            </w:r>
          </w:p>
        </w:tc>
        <w:tc>
          <w:tcPr>
            <w:tcW w:w="805" w:type="dxa"/>
            <w:tcBorders>
              <w:top w:val="nil"/>
              <w:left w:val="nil"/>
              <w:bottom w:val="single" w:sz="4" w:space="0" w:color="auto"/>
              <w:right w:val="single" w:sz="4" w:space="0" w:color="auto"/>
            </w:tcBorders>
            <w:shd w:val="clear" w:color="auto" w:fill="auto"/>
            <w:noWrap/>
            <w:vAlign w:val="bottom"/>
            <w:hideMark/>
          </w:tcPr>
          <w:p w14:paraId="388E6C40"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0,0342</w:t>
            </w:r>
          </w:p>
        </w:tc>
        <w:tc>
          <w:tcPr>
            <w:tcW w:w="805" w:type="dxa"/>
            <w:tcBorders>
              <w:top w:val="nil"/>
              <w:left w:val="nil"/>
              <w:bottom w:val="single" w:sz="4" w:space="0" w:color="auto"/>
              <w:right w:val="single" w:sz="4" w:space="0" w:color="auto"/>
            </w:tcBorders>
            <w:shd w:val="clear" w:color="auto" w:fill="auto"/>
            <w:noWrap/>
            <w:vAlign w:val="bottom"/>
            <w:hideMark/>
          </w:tcPr>
          <w:p w14:paraId="4ADB94F6"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64EE86AB"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1873" w:type="dxa"/>
            <w:tcBorders>
              <w:top w:val="nil"/>
              <w:left w:val="nil"/>
              <w:bottom w:val="single" w:sz="4" w:space="0" w:color="auto"/>
              <w:right w:val="single" w:sz="4" w:space="0" w:color="auto"/>
            </w:tcBorders>
            <w:shd w:val="clear" w:color="auto" w:fill="auto"/>
            <w:noWrap/>
            <w:vAlign w:val="bottom"/>
            <w:hideMark/>
          </w:tcPr>
          <w:p w14:paraId="2DB13E24"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1,1449</w:t>
            </w:r>
          </w:p>
        </w:tc>
      </w:tr>
      <w:tr w:rsidR="00AC559F" w:rsidRPr="006B3F59" w14:paraId="037A4760" w14:textId="77777777" w:rsidTr="00AC559F">
        <w:trPr>
          <w:trHeight w:val="300"/>
        </w:trPr>
        <w:tc>
          <w:tcPr>
            <w:tcW w:w="997" w:type="dxa"/>
            <w:tcBorders>
              <w:top w:val="nil"/>
              <w:left w:val="single" w:sz="4" w:space="0" w:color="auto"/>
              <w:bottom w:val="single" w:sz="4" w:space="0" w:color="auto"/>
              <w:right w:val="single" w:sz="4" w:space="0" w:color="auto"/>
            </w:tcBorders>
            <w:shd w:val="clear" w:color="auto" w:fill="auto"/>
            <w:vAlign w:val="bottom"/>
            <w:hideMark/>
          </w:tcPr>
          <w:p w14:paraId="2D63FCFD"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1134" w:type="dxa"/>
            <w:tcBorders>
              <w:top w:val="nil"/>
              <w:left w:val="nil"/>
              <w:bottom w:val="single" w:sz="4" w:space="0" w:color="auto"/>
              <w:right w:val="single" w:sz="4" w:space="0" w:color="auto"/>
            </w:tcBorders>
            <w:shd w:val="clear" w:color="auto" w:fill="auto"/>
            <w:noWrap/>
            <w:vAlign w:val="bottom"/>
            <w:hideMark/>
          </w:tcPr>
          <w:p w14:paraId="6FED4FD2"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OV-E</w:t>
            </w:r>
          </w:p>
        </w:tc>
        <w:tc>
          <w:tcPr>
            <w:tcW w:w="1616" w:type="dxa"/>
            <w:tcBorders>
              <w:top w:val="nil"/>
              <w:left w:val="nil"/>
              <w:bottom w:val="single" w:sz="4" w:space="0" w:color="auto"/>
              <w:right w:val="single" w:sz="4" w:space="0" w:color="auto"/>
            </w:tcBorders>
            <w:shd w:val="clear" w:color="auto" w:fill="auto"/>
            <w:noWrap/>
            <w:vAlign w:val="bottom"/>
            <w:hideMark/>
          </w:tcPr>
          <w:p w14:paraId="7E1C2A4A"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0,6102</w:t>
            </w:r>
          </w:p>
        </w:tc>
        <w:tc>
          <w:tcPr>
            <w:tcW w:w="805" w:type="dxa"/>
            <w:tcBorders>
              <w:top w:val="nil"/>
              <w:left w:val="nil"/>
              <w:bottom w:val="single" w:sz="4" w:space="0" w:color="auto"/>
              <w:right w:val="single" w:sz="4" w:space="0" w:color="auto"/>
            </w:tcBorders>
            <w:shd w:val="clear" w:color="auto" w:fill="auto"/>
            <w:noWrap/>
            <w:vAlign w:val="bottom"/>
            <w:hideMark/>
          </w:tcPr>
          <w:p w14:paraId="198F5498"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0,6102</w:t>
            </w:r>
          </w:p>
        </w:tc>
        <w:tc>
          <w:tcPr>
            <w:tcW w:w="805" w:type="dxa"/>
            <w:tcBorders>
              <w:top w:val="nil"/>
              <w:left w:val="nil"/>
              <w:bottom w:val="single" w:sz="4" w:space="0" w:color="auto"/>
              <w:right w:val="single" w:sz="4" w:space="0" w:color="auto"/>
            </w:tcBorders>
            <w:shd w:val="clear" w:color="auto" w:fill="auto"/>
            <w:noWrap/>
            <w:vAlign w:val="bottom"/>
            <w:hideMark/>
          </w:tcPr>
          <w:p w14:paraId="2AACFA80"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4912CB94"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7118C6C0"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5E8DB9B8"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1873" w:type="dxa"/>
            <w:tcBorders>
              <w:top w:val="nil"/>
              <w:left w:val="nil"/>
              <w:bottom w:val="single" w:sz="4" w:space="0" w:color="auto"/>
              <w:right w:val="single" w:sz="4" w:space="0" w:color="auto"/>
            </w:tcBorders>
            <w:shd w:val="clear" w:color="auto" w:fill="auto"/>
            <w:noWrap/>
            <w:vAlign w:val="bottom"/>
            <w:hideMark/>
          </w:tcPr>
          <w:p w14:paraId="7E1ABF5A"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0,09153</w:t>
            </w:r>
          </w:p>
        </w:tc>
      </w:tr>
      <w:tr w:rsidR="00AC559F" w:rsidRPr="006B3F59" w14:paraId="40E40B2C" w14:textId="77777777" w:rsidTr="00AC559F">
        <w:trPr>
          <w:trHeight w:val="300"/>
        </w:trPr>
        <w:tc>
          <w:tcPr>
            <w:tcW w:w="997" w:type="dxa"/>
            <w:tcBorders>
              <w:top w:val="nil"/>
              <w:left w:val="single" w:sz="4" w:space="0" w:color="auto"/>
              <w:bottom w:val="single" w:sz="4" w:space="0" w:color="auto"/>
              <w:right w:val="single" w:sz="4" w:space="0" w:color="auto"/>
            </w:tcBorders>
            <w:shd w:val="clear" w:color="auto" w:fill="auto"/>
            <w:vAlign w:val="bottom"/>
            <w:hideMark/>
          </w:tcPr>
          <w:p w14:paraId="0510EE3E"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1134" w:type="dxa"/>
            <w:tcBorders>
              <w:top w:val="nil"/>
              <w:left w:val="nil"/>
              <w:bottom w:val="single" w:sz="4" w:space="0" w:color="auto"/>
              <w:right w:val="single" w:sz="4" w:space="0" w:color="auto"/>
            </w:tcBorders>
            <w:shd w:val="clear" w:color="auto" w:fill="auto"/>
            <w:noWrap/>
            <w:vAlign w:val="bottom"/>
            <w:hideMark/>
          </w:tcPr>
          <w:p w14:paraId="7590751F"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OV-G</w:t>
            </w:r>
          </w:p>
        </w:tc>
        <w:tc>
          <w:tcPr>
            <w:tcW w:w="1616" w:type="dxa"/>
            <w:tcBorders>
              <w:top w:val="nil"/>
              <w:left w:val="nil"/>
              <w:bottom w:val="single" w:sz="4" w:space="0" w:color="auto"/>
              <w:right w:val="single" w:sz="4" w:space="0" w:color="auto"/>
            </w:tcBorders>
            <w:shd w:val="clear" w:color="auto" w:fill="auto"/>
            <w:noWrap/>
            <w:vAlign w:val="bottom"/>
            <w:hideMark/>
          </w:tcPr>
          <w:p w14:paraId="41EA13BB"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0,1493</w:t>
            </w:r>
          </w:p>
        </w:tc>
        <w:tc>
          <w:tcPr>
            <w:tcW w:w="805" w:type="dxa"/>
            <w:tcBorders>
              <w:top w:val="nil"/>
              <w:left w:val="nil"/>
              <w:bottom w:val="single" w:sz="4" w:space="0" w:color="auto"/>
              <w:right w:val="single" w:sz="4" w:space="0" w:color="auto"/>
            </w:tcBorders>
            <w:shd w:val="clear" w:color="auto" w:fill="auto"/>
            <w:noWrap/>
            <w:vAlign w:val="bottom"/>
            <w:hideMark/>
          </w:tcPr>
          <w:p w14:paraId="4C03D54F"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4A1B1283"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0,1493</w:t>
            </w:r>
          </w:p>
        </w:tc>
        <w:tc>
          <w:tcPr>
            <w:tcW w:w="805" w:type="dxa"/>
            <w:tcBorders>
              <w:top w:val="nil"/>
              <w:left w:val="nil"/>
              <w:bottom w:val="single" w:sz="4" w:space="0" w:color="auto"/>
              <w:right w:val="single" w:sz="4" w:space="0" w:color="auto"/>
            </w:tcBorders>
            <w:shd w:val="clear" w:color="auto" w:fill="auto"/>
            <w:noWrap/>
            <w:vAlign w:val="bottom"/>
            <w:hideMark/>
          </w:tcPr>
          <w:p w14:paraId="0BA20B20"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629194CD"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060675EF"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1873" w:type="dxa"/>
            <w:tcBorders>
              <w:top w:val="nil"/>
              <w:left w:val="nil"/>
              <w:bottom w:val="single" w:sz="4" w:space="0" w:color="auto"/>
              <w:right w:val="single" w:sz="4" w:space="0" w:color="auto"/>
            </w:tcBorders>
            <w:shd w:val="clear" w:color="auto" w:fill="auto"/>
            <w:noWrap/>
            <w:vAlign w:val="bottom"/>
            <w:hideMark/>
          </w:tcPr>
          <w:p w14:paraId="40E71629"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0,037325</w:t>
            </w:r>
          </w:p>
        </w:tc>
      </w:tr>
      <w:tr w:rsidR="00AC559F" w:rsidRPr="006B3F59" w14:paraId="053FA725" w14:textId="77777777" w:rsidTr="00AC559F">
        <w:trPr>
          <w:trHeight w:val="300"/>
        </w:trPr>
        <w:tc>
          <w:tcPr>
            <w:tcW w:w="997" w:type="dxa"/>
            <w:tcBorders>
              <w:top w:val="nil"/>
              <w:left w:val="single" w:sz="4" w:space="0" w:color="auto"/>
              <w:bottom w:val="single" w:sz="4" w:space="0" w:color="auto"/>
              <w:right w:val="single" w:sz="4" w:space="0" w:color="auto"/>
            </w:tcBorders>
            <w:shd w:val="clear" w:color="auto" w:fill="auto"/>
            <w:vAlign w:val="bottom"/>
            <w:hideMark/>
          </w:tcPr>
          <w:p w14:paraId="078D5FBE"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1134" w:type="dxa"/>
            <w:tcBorders>
              <w:top w:val="nil"/>
              <w:left w:val="nil"/>
              <w:bottom w:val="single" w:sz="4" w:space="0" w:color="auto"/>
              <w:right w:val="single" w:sz="4" w:space="0" w:color="auto"/>
            </w:tcBorders>
            <w:shd w:val="clear" w:color="auto" w:fill="auto"/>
            <w:noWrap/>
            <w:vAlign w:val="bottom"/>
            <w:hideMark/>
          </w:tcPr>
          <w:p w14:paraId="559EBDCF"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PS</w:t>
            </w:r>
          </w:p>
        </w:tc>
        <w:tc>
          <w:tcPr>
            <w:tcW w:w="1616" w:type="dxa"/>
            <w:tcBorders>
              <w:top w:val="nil"/>
              <w:left w:val="nil"/>
              <w:bottom w:val="single" w:sz="4" w:space="0" w:color="auto"/>
              <w:right w:val="single" w:sz="4" w:space="0" w:color="auto"/>
            </w:tcBorders>
            <w:shd w:val="clear" w:color="auto" w:fill="auto"/>
            <w:noWrap/>
            <w:vAlign w:val="bottom"/>
            <w:hideMark/>
          </w:tcPr>
          <w:p w14:paraId="45E49A78"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0,0074</w:t>
            </w:r>
          </w:p>
        </w:tc>
        <w:tc>
          <w:tcPr>
            <w:tcW w:w="805" w:type="dxa"/>
            <w:tcBorders>
              <w:top w:val="nil"/>
              <w:left w:val="nil"/>
              <w:bottom w:val="single" w:sz="4" w:space="0" w:color="auto"/>
              <w:right w:val="single" w:sz="4" w:space="0" w:color="auto"/>
            </w:tcBorders>
            <w:shd w:val="clear" w:color="auto" w:fill="auto"/>
            <w:noWrap/>
            <w:vAlign w:val="bottom"/>
            <w:hideMark/>
          </w:tcPr>
          <w:p w14:paraId="6E06D97D"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0,0074</w:t>
            </w:r>
          </w:p>
        </w:tc>
        <w:tc>
          <w:tcPr>
            <w:tcW w:w="805" w:type="dxa"/>
            <w:tcBorders>
              <w:top w:val="nil"/>
              <w:left w:val="nil"/>
              <w:bottom w:val="single" w:sz="4" w:space="0" w:color="auto"/>
              <w:right w:val="single" w:sz="4" w:space="0" w:color="auto"/>
            </w:tcBorders>
            <w:shd w:val="clear" w:color="auto" w:fill="auto"/>
            <w:noWrap/>
            <w:vAlign w:val="bottom"/>
            <w:hideMark/>
          </w:tcPr>
          <w:p w14:paraId="17D27FD5"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017EC5C1"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77753981"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672BF323"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1873" w:type="dxa"/>
            <w:tcBorders>
              <w:top w:val="nil"/>
              <w:left w:val="nil"/>
              <w:bottom w:val="single" w:sz="4" w:space="0" w:color="auto"/>
              <w:right w:val="single" w:sz="4" w:space="0" w:color="auto"/>
            </w:tcBorders>
            <w:shd w:val="clear" w:color="auto" w:fill="auto"/>
            <w:noWrap/>
            <w:vAlign w:val="bottom"/>
            <w:hideMark/>
          </w:tcPr>
          <w:p w14:paraId="1C1B730A"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0,0074</w:t>
            </w:r>
          </w:p>
        </w:tc>
      </w:tr>
      <w:tr w:rsidR="00AC559F" w:rsidRPr="006B3F59" w14:paraId="0BEDF552" w14:textId="77777777" w:rsidTr="00AC559F">
        <w:trPr>
          <w:trHeight w:val="300"/>
        </w:trPr>
        <w:tc>
          <w:tcPr>
            <w:tcW w:w="997" w:type="dxa"/>
            <w:tcBorders>
              <w:top w:val="nil"/>
              <w:left w:val="single" w:sz="4" w:space="0" w:color="auto"/>
              <w:bottom w:val="single" w:sz="4" w:space="0" w:color="auto"/>
              <w:right w:val="single" w:sz="4" w:space="0" w:color="auto"/>
            </w:tcBorders>
            <w:shd w:val="clear" w:color="auto" w:fill="auto"/>
            <w:vAlign w:val="bottom"/>
            <w:hideMark/>
          </w:tcPr>
          <w:p w14:paraId="75FBE545"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1134" w:type="dxa"/>
            <w:tcBorders>
              <w:top w:val="nil"/>
              <w:left w:val="nil"/>
              <w:bottom w:val="single" w:sz="4" w:space="0" w:color="auto"/>
              <w:right w:val="single" w:sz="4" w:space="0" w:color="auto"/>
            </w:tcBorders>
            <w:shd w:val="clear" w:color="auto" w:fill="auto"/>
            <w:noWrap/>
            <w:vAlign w:val="bottom"/>
            <w:hideMark/>
          </w:tcPr>
          <w:p w14:paraId="5B97760F"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S2</w:t>
            </w:r>
          </w:p>
        </w:tc>
        <w:tc>
          <w:tcPr>
            <w:tcW w:w="1616" w:type="dxa"/>
            <w:tcBorders>
              <w:top w:val="nil"/>
              <w:left w:val="nil"/>
              <w:bottom w:val="single" w:sz="4" w:space="0" w:color="auto"/>
              <w:right w:val="single" w:sz="4" w:space="0" w:color="auto"/>
            </w:tcBorders>
            <w:shd w:val="clear" w:color="auto" w:fill="auto"/>
            <w:noWrap/>
            <w:vAlign w:val="bottom"/>
            <w:hideMark/>
          </w:tcPr>
          <w:p w14:paraId="5C99102A"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0,0338</w:t>
            </w:r>
          </w:p>
        </w:tc>
        <w:tc>
          <w:tcPr>
            <w:tcW w:w="805" w:type="dxa"/>
            <w:tcBorders>
              <w:top w:val="nil"/>
              <w:left w:val="nil"/>
              <w:bottom w:val="single" w:sz="4" w:space="0" w:color="auto"/>
              <w:right w:val="single" w:sz="4" w:space="0" w:color="auto"/>
            </w:tcBorders>
            <w:shd w:val="clear" w:color="auto" w:fill="auto"/>
            <w:noWrap/>
            <w:vAlign w:val="bottom"/>
            <w:hideMark/>
          </w:tcPr>
          <w:p w14:paraId="770DF89E"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0,0156</w:t>
            </w:r>
          </w:p>
        </w:tc>
        <w:tc>
          <w:tcPr>
            <w:tcW w:w="805" w:type="dxa"/>
            <w:tcBorders>
              <w:top w:val="nil"/>
              <w:left w:val="nil"/>
              <w:bottom w:val="single" w:sz="4" w:space="0" w:color="auto"/>
              <w:right w:val="single" w:sz="4" w:space="0" w:color="auto"/>
            </w:tcBorders>
            <w:shd w:val="clear" w:color="auto" w:fill="auto"/>
            <w:noWrap/>
            <w:vAlign w:val="bottom"/>
            <w:hideMark/>
          </w:tcPr>
          <w:p w14:paraId="6E07ABAC"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3751E371"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5B8F2690"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0,0182</w:t>
            </w:r>
          </w:p>
        </w:tc>
        <w:tc>
          <w:tcPr>
            <w:tcW w:w="805" w:type="dxa"/>
            <w:tcBorders>
              <w:top w:val="nil"/>
              <w:left w:val="nil"/>
              <w:bottom w:val="single" w:sz="4" w:space="0" w:color="auto"/>
              <w:right w:val="single" w:sz="4" w:space="0" w:color="auto"/>
            </w:tcBorders>
            <w:shd w:val="clear" w:color="auto" w:fill="auto"/>
            <w:noWrap/>
            <w:vAlign w:val="bottom"/>
            <w:hideMark/>
          </w:tcPr>
          <w:p w14:paraId="1DC74B37"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1873" w:type="dxa"/>
            <w:tcBorders>
              <w:top w:val="nil"/>
              <w:left w:val="nil"/>
              <w:bottom w:val="single" w:sz="4" w:space="0" w:color="auto"/>
              <w:right w:val="single" w:sz="4" w:space="0" w:color="auto"/>
            </w:tcBorders>
            <w:shd w:val="clear" w:color="auto" w:fill="auto"/>
            <w:noWrap/>
            <w:vAlign w:val="bottom"/>
            <w:hideMark/>
          </w:tcPr>
          <w:p w14:paraId="019D3BD9"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w:t>
            </w:r>
          </w:p>
        </w:tc>
      </w:tr>
      <w:tr w:rsidR="00AC559F" w:rsidRPr="006B3F59" w14:paraId="6AE0AFC4" w14:textId="77777777" w:rsidTr="00AC559F">
        <w:trPr>
          <w:trHeight w:val="300"/>
        </w:trPr>
        <w:tc>
          <w:tcPr>
            <w:tcW w:w="997" w:type="dxa"/>
            <w:tcBorders>
              <w:top w:val="nil"/>
              <w:left w:val="single" w:sz="4" w:space="0" w:color="auto"/>
              <w:bottom w:val="single" w:sz="4" w:space="0" w:color="auto"/>
              <w:right w:val="single" w:sz="4" w:space="0" w:color="auto"/>
            </w:tcBorders>
            <w:shd w:val="clear" w:color="auto" w:fill="auto"/>
            <w:vAlign w:val="bottom"/>
            <w:hideMark/>
          </w:tcPr>
          <w:p w14:paraId="42E9023C"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1134" w:type="dxa"/>
            <w:tcBorders>
              <w:top w:val="nil"/>
              <w:left w:val="nil"/>
              <w:bottom w:val="single" w:sz="4" w:space="0" w:color="auto"/>
              <w:right w:val="single" w:sz="4" w:space="0" w:color="auto"/>
            </w:tcBorders>
            <w:shd w:val="clear" w:color="auto" w:fill="auto"/>
            <w:noWrap/>
            <w:vAlign w:val="bottom"/>
            <w:hideMark/>
          </w:tcPr>
          <w:p w14:paraId="0007A186"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SO5,6</w:t>
            </w:r>
          </w:p>
        </w:tc>
        <w:tc>
          <w:tcPr>
            <w:tcW w:w="1616" w:type="dxa"/>
            <w:tcBorders>
              <w:top w:val="nil"/>
              <w:left w:val="nil"/>
              <w:bottom w:val="single" w:sz="4" w:space="0" w:color="auto"/>
              <w:right w:val="single" w:sz="4" w:space="0" w:color="auto"/>
            </w:tcBorders>
            <w:shd w:val="clear" w:color="auto" w:fill="auto"/>
            <w:noWrap/>
            <w:vAlign w:val="bottom"/>
            <w:hideMark/>
          </w:tcPr>
          <w:p w14:paraId="3FCC5078"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0,6056</w:t>
            </w:r>
          </w:p>
        </w:tc>
        <w:tc>
          <w:tcPr>
            <w:tcW w:w="805" w:type="dxa"/>
            <w:tcBorders>
              <w:top w:val="nil"/>
              <w:left w:val="nil"/>
              <w:bottom w:val="single" w:sz="4" w:space="0" w:color="auto"/>
              <w:right w:val="single" w:sz="4" w:space="0" w:color="auto"/>
            </w:tcBorders>
            <w:shd w:val="clear" w:color="auto" w:fill="auto"/>
            <w:noWrap/>
            <w:vAlign w:val="bottom"/>
            <w:hideMark/>
          </w:tcPr>
          <w:p w14:paraId="1C37EDAE"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0,6056</w:t>
            </w:r>
          </w:p>
        </w:tc>
        <w:tc>
          <w:tcPr>
            <w:tcW w:w="805" w:type="dxa"/>
            <w:tcBorders>
              <w:top w:val="nil"/>
              <w:left w:val="nil"/>
              <w:bottom w:val="single" w:sz="4" w:space="0" w:color="auto"/>
              <w:right w:val="single" w:sz="4" w:space="0" w:color="auto"/>
            </w:tcBorders>
            <w:shd w:val="clear" w:color="auto" w:fill="auto"/>
            <w:noWrap/>
            <w:vAlign w:val="bottom"/>
            <w:hideMark/>
          </w:tcPr>
          <w:p w14:paraId="28A5E469"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7F384C75"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2DDA2D2D"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2603D6D0"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1873" w:type="dxa"/>
            <w:tcBorders>
              <w:top w:val="nil"/>
              <w:left w:val="nil"/>
              <w:bottom w:val="single" w:sz="4" w:space="0" w:color="auto"/>
              <w:right w:val="single" w:sz="4" w:space="0" w:color="auto"/>
            </w:tcBorders>
            <w:shd w:val="clear" w:color="auto" w:fill="auto"/>
            <w:noWrap/>
            <w:vAlign w:val="bottom"/>
            <w:hideMark/>
          </w:tcPr>
          <w:p w14:paraId="7C54BDA1"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0,6056</w:t>
            </w:r>
          </w:p>
        </w:tc>
      </w:tr>
      <w:tr w:rsidR="00AC559F" w:rsidRPr="006B3F59" w14:paraId="7AEF9B1C" w14:textId="77777777" w:rsidTr="00AC559F">
        <w:trPr>
          <w:trHeight w:val="300"/>
        </w:trPr>
        <w:tc>
          <w:tcPr>
            <w:tcW w:w="997" w:type="dxa"/>
            <w:tcBorders>
              <w:top w:val="nil"/>
              <w:left w:val="single" w:sz="4" w:space="0" w:color="auto"/>
              <w:bottom w:val="single" w:sz="4" w:space="0" w:color="auto"/>
              <w:right w:val="single" w:sz="4" w:space="0" w:color="auto"/>
            </w:tcBorders>
            <w:shd w:val="clear" w:color="auto" w:fill="auto"/>
            <w:vAlign w:val="bottom"/>
            <w:hideMark/>
          </w:tcPr>
          <w:p w14:paraId="48C3D8EE"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lastRenderedPageBreak/>
              <w:t> </w:t>
            </w:r>
          </w:p>
        </w:tc>
        <w:tc>
          <w:tcPr>
            <w:tcW w:w="1134" w:type="dxa"/>
            <w:tcBorders>
              <w:top w:val="nil"/>
              <w:left w:val="nil"/>
              <w:bottom w:val="single" w:sz="4" w:space="0" w:color="auto"/>
              <w:right w:val="single" w:sz="4" w:space="0" w:color="auto"/>
            </w:tcBorders>
            <w:shd w:val="clear" w:color="auto" w:fill="auto"/>
            <w:noWrap/>
            <w:vAlign w:val="bottom"/>
            <w:hideMark/>
          </w:tcPr>
          <w:p w14:paraId="1C65FD80"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SP</w:t>
            </w:r>
          </w:p>
        </w:tc>
        <w:tc>
          <w:tcPr>
            <w:tcW w:w="1616" w:type="dxa"/>
            <w:tcBorders>
              <w:top w:val="nil"/>
              <w:left w:val="nil"/>
              <w:bottom w:val="single" w:sz="4" w:space="0" w:color="auto"/>
              <w:right w:val="single" w:sz="4" w:space="0" w:color="auto"/>
            </w:tcBorders>
            <w:shd w:val="clear" w:color="auto" w:fill="auto"/>
            <w:noWrap/>
            <w:vAlign w:val="bottom"/>
            <w:hideMark/>
          </w:tcPr>
          <w:p w14:paraId="0FBAE594"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0,0484</w:t>
            </w:r>
          </w:p>
        </w:tc>
        <w:tc>
          <w:tcPr>
            <w:tcW w:w="805" w:type="dxa"/>
            <w:tcBorders>
              <w:top w:val="nil"/>
              <w:left w:val="nil"/>
              <w:bottom w:val="single" w:sz="4" w:space="0" w:color="auto"/>
              <w:right w:val="single" w:sz="4" w:space="0" w:color="auto"/>
            </w:tcBorders>
            <w:shd w:val="clear" w:color="auto" w:fill="auto"/>
            <w:noWrap/>
            <w:vAlign w:val="bottom"/>
            <w:hideMark/>
          </w:tcPr>
          <w:p w14:paraId="10061C96"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0,0484</w:t>
            </w:r>
          </w:p>
        </w:tc>
        <w:tc>
          <w:tcPr>
            <w:tcW w:w="805" w:type="dxa"/>
            <w:tcBorders>
              <w:top w:val="nil"/>
              <w:left w:val="nil"/>
              <w:bottom w:val="single" w:sz="4" w:space="0" w:color="auto"/>
              <w:right w:val="single" w:sz="4" w:space="0" w:color="auto"/>
            </w:tcBorders>
            <w:shd w:val="clear" w:color="auto" w:fill="auto"/>
            <w:noWrap/>
            <w:vAlign w:val="bottom"/>
            <w:hideMark/>
          </w:tcPr>
          <w:p w14:paraId="55835459"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2A47BA77"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1CC942CC"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70143E3C"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1873" w:type="dxa"/>
            <w:tcBorders>
              <w:top w:val="nil"/>
              <w:left w:val="nil"/>
              <w:bottom w:val="single" w:sz="4" w:space="0" w:color="auto"/>
              <w:right w:val="single" w:sz="4" w:space="0" w:color="auto"/>
            </w:tcBorders>
            <w:shd w:val="clear" w:color="auto" w:fill="auto"/>
            <w:noWrap/>
            <w:vAlign w:val="bottom"/>
            <w:hideMark/>
          </w:tcPr>
          <w:p w14:paraId="53A4717E"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0,0242</w:t>
            </w:r>
          </w:p>
        </w:tc>
      </w:tr>
      <w:tr w:rsidR="00AC559F" w:rsidRPr="006B3F59" w14:paraId="23FA7D16" w14:textId="77777777" w:rsidTr="00AC559F">
        <w:trPr>
          <w:trHeight w:val="300"/>
        </w:trPr>
        <w:tc>
          <w:tcPr>
            <w:tcW w:w="997" w:type="dxa"/>
            <w:tcBorders>
              <w:top w:val="nil"/>
              <w:left w:val="single" w:sz="4" w:space="0" w:color="auto"/>
              <w:bottom w:val="single" w:sz="4" w:space="0" w:color="auto"/>
              <w:right w:val="single" w:sz="4" w:space="0" w:color="auto"/>
            </w:tcBorders>
            <w:shd w:val="clear" w:color="auto" w:fill="auto"/>
            <w:vAlign w:val="bottom"/>
            <w:hideMark/>
          </w:tcPr>
          <w:p w14:paraId="551E8618"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1134" w:type="dxa"/>
            <w:tcBorders>
              <w:top w:val="nil"/>
              <w:left w:val="nil"/>
              <w:bottom w:val="single" w:sz="4" w:space="0" w:color="auto"/>
              <w:right w:val="single" w:sz="4" w:space="0" w:color="auto"/>
            </w:tcBorders>
            <w:shd w:val="clear" w:color="auto" w:fill="auto"/>
            <w:noWrap/>
            <w:vAlign w:val="bottom"/>
            <w:hideMark/>
          </w:tcPr>
          <w:p w14:paraId="0F0B298D"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SV-B</w:t>
            </w:r>
          </w:p>
        </w:tc>
        <w:tc>
          <w:tcPr>
            <w:tcW w:w="1616" w:type="dxa"/>
            <w:tcBorders>
              <w:top w:val="nil"/>
              <w:left w:val="nil"/>
              <w:bottom w:val="single" w:sz="4" w:space="0" w:color="auto"/>
              <w:right w:val="single" w:sz="4" w:space="0" w:color="auto"/>
            </w:tcBorders>
            <w:shd w:val="clear" w:color="auto" w:fill="auto"/>
            <w:noWrap/>
            <w:vAlign w:val="bottom"/>
            <w:hideMark/>
          </w:tcPr>
          <w:p w14:paraId="3A45D01A"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0,0394</w:t>
            </w:r>
          </w:p>
        </w:tc>
        <w:tc>
          <w:tcPr>
            <w:tcW w:w="805" w:type="dxa"/>
            <w:tcBorders>
              <w:top w:val="nil"/>
              <w:left w:val="nil"/>
              <w:bottom w:val="single" w:sz="4" w:space="0" w:color="auto"/>
              <w:right w:val="single" w:sz="4" w:space="0" w:color="auto"/>
            </w:tcBorders>
            <w:shd w:val="clear" w:color="auto" w:fill="auto"/>
            <w:noWrap/>
            <w:vAlign w:val="bottom"/>
            <w:hideMark/>
          </w:tcPr>
          <w:p w14:paraId="234D5308"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68772EB9"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0,0321</w:t>
            </w:r>
          </w:p>
        </w:tc>
        <w:tc>
          <w:tcPr>
            <w:tcW w:w="805" w:type="dxa"/>
            <w:tcBorders>
              <w:top w:val="nil"/>
              <w:left w:val="nil"/>
              <w:bottom w:val="single" w:sz="4" w:space="0" w:color="auto"/>
              <w:right w:val="single" w:sz="4" w:space="0" w:color="auto"/>
            </w:tcBorders>
            <w:shd w:val="clear" w:color="auto" w:fill="auto"/>
            <w:noWrap/>
            <w:vAlign w:val="bottom"/>
            <w:hideMark/>
          </w:tcPr>
          <w:p w14:paraId="3F4860B9"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56B37A2A"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0,0073</w:t>
            </w:r>
          </w:p>
        </w:tc>
        <w:tc>
          <w:tcPr>
            <w:tcW w:w="805" w:type="dxa"/>
            <w:tcBorders>
              <w:top w:val="nil"/>
              <w:left w:val="nil"/>
              <w:bottom w:val="single" w:sz="4" w:space="0" w:color="auto"/>
              <w:right w:val="single" w:sz="4" w:space="0" w:color="auto"/>
            </w:tcBorders>
            <w:shd w:val="clear" w:color="auto" w:fill="auto"/>
            <w:noWrap/>
            <w:vAlign w:val="bottom"/>
            <w:hideMark/>
          </w:tcPr>
          <w:p w14:paraId="3E6278BF"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1873" w:type="dxa"/>
            <w:tcBorders>
              <w:top w:val="nil"/>
              <w:left w:val="nil"/>
              <w:bottom w:val="single" w:sz="4" w:space="0" w:color="auto"/>
              <w:right w:val="single" w:sz="4" w:space="0" w:color="auto"/>
            </w:tcBorders>
            <w:shd w:val="clear" w:color="auto" w:fill="auto"/>
            <w:noWrap/>
            <w:vAlign w:val="bottom"/>
            <w:hideMark/>
          </w:tcPr>
          <w:p w14:paraId="62BF08E8"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0,0197</w:t>
            </w:r>
          </w:p>
        </w:tc>
      </w:tr>
      <w:tr w:rsidR="00AC559F" w:rsidRPr="006B3F59" w14:paraId="11ABE30D" w14:textId="77777777" w:rsidTr="00AC559F">
        <w:trPr>
          <w:trHeight w:val="300"/>
        </w:trPr>
        <w:tc>
          <w:tcPr>
            <w:tcW w:w="997" w:type="dxa"/>
            <w:tcBorders>
              <w:top w:val="nil"/>
              <w:left w:val="single" w:sz="4" w:space="0" w:color="auto"/>
              <w:bottom w:val="single" w:sz="4" w:space="0" w:color="auto"/>
              <w:right w:val="single" w:sz="4" w:space="0" w:color="auto"/>
            </w:tcBorders>
            <w:shd w:val="clear" w:color="auto" w:fill="auto"/>
            <w:vAlign w:val="bottom"/>
            <w:hideMark/>
          </w:tcPr>
          <w:p w14:paraId="5B9D85D7"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1134" w:type="dxa"/>
            <w:tcBorders>
              <w:top w:val="nil"/>
              <w:left w:val="nil"/>
              <w:bottom w:val="single" w:sz="4" w:space="0" w:color="auto"/>
              <w:right w:val="single" w:sz="4" w:space="0" w:color="auto"/>
            </w:tcBorders>
            <w:shd w:val="clear" w:color="auto" w:fill="auto"/>
            <w:noWrap/>
            <w:vAlign w:val="bottom"/>
            <w:hideMark/>
          </w:tcPr>
          <w:p w14:paraId="45246292"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SV-D</w:t>
            </w:r>
          </w:p>
        </w:tc>
        <w:tc>
          <w:tcPr>
            <w:tcW w:w="1616" w:type="dxa"/>
            <w:tcBorders>
              <w:top w:val="nil"/>
              <w:left w:val="nil"/>
              <w:bottom w:val="single" w:sz="4" w:space="0" w:color="auto"/>
              <w:right w:val="single" w:sz="4" w:space="0" w:color="auto"/>
            </w:tcBorders>
            <w:shd w:val="clear" w:color="auto" w:fill="auto"/>
            <w:noWrap/>
            <w:vAlign w:val="bottom"/>
            <w:hideMark/>
          </w:tcPr>
          <w:p w14:paraId="1FE6503C"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0,2905</w:t>
            </w:r>
          </w:p>
        </w:tc>
        <w:tc>
          <w:tcPr>
            <w:tcW w:w="805" w:type="dxa"/>
            <w:tcBorders>
              <w:top w:val="nil"/>
              <w:left w:val="nil"/>
              <w:bottom w:val="single" w:sz="4" w:space="0" w:color="auto"/>
              <w:right w:val="single" w:sz="4" w:space="0" w:color="auto"/>
            </w:tcBorders>
            <w:shd w:val="clear" w:color="auto" w:fill="auto"/>
            <w:noWrap/>
            <w:vAlign w:val="bottom"/>
            <w:hideMark/>
          </w:tcPr>
          <w:p w14:paraId="61A0D56D"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0,2905</w:t>
            </w:r>
          </w:p>
        </w:tc>
        <w:tc>
          <w:tcPr>
            <w:tcW w:w="805" w:type="dxa"/>
            <w:tcBorders>
              <w:top w:val="nil"/>
              <w:left w:val="nil"/>
              <w:bottom w:val="single" w:sz="4" w:space="0" w:color="auto"/>
              <w:right w:val="single" w:sz="4" w:space="0" w:color="auto"/>
            </w:tcBorders>
            <w:shd w:val="clear" w:color="auto" w:fill="auto"/>
            <w:noWrap/>
            <w:vAlign w:val="bottom"/>
            <w:hideMark/>
          </w:tcPr>
          <w:p w14:paraId="7228A94F"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1CF43F6D"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6131F8A9"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551D50D9"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1873" w:type="dxa"/>
            <w:tcBorders>
              <w:top w:val="nil"/>
              <w:left w:val="nil"/>
              <w:bottom w:val="single" w:sz="4" w:space="0" w:color="auto"/>
              <w:right w:val="single" w:sz="4" w:space="0" w:color="auto"/>
            </w:tcBorders>
            <w:shd w:val="clear" w:color="auto" w:fill="auto"/>
            <w:noWrap/>
            <w:vAlign w:val="bottom"/>
            <w:hideMark/>
          </w:tcPr>
          <w:p w14:paraId="60B36C6C"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0,1017</w:t>
            </w:r>
          </w:p>
        </w:tc>
      </w:tr>
      <w:tr w:rsidR="00AC559F" w:rsidRPr="006B3F59" w14:paraId="4F046A6F" w14:textId="77777777" w:rsidTr="00AC559F">
        <w:trPr>
          <w:trHeight w:val="300"/>
        </w:trPr>
        <w:tc>
          <w:tcPr>
            <w:tcW w:w="997" w:type="dxa"/>
            <w:tcBorders>
              <w:top w:val="nil"/>
              <w:left w:val="single" w:sz="4" w:space="0" w:color="auto"/>
              <w:bottom w:val="single" w:sz="4" w:space="0" w:color="auto"/>
              <w:right w:val="single" w:sz="4" w:space="0" w:color="auto"/>
            </w:tcBorders>
            <w:shd w:val="clear" w:color="auto" w:fill="auto"/>
            <w:vAlign w:val="bottom"/>
            <w:hideMark/>
          </w:tcPr>
          <w:p w14:paraId="0A32126A"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1134" w:type="dxa"/>
            <w:tcBorders>
              <w:top w:val="nil"/>
              <w:left w:val="nil"/>
              <w:bottom w:val="single" w:sz="4" w:space="0" w:color="auto"/>
              <w:right w:val="single" w:sz="4" w:space="0" w:color="auto"/>
            </w:tcBorders>
            <w:shd w:val="clear" w:color="auto" w:fill="auto"/>
            <w:noWrap/>
            <w:vAlign w:val="bottom"/>
            <w:hideMark/>
          </w:tcPr>
          <w:p w14:paraId="3DF911D3"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SV-E</w:t>
            </w:r>
          </w:p>
        </w:tc>
        <w:tc>
          <w:tcPr>
            <w:tcW w:w="1616" w:type="dxa"/>
            <w:tcBorders>
              <w:top w:val="nil"/>
              <w:left w:val="nil"/>
              <w:bottom w:val="single" w:sz="4" w:space="0" w:color="auto"/>
              <w:right w:val="single" w:sz="4" w:space="0" w:color="auto"/>
            </w:tcBorders>
            <w:shd w:val="clear" w:color="auto" w:fill="auto"/>
            <w:noWrap/>
            <w:vAlign w:val="bottom"/>
            <w:hideMark/>
          </w:tcPr>
          <w:p w14:paraId="172D90AA"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1,1392</w:t>
            </w:r>
          </w:p>
        </w:tc>
        <w:tc>
          <w:tcPr>
            <w:tcW w:w="805" w:type="dxa"/>
            <w:tcBorders>
              <w:top w:val="nil"/>
              <w:left w:val="nil"/>
              <w:bottom w:val="single" w:sz="4" w:space="0" w:color="auto"/>
              <w:right w:val="single" w:sz="4" w:space="0" w:color="auto"/>
            </w:tcBorders>
            <w:shd w:val="clear" w:color="auto" w:fill="auto"/>
            <w:noWrap/>
            <w:vAlign w:val="bottom"/>
            <w:hideMark/>
          </w:tcPr>
          <w:p w14:paraId="4A138866"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1,0133</w:t>
            </w:r>
          </w:p>
        </w:tc>
        <w:tc>
          <w:tcPr>
            <w:tcW w:w="805" w:type="dxa"/>
            <w:tcBorders>
              <w:top w:val="nil"/>
              <w:left w:val="nil"/>
              <w:bottom w:val="single" w:sz="4" w:space="0" w:color="auto"/>
              <w:right w:val="single" w:sz="4" w:space="0" w:color="auto"/>
            </w:tcBorders>
            <w:shd w:val="clear" w:color="auto" w:fill="auto"/>
            <w:noWrap/>
            <w:vAlign w:val="bottom"/>
            <w:hideMark/>
          </w:tcPr>
          <w:p w14:paraId="6A648532"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0,1259</w:t>
            </w:r>
          </w:p>
        </w:tc>
        <w:tc>
          <w:tcPr>
            <w:tcW w:w="805" w:type="dxa"/>
            <w:tcBorders>
              <w:top w:val="nil"/>
              <w:left w:val="nil"/>
              <w:bottom w:val="single" w:sz="4" w:space="0" w:color="auto"/>
              <w:right w:val="single" w:sz="4" w:space="0" w:color="auto"/>
            </w:tcBorders>
            <w:shd w:val="clear" w:color="auto" w:fill="auto"/>
            <w:noWrap/>
            <w:vAlign w:val="bottom"/>
            <w:hideMark/>
          </w:tcPr>
          <w:p w14:paraId="2D56CEB2"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76443BFB"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32BE0AAA"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1873" w:type="dxa"/>
            <w:tcBorders>
              <w:top w:val="nil"/>
              <w:left w:val="nil"/>
              <w:bottom w:val="single" w:sz="4" w:space="0" w:color="auto"/>
              <w:right w:val="single" w:sz="4" w:space="0" w:color="auto"/>
            </w:tcBorders>
            <w:shd w:val="clear" w:color="auto" w:fill="auto"/>
            <w:noWrap/>
            <w:vAlign w:val="bottom"/>
            <w:hideMark/>
          </w:tcPr>
          <w:p w14:paraId="3FABE69D"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0,1709</w:t>
            </w:r>
          </w:p>
        </w:tc>
      </w:tr>
      <w:tr w:rsidR="00AC559F" w:rsidRPr="006B3F59" w14:paraId="2E87C972" w14:textId="77777777" w:rsidTr="00AC559F">
        <w:trPr>
          <w:trHeight w:val="300"/>
        </w:trPr>
        <w:tc>
          <w:tcPr>
            <w:tcW w:w="997" w:type="dxa"/>
            <w:tcBorders>
              <w:top w:val="nil"/>
              <w:left w:val="single" w:sz="4" w:space="0" w:color="auto"/>
              <w:bottom w:val="single" w:sz="4" w:space="0" w:color="auto"/>
              <w:right w:val="single" w:sz="4" w:space="0" w:color="auto"/>
            </w:tcBorders>
            <w:shd w:val="clear" w:color="auto" w:fill="auto"/>
            <w:vAlign w:val="bottom"/>
            <w:hideMark/>
          </w:tcPr>
          <w:p w14:paraId="7774153D"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1134" w:type="dxa"/>
            <w:tcBorders>
              <w:top w:val="nil"/>
              <w:left w:val="nil"/>
              <w:bottom w:val="single" w:sz="4" w:space="0" w:color="auto"/>
              <w:right w:val="single" w:sz="4" w:space="0" w:color="auto"/>
            </w:tcBorders>
            <w:shd w:val="clear" w:color="auto" w:fill="auto"/>
            <w:noWrap/>
            <w:vAlign w:val="bottom"/>
            <w:hideMark/>
          </w:tcPr>
          <w:p w14:paraId="3B5FBB19"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SV-F</w:t>
            </w:r>
          </w:p>
        </w:tc>
        <w:tc>
          <w:tcPr>
            <w:tcW w:w="1616" w:type="dxa"/>
            <w:tcBorders>
              <w:top w:val="nil"/>
              <w:left w:val="nil"/>
              <w:bottom w:val="single" w:sz="4" w:space="0" w:color="auto"/>
              <w:right w:val="single" w:sz="4" w:space="0" w:color="auto"/>
            </w:tcBorders>
            <w:shd w:val="clear" w:color="auto" w:fill="auto"/>
            <w:noWrap/>
            <w:vAlign w:val="bottom"/>
            <w:hideMark/>
          </w:tcPr>
          <w:p w14:paraId="62998453"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0,5354</w:t>
            </w:r>
          </w:p>
        </w:tc>
        <w:tc>
          <w:tcPr>
            <w:tcW w:w="805" w:type="dxa"/>
            <w:tcBorders>
              <w:top w:val="nil"/>
              <w:left w:val="nil"/>
              <w:bottom w:val="single" w:sz="4" w:space="0" w:color="auto"/>
              <w:right w:val="single" w:sz="4" w:space="0" w:color="auto"/>
            </w:tcBorders>
            <w:shd w:val="clear" w:color="auto" w:fill="auto"/>
            <w:noWrap/>
            <w:vAlign w:val="bottom"/>
            <w:hideMark/>
          </w:tcPr>
          <w:p w14:paraId="3676409D"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0,5354</w:t>
            </w:r>
          </w:p>
        </w:tc>
        <w:tc>
          <w:tcPr>
            <w:tcW w:w="805" w:type="dxa"/>
            <w:tcBorders>
              <w:top w:val="nil"/>
              <w:left w:val="nil"/>
              <w:bottom w:val="single" w:sz="4" w:space="0" w:color="auto"/>
              <w:right w:val="single" w:sz="4" w:space="0" w:color="auto"/>
            </w:tcBorders>
            <w:shd w:val="clear" w:color="auto" w:fill="auto"/>
            <w:noWrap/>
            <w:vAlign w:val="bottom"/>
            <w:hideMark/>
          </w:tcPr>
          <w:p w14:paraId="7199A66B"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2E92397A"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3AB3D8A9"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208B8EFB"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1873" w:type="dxa"/>
            <w:tcBorders>
              <w:top w:val="nil"/>
              <w:left w:val="nil"/>
              <w:bottom w:val="single" w:sz="4" w:space="0" w:color="auto"/>
              <w:right w:val="single" w:sz="4" w:space="0" w:color="auto"/>
            </w:tcBorders>
            <w:shd w:val="clear" w:color="auto" w:fill="auto"/>
            <w:noWrap/>
            <w:vAlign w:val="bottom"/>
            <w:hideMark/>
          </w:tcPr>
          <w:p w14:paraId="24F906E1"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0,1339</w:t>
            </w:r>
          </w:p>
        </w:tc>
      </w:tr>
      <w:tr w:rsidR="00AC559F" w:rsidRPr="006B3F59" w14:paraId="5A7D7214" w14:textId="77777777" w:rsidTr="00AC559F">
        <w:trPr>
          <w:trHeight w:val="300"/>
        </w:trPr>
        <w:tc>
          <w:tcPr>
            <w:tcW w:w="997" w:type="dxa"/>
            <w:tcBorders>
              <w:top w:val="nil"/>
              <w:left w:val="single" w:sz="4" w:space="0" w:color="auto"/>
              <w:bottom w:val="single" w:sz="4" w:space="0" w:color="auto"/>
              <w:right w:val="single" w:sz="4" w:space="0" w:color="auto"/>
            </w:tcBorders>
            <w:shd w:val="clear" w:color="auto" w:fill="auto"/>
            <w:vAlign w:val="bottom"/>
            <w:hideMark/>
          </w:tcPr>
          <w:p w14:paraId="2A47EA70"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1134" w:type="dxa"/>
            <w:tcBorders>
              <w:top w:val="nil"/>
              <w:left w:val="nil"/>
              <w:bottom w:val="single" w:sz="4" w:space="0" w:color="auto"/>
              <w:right w:val="single" w:sz="4" w:space="0" w:color="auto"/>
            </w:tcBorders>
            <w:shd w:val="clear" w:color="auto" w:fill="auto"/>
            <w:noWrap/>
            <w:vAlign w:val="bottom"/>
            <w:hideMark/>
          </w:tcPr>
          <w:p w14:paraId="23F9A43B"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VN</w:t>
            </w:r>
          </w:p>
        </w:tc>
        <w:tc>
          <w:tcPr>
            <w:tcW w:w="1616" w:type="dxa"/>
            <w:tcBorders>
              <w:top w:val="nil"/>
              <w:left w:val="nil"/>
              <w:bottom w:val="single" w:sz="4" w:space="0" w:color="auto"/>
              <w:right w:val="single" w:sz="4" w:space="0" w:color="auto"/>
            </w:tcBorders>
            <w:shd w:val="clear" w:color="auto" w:fill="auto"/>
            <w:noWrap/>
            <w:vAlign w:val="bottom"/>
            <w:hideMark/>
          </w:tcPr>
          <w:p w14:paraId="3B1E213C"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0,0143</w:t>
            </w:r>
          </w:p>
        </w:tc>
        <w:tc>
          <w:tcPr>
            <w:tcW w:w="805" w:type="dxa"/>
            <w:tcBorders>
              <w:top w:val="nil"/>
              <w:left w:val="nil"/>
              <w:bottom w:val="single" w:sz="4" w:space="0" w:color="auto"/>
              <w:right w:val="single" w:sz="4" w:space="0" w:color="auto"/>
            </w:tcBorders>
            <w:shd w:val="clear" w:color="auto" w:fill="auto"/>
            <w:noWrap/>
            <w:vAlign w:val="bottom"/>
            <w:hideMark/>
          </w:tcPr>
          <w:p w14:paraId="0DEDBE50"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74AAA96C"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52329470"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0,0143</w:t>
            </w:r>
          </w:p>
        </w:tc>
        <w:tc>
          <w:tcPr>
            <w:tcW w:w="805" w:type="dxa"/>
            <w:tcBorders>
              <w:top w:val="nil"/>
              <w:left w:val="nil"/>
              <w:bottom w:val="single" w:sz="4" w:space="0" w:color="auto"/>
              <w:right w:val="single" w:sz="4" w:space="0" w:color="auto"/>
            </w:tcBorders>
            <w:shd w:val="clear" w:color="auto" w:fill="auto"/>
            <w:noWrap/>
            <w:vAlign w:val="bottom"/>
            <w:hideMark/>
          </w:tcPr>
          <w:p w14:paraId="79755E6E"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26B4A8AF"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1873" w:type="dxa"/>
            <w:tcBorders>
              <w:top w:val="nil"/>
              <w:left w:val="nil"/>
              <w:bottom w:val="single" w:sz="4" w:space="0" w:color="auto"/>
              <w:right w:val="single" w:sz="4" w:space="0" w:color="auto"/>
            </w:tcBorders>
            <w:shd w:val="clear" w:color="auto" w:fill="auto"/>
            <w:noWrap/>
            <w:vAlign w:val="bottom"/>
            <w:hideMark/>
          </w:tcPr>
          <w:p w14:paraId="7BB80BD3"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w:t>
            </w:r>
          </w:p>
        </w:tc>
      </w:tr>
      <w:tr w:rsidR="00AC559F" w:rsidRPr="006B3F59" w14:paraId="1A1898DC" w14:textId="77777777" w:rsidTr="00AC559F">
        <w:trPr>
          <w:trHeight w:val="300"/>
        </w:trPr>
        <w:tc>
          <w:tcPr>
            <w:tcW w:w="997" w:type="dxa"/>
            <w:tcBorders>
              <w:top w:val="nil"/>
              <w:left w:val="single" w:sz="4" w:space="0" w:color="auto"/>
              <w:bottom w:val="single" w:sz="4" w:space="0" w:color="auto"/>
              <w:right w:val="single" w:sz="4" w:space="0" w:color="auto"/>
            </w:tcBorders>
            <w:shd w:val="clear" w:color="auto" w:fill="auto"/>
            <w:vAlign w:val="bottom"/>
            <w:hideMark/>
          </w:tcPr>
          <w:p w14:paraId="198E4415"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1134" w:type="dxa"/>
            <w:tcBorders>
              <w:top w:val="nil"/>
              <w:left w:val="nil"/>
              <w:bottom w:val="single" w:sz="4" w:space="0" w:color="auto"/>
              <w:right w:val="single" w:sz="4" w:space="0" w:color="auto"/>
            </w:tcBorders>
            <w:shd w:val="clear" w:color="auto" w:fill="auto"/>
            <w:noWrap/>
            <w:vAlign w:val="bottom"/>
            <w:hideMark/>
          </w:tcPr>
          <w:p w14:paraId="01D692CE"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VV</w:t>
            </w:r>
          </w:p>
        </w:tc>
        <w:tc>
          <w:tcPr>
            <w:tcW w:w="1616" w:type="dxa"/>
            <w:tcBorders>
              <w:top w:val="nil"/>
              <w:left w:val="nil"/>
              <w:bottom w:val="single" w:sz="4" w:space="0" w:color="auto"/>
              <w:right w:val="single" w:sz="4" w:space="0" w:color="auto"/>
            </w:tcBorders>
            <w:shd w:val="clear" w:color="auto" w:fill="auto"/>
            <w:noWrap/>
            <w:vAlign w:val="bottom"/>
            <w:hideMark/>
          </w:tcPr>
          <w:p w14:paraId="1FCA8CA7"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0,9402</w:t>
            </w:r>
          </w:p>
        </w:tc>
        <w:tc>
          <w:tcPr>
            <w:tcW w:w="805" w:type="dxa"/>
            <w:tcBorders>
              <w:top w:val="nil"/>
              <w:left w:val="nil"/>
              <w:bottom w:val="nil"/>
              <w:right w:val="nil"/>
            </w:tcBorders>
            <w:shd w:val="clear" w:color="auto" w:fill="auto"/>
            <w:noWrap/>
            <w:vAlign w:val="bottom"/>
            <w:hideMark/>
          </w:tcPr>
          <w:p w14:paraId="3882B5C4" w14:textId="77777777" w:rsidR="00AC559F" w:rsidRPr="006B3F59" w:rsidRDefault="00AC559F" w:rsidP="009B4A0C">
            <w:pPr>
              <w:jc w:val="right"/>
              <w:rPr>
                <w:rFonts w:eastAsia="Times New Roman" w:cs="Arial"/>
                <w:color w:val="000000"/>
                <w:szCs w:val="20"/>
                <w:lang w:eastAsia="cs-CZ"/>
              </w:rPr>
            </w:pPr>
            <w:r w:rsidRPr="006B3F59">
              <w:rPr>
                <w:rFonts w:eastAsia="Times New Roman" w:cs="Arial"/>
                <w:color w:val="000000"/>
                <w:szCs w:val="20"/>
                <w:lang w:eastAsia="cs-CZ"/>
              </w:rPr>
              <w:t>0,7429</w:t>
            </w:r>
          </w:p>
        </w:tc>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0983FB8B" w14:textId="77777777" w:rsidR="00AC559F" w:rsidRPr="006B3F59" w:rsidRDefault="00AC559F" w:rsidP="009B4A0C">
            <w:pPr>
              <w:jc w:val="right"/>
              <w:rPr>
                <w:rFonts w:eastAsia="Times New Roman" w:cs="Arial"/>
                <w:color w:val="000000"/>
                <w:szCs w:val="20"/>
                <w:lang w:eastAsia="cs-CZ"/>
              </w:rPr>
            </w:pPr>
            <w:r w:rsidRPr="006B3F59">
              <w:rPr>
                <w:rFonts w:eastAsia="Times New Roman" w:cs="Arial"/>
                <w:color w:val="000000"/>
                <w:szCs w:val="20"/>
                <w:lang w:eastAsia="cs-CZ"/>
              </w:rPr>
              <w:t>0,1973</w:t>
            </w:r>
          </w:p>
        </w:tc>
        <w:tc>
          <w:tcPr>
            <w:tcW w:w="805" w:type="dxa"/>
            <w:tcBorders>
              <w:top w:val="nil"/>
              <w:left w:val="nil"/>
              <w:bottom w:val="single" w:sz="4" w:space="0" w:color="auto"/>
              <w:right w:val="single" w:sz="4" w:space="0" w:color="auto"/>
            </w:tcBorders>
            <w:shd w:val="clear" w:color="auto" w:fill="auto"/>
            <w:noWrap/>
            <w:vAlign w:val="bottom"/>
            <w:hideMark/>
          </w:tcPr>
          <w:p w14:paraId="2755C715"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20C34453"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7E20F9DE"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1873" w:type="dxa"/>
            <w:tcBorders>
              <w:top w:val="nil"/>
              <w:left w:val="nil"/>
              <w:bottom w:val="single" w:sz="4" w:space="0" w:color="auto"/>
              <w:right w:val="single" w:sz="4" w:space="0" w:color="auto"/>
            </w:tcBorders>
            <w:shd w:val="clear" w:color="auto" w:fill="auto"/>
            <w:noWrap/>
            <w:vAlign w:val="bottom"/>
            <w:hideMark/>
          </w:tcPr>
          <w:p w14:paraId="521EB20F"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0,4701</w:t>
            </w:r>
          </w:p>
        </w:tc>
      </w:tr>
      <w:tr w:rsidR="00AC559F" w:rsidRPr="006B3F59" w14:paraId="562274B7" w14:textId="77777777" w:rsidTr="00AC559F">
        <w:trPr>
          <w:trHeight w:val="300"/>
        </w:trPr>
        <w:tc>
          <w:tcPr>
            <w:tcW w:w="997" w:type="dxa"/>
            <w:tcBorders>
              <w:top w:val="nil"/>
              <w:left w:val="single" w:sz="4" w:space="0" w:color="auto"/>
              <w:bottom w:val="single" w:sz="4" w:space="0" w:color="auto"/>
              <w:right w:val="single" w:sz="4" w:space="0" w:color="auto"/>
            </w:tcBorders>
            <w:shd w:val="clear" w:color="auto" w:fill="auto"/>
            <w:vAlign w:val="bottom"/>
            <w:hideMark/>
          </w:tcPr>
          <w:p w14:paraId="3CACE19A"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1134" w:type="dxa"/>
            <w:tcBorders>
              <w:top w:val="nil"/>
              <w:left w:val="nil"/>
              <w:bottom w:val="single" w:sz="4" w:space="0" w:color="auto"/>
              <w:right w:val="single" w:sz="4" w:space="0" w:color="auto"/>
            </w:tcBorders>
            <w:shd w:val="clear" w:color="auto" w:fill="auto"/>
            <w:noWrap/>
            <w:vAlign w:val="bottom"/>
            <w:hideMark/>
          </w:tcPr>
          <w:p w14:paraId="4F5794D4"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ZMK</w:t>
            </w:r>
          </w:p>
        </w:tc>
        <w:tc>
          <w:tcPr>
            <w:tcW w:w="1616" w:type="dxa"/>
            <w:tcBorders>
              <w:top w:val="nil"/>
              <w:left w:val="nil"/>
              <w:bottom w:val="single" w:sz="4" w:space="0" w:color="auto"/>
              <w:right w:val="single" w:sz="4" w:space="0" w:color="auto"/>
            </w:tcBorders>
            <w:shd w:val="clear" w:color="auto" w:fill="auto"/>
            <w:noWrap/>
            <w:vAlign w:val="bottom"/>
            <w:hideMark/>
          </w:tcPr>
          <w:p w14:paraId="6DF57895"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2,6840</w:t>
            </w:r>
          </w:p>
        </w:tc>
        <w:tc>
          <w:tcPr>
            <w:tcW w:w="805" w:type="dxa"/>
            <w:tcBorders>
              <w:top w:val="single" w:sz="4" w:space="0" w:color="auto"/>
              <w:left w:val="nil"/>
              <w:bottom w:val="single" w:sz="4" w:space="0" w:color="auto"/>
              <w:right w:val="single" w:sz="4" w:space="0" w:color="auto"/>
            </w:tcBorders>
            <w:shd w:val="clear" w:color="auto" w:fill="auto"/>
            <w:noWrap/>
            <w:vAlign w:val="bottom"/>
            <w:hideMark/>
          </w:tcPr>
          <w:p w14:paraId="7D1FD7B9"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2,2300</w:t>
            </w:r>
          </w:p>
        </w:tc>
        <w:tc>
          <w:tcPr>
            <w:tcW w:w="805" w:type="dxa"/>
            <w:tcBorders>
              <w:top w:val="nil"/>
              <w:left w:val="nil"/>
              <w:bottom w:val="single" w:sz="4" w:space="0" w:color="auto"/>
              <w:right w:val="single" w:sz="4" w:space="0" w:color="auto"/>
            </w:tcBorders>
            <w:shd w:val="clear" w:color="auto" w:fill="auto"/>
            <w:noWrap/>
            <w:vAlign w:val="bottom"/>
            <w:hideMark/>
          </w:tcPr>
          <w:p w14:paraId="49A3CE1D"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0,2614</w:t>
            </w:r>
          </w:p>
        </w:tc>
        <w:tc>
          <w:tcPr>
            <w:tcW w:w="805" w:type="dxa"/>
            <w:tcBorders>
              <w:top w:val="nil"/>
              <w:left w:val="nil"/>
              <w:bottom w:val="single" w:sz="4" w:space="0" w:color="auto"/>
              <w:right w:val="single" w:sz="4" w:space="0" w:color="auto"/>
            </w:tcBorders>
            <w:shd w:val="clear" w:color="auto" w:fill="auto"/>
            <w:noWrap/>
            <w:vAlign w:val="bottom"/>
            <w:hideMark/>
          </w:tcPr>
          <w:p w14:paraId="2C271CC2"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7386F95E"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805" w:type="dxa"/>
            <w:tcBorders>
              <w:top w:val="nil"/>
              <w:left w:val="nil"/>
              <w:bottom w:val="single" w:sz="4" w:space="0" w:color="auto"/>
              <w:right w:val="single" w:sz="4" w:space="0" w:color="auto"/>
            </w:tcBorders>
            <w:shd w:val="clear" w:color="auto" w:fill="auto"/>
            <w:noWrap/>
            <w:vAlign w:val="bottom"/>
            <w:hideMark/>
          </w:tcPr>
          <w:p w14:paraId="1C198283"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0,1926</w:t>
            </w:r>
          </w:p>
        </w:tc>
        <w:tc>
          <w:tcPr>
            <w:tcW w:w="1873" w:type="dxa"/>
            <w:tcBorders>
              <w:top w:val="nil"/>
              <w:left w:val="nil"/>
              <w:bottom w:val="single" w:sz="4" w:space="0" w:color="auto"/>
              <w:right w:val="single" w:sz="4" w:space="0" w:color="auto"/>
            </w:tcBorders>
            <w:shd w:val="clear" w:color="auto" w:fill="auto"/>
            <w:noWrap/>
            <w:vAlign w:val="bottom"/>
            <w:hideMark/>
          </w:tcPr>
          <w:p w14:paraId="19B09CB5"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2,6840</w:t>
            </w:r>
          </w:p>
        </w:tc>
      </w:tr>
      <w:tr w:rsidR="00AC559F" w:rsidRPr="006B3F59" w14:paraId="355528BA" w14:textId="77777777" w:rsidTr="00AC559F">
        <w:trPr>
          <w:trHeight w:val="300"/>
        </w:trPr>
        <w:tc>
          <w:tcPr>
            <w:tcW w:w="997" w:type="dxa"/>
            <w:tcBorders>
              <w:top w:val="nil"/>
              <w:left w:val="single" w:sz="4" w:space="0" w:color="auto"/>
              <w:bottom w:val="single" w:sz="4" w:space="0" w:color="auto"/>
              <w:right w:val="single" w:sz="4" w:space="0" w:color="auto"/>
            </w:tcBorders>
            <w:shd w:val="clear" w:color="auto" w:fill="auto"/>
            <w:vAlign w:val="bottom"/>
            <w:hideMark/>
          </w:tcPr>
          <w:p w14:paraId="02E46D05" w14:textId="562FDC19"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xml:space="preserve">Σ </w:t>
            </w:r>
          </w:p>
        </w:tc>
        <w:tc>
          <w:tcPr>
            <w:tcW w:w="1134" w:type="dxa"/>
            <w:tcBorders>
              <w:top w:val="nil"/>
              <w:left w:val="nil"/>
              <w:bottom w:val="single" w:sz="4" w:space="0" w:color="auto"/>
              <w:right w:val="single" w:sz="4" w:space="0" w:color="auto"/>
              <w:tr2bl w:val="single" w:sz="4" w:space="0" w:color="auto"/>
            </w:tcBorders>
            <w:shd w:val="clear" w:color="auto" w:fill="auto"/>
            <w:noWrap/>
            <w:vAlign w:val="bottom"/>
            <w:hideMark/>
          </w:tcPr>
          <w:p w14:paraId="103718CF"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 </w:t>
            </w:r>
          </w:p>
        </w:tc>
        <w:tc>
          <w:tcPr>
            <w:tcW w:w="1616" w:type="dxa"/>
            <w:tcBorders>
              <w:top w:val="nil"/>
              <w:left w:val="nil"/>
              <w:bottom w:val="single" w:sz="4" w:space="0" w:color="auto"/>
              <w:right w:val="single" w:sz="4" w:space="0" w:color="auto"/>
            </w:tcBorders>
            <w:shd w:val="clear" w:color="auto" w:fill="auto"/>
            <w:noWrap/>
            <w:vAlign w:val="bottom"/>
            <w:hideMark/>
          </w:tcPr>
          <w:p w14:paraId="2CBF7553"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18,7172</w:t>
            </w:r>
          </w:p>
        </w:tc>
        <w:tc>
          <w:tcPr>
            <w:tcW w:w="805" w:type="dxa"/>
            <w:tcBorders>
              <w:top w:val="nil"/>
              <w:left w:val="nil"/>
              <w:bottom w:val="single" w:sz="4" w:space="0" w:color="auto"/>
              <w:right w:val="single" w:sz="4" w:space="0" w:color="auto"/>
            </w:tcBorders>
            <w:shd w:val="clear" w:color="auto" w:fill="auto"/>
            <w:noWrap/>
            <w:vAlign w:val="bottom"/>
            <w:hideMark/>
          </w:tcPr>
          <w:p w14:paraId="4804BD81"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16,275</w:t>
            </w:r>
          </w:p>
        </w:tc>
        <w:tc>
          <w:tcPr>
            <w:tcW w:w="805" w:type="dxa"/>
            <w:tcBorders>
              <w:top w:val="nil"/>
              <w:left w:val="nil"/>
              <w:bottom w:val="single" w:sz="4" w:space="0" w:color="auto"/>
              <w:right w:val="single" w:sz="4" w:space="0" w:color="auto"/>
            </w:tcBorders>
            <w:shd w:val="clear" w:color="auto" w:fill="auto"/>
            <w:noWrap/>
            <w:vAlign w:val="bottom"/>
            <w:hideMark/>
          </w:tcPr>
          <w:p w14:paraId="78E6DB39"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1,7262</w:t>
            </w:r>
          </w:p>
        </w:tc>
        <w:tc>
          <w:tcPr>
            <w:tcW w:w="805" w:type="dxa"/>
            <w:tcBorders>
              <w:top w:val="nil"/>
              <w:left w:val="nil"/>
              <w:bottom w:val="single" w:sz="4" w:space="0" w:color="auto"/>
              <w:right w:val="single" w:sz="4" w:space="0" w:color="auto"/>
            </w:tcBorders>
            <w:shd w:val="clear" w:color="auto" w:fill="auto"/>
            <w:noWrap/>
            <w:vAlign w:val="bottom"/>
            <w:hideMark/>
          </w:tcPr>
          <w:p w14:paraId="4B74FFFC"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0,4975</w:t>
            </w:r>
          </w:p>
        </w:tc>
        <w:tc>
          <w:tcPr>
            <w:tcW w:w="805" w:type="dxa"/>
            <w:tcBorders>
              <w:top w:val="nil"/>
              <w:left w:val="nil"/>
              <w:bottom w:val="single" w:sz="4" w:space="0" w:color="auto"/>
              <w:right w:val="single" w:sz="4" w:space="0" w:color="auto"/>
            </w:tcBorders>
            <w:shd w:val="clear" w:color="auto" w:fill="auto"/>
            <w:noWrap/>
            <w:vAlign w:val="bottom"/>
            <w:hideMark/>
          </w:tcPr>
          <w:p w14:paraId="628D3E23"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0,0255</w:t>
            </w:r>
          </w:p>
        </w:tc>
        <w:tc>
          <w:tcPr>
            <w:tcW w:w="805" w:type="dxa"/>
            <w:tcBorders>
              <w:top w:val="nil"/>
              <w:left w:val="nil"/>
              <w:bottom w:val="single" w:sz="4" w:space="0" w:color="auto"/>
              <w:right w:val="single" w:sz="4" w:space="0" w:color="auto"/>
            </w:tcBorders>
            <w:shd w:val="clear" w:color="auto" w:fill="auto"/>
            <w:noWrap/>
            <w:vAlign w:val="bottom"/>
            <w:hideMark/>
          </w:tcPr>
          <w:p w14:paraId="5F95AB84"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0,1926</w:t>
            </w:r>
          </w:p>
        </w:tc>
        <w:tc>
          <w:tcPr>
            <w:tcW w:w="1873" w:type="dxa"/>
            <w:tcBorders>
              <w:top w:val="nil"/>
              <w:left w:val="nil"/>
              <w:bottom w:val="single" w:sz="4" w:space="0" w:color="auto"/>
              <w:right w:val="single" w:sz="4" w:space="0" w:color="auto"/>
            </w:tcBorders>
            <w:shd w:val="clear" w:color="auto" w:fill="auto"/>
            <w:noWrap/>
            <w:vAlign w:val="bottom"/>
            <w:hideMark/>
          </w:tcPr>
          <w:p w14:paraId="0BE1C8E3" w14:textId="77777777" w:rsidR="00AC559F" w:rsidRPr="006B3F59" w:rsidRDefault="00AC559F" w:rsidP="009B4A0C">
            <w:pPr>
              <w:jc w:val="center"/>
              <w:rPr>
                <w:rFonts w:eastAsia="Times New Roman" w:cs="Arial"/>
                <w:color w:val="000000"/>
                <w:szCs w:val="20"/>
                <w:lang w:eastAsia="cs-CZ"/>
              </w:rPr>
            </w:pPr>
            <w:r w:rsidRPr="006B3F59">
              <w:rPr>
                <w:rFonts w:eastAsia="Times New Roman" w:cs="Arial"/>
                <w:color w:val="000000"/>
                <w:szCs w:val="20"/>
                <w:lang w:eastAsia="cs-CZ"/>
              </w:rPr>
              <w:t>9,6077</w:t>
            </w:r>
          </w:p>
        </w:tc>
      </w:tr>
    </w:tbl>
    <w:p w14:paraId="4006BEFF" w14:textId="08E319FA" w:rsidR="003F0E5A" w:rsidRPr="006B3F59" w:rsidRDefault="003F0E5A" w:rsidP="00A67277">
      <w:pPr>
        <w:pStyle w:val="Nadpis3"/>
      </w:pPr>
      <w:bookmarkStart w:id="98" w:name="_Toc29298329"/>
      <w:bookmarkStart w:id="99" w:name="_Toc138848108"/>
      <w:bookmarkEnd w:id="96"/>
      <w:r w:rsidRPr="006B3F59">
        <w:t>Horninové prostředí</w:t>
      </w:r>
      <w:bookmarkEnd w:id="98"/>
      <w:bookmarkEnd w:id="99"/>
    </w:p>
    <w:p w14:paraId="1D05766C" w14:textId="77777777" w:rsidR="00305C36" w:rsidRPr="006B3F59" w:rsidRDefault="00AC5717" w:rsidP="00287E37">
      <w:bookmarkStart w:id="100" w:name="_Toc531606245"/>
      <w:bookmarkEnd w:id="86"/>
      <w:r w:rsidRPr="006B3F59">
        <w:t>Z regionálně geologického hlediska náleží zájmové území východní části Barrandienu</w:t>
      </w:r>
      <w:r w:rsidR="00305C36" w:rsidRPr="006B3F59">
        <w:t xml:space="preserve">, v zájmovém území jsou zastoupeny horniny předplatformního i platformního vývoje českého masívu. Horniny předplatformního vývoje jsou řazeny k jednotce barrandienského svrchního proterozoika, horniny platformního vývoje spadají do období kvartéru. </w:t>
      </w:r>
    </w:p>
    <w:p w14:paraId="0EFB420A" w14:textId="77777777" w:rsidR="00305C36" w:rsidRPr="006B3F59" w:rsidRDefault="00305C36" w:rsidP="00287E37">
      <w:r w:rsidRPr="006B3F59">
        <w:t xml:space="preserve">Barrandienské svrchní proterozoikum </w:t>
      </w:r>
    </w:p>
    <w:p w14:paraId="76C381F7" w14:textId="6E1DC819" w:rsidR="00305C36" w:rsidRPr="006B3F59" w:rsidRDefault="00305C36" w:rsidP="00287E37">
      <w:r w:rsidRPr="006B3F59">
        <w:t xml:space="preserve">Podložní komplex hornin barrandienského svrchního proterozoika je řazen do </w:t>
      </w:r>
      <w:proofErr w:type="spellStart"/>
      <w:r w:rsidR="007F0572" w:rsidRPr="006B3F59">
        <w:t>kralupsko</w:t>
      </w:r>
      <w:proofErr w:type="spellEnd"/>
      <w:r w:rsidR="007F0572" w:rsidRPr="006B3F59">
        <w:t xml:space="preserve"> – zbraslavské</w:t>
      </w:r>
      <w:r w:rsidRPr="006B3F59">
        <w:t xml:space="preserve"> skupiny a je tvořen převážně </w:t>
      </w:r>
      <w:proofErr w:type="spellStart"/>
      <w:r w:rsidRPr="006B3F59">
        <w:t>monotonním</w:t>
      </w:r>
      <w:proofErr w:type="spellEnd"/>
      <w:r w:rsidRPr="006B3F59">
        <w:t xml:space="preserve"> sledem střídání drob, prachovců a jílových břidlic, přičemž droby převažují. V tomto komplexu se místy vyskytují polohy buližníků. V čerstvém, nezvětralém stavu jsou droby černé masivní horniny, většinou jemnozrnné, místy středně až hrubozrnné, ojediněle na hranici s jemnozrnným slepencem. Klastické součástky představuje hlavně křemen, albit, dále polyminerální úlomky hornin a místy nepodstatné množství draselného živce, biotitu, klinopyroxenu, ortopyroxenu nebo granátu. Úlomky hornin často nelze bezpečně odlišit od základní hmoty drob. Prachovce a jílové břidlice tvoří v drobách vložky, místy pravidelné, s laminací, víceméně rovnoběžné s vrstevnatostí, ale většinou bývají vložky nepravidelné, chaotické. Ojediněle převažují prachovce a jílové břidlice nad drobami. </w:t>
      </w:r>
      <w:r w:rsidR="00287E37" w:rsidRPr="006B3F59">
        <w:t>Místy vystupují žíly alterovaného žilného bazaltu a porfyritů.</w:t>
      </w:r>
      <w:r w:rsidRPr="006B3F59">
        <w:t xml:space="preserve"> </w:t>
      </w:r>
      <w:r w:rsidR="004F37D2" w:rsidRPr="006B3F59">
        <w:t xml:space="preserve">Střídání drob a břidlic kralupsko-zbraslavské skupiny (svrchní proterozoikum) s žílami alterovaného žilného bazaltu. </w:t>
      </w:r>
    </w:p>
    <w:p w14:paraId="3AB3C35E" w14:textId="6670B403" w:rsidR="00305C36" w:rsidRPr="006B3F59" w:rsidRDefault="00305C36" w:rsidP="00287E37">
      <w:r w:rsidRPr="006B3F59">
        <w:t>Kvartér (pleistocén)</w:t>
      </w:r>
    </w:p>
    <w:p w14:paraId="3F0078BD" w14:textId="77777777" w:rsidR="00F71B91" w:rsidRPr="006B3F59" w:rsidRDefault="00F71B91" w:rsidP="00F71B91">
      <w:r w:rsidRPr="006B3F59">
        <w:t xml:space="preserve">Kvartérní pokryv je mimo spraší tvořen fluviálními sedimenty a navážkami. Fluviální sedimenty zasahují do hloubky až 10 m. Svrchní vrstvu tvoří písčité hlíny (písčité jíly, písčité hlíny a hlinité písky), v podloží se nacházejí hlinitopísčité štěrky. Jedná se o terasové uloženiny údolní maninské terasy. </w:t>
      </w:r>
    </w:p>
    <w:p w14:paraId="573A9F7C" w14:textId="11A905DC" w:rsidR="004F37D2" w:rsidRPr="006B3F59" w:rsidRDefault="004F37D2" w:rsidP="00287E37">
      <w:r w:rsidRPr="006B3F59">
        <w:t xml:space="preserve">Z kvartérních sedimentů se uplatňují </w:t>
      </w:r>
      <w:r w:rsidR="007F0572" w:rsidRPr="006B3F59">
        <w:t>pleistocenní</w:t>
      </w:r>
      <w:r w:rsidRPr="006B3F59">
        <w:t xml:space="preserve"> štěrkové terasy Vltavy (horní část lysolajského svahu) a spraše (vltavský svah). Směrem k severu se spraše uplatňují čím dále více, přičemž jejich nejvýraznější výskyt ve formě terénních reliktů (vytvořených z jedné strany těžbou a z druhé strany přirozenou erozí).</w:t>
      </w:r>
    </w:p>
    <w:p w14:paraId="06149B6C" w14:textId="7056DB29" w:rsidR="00305C36" w:rsidRPr="006B3F59" w:rsidRDefault="00305C36" w:rsidP="00287E37">
      <w:r w:rsidRPr="006B3F59">
        <w:t xml:space="preserve">Na horniny barrandienského svrchního proterozoika nasedají v zájmovém území fluviální písčité štěrky a písky teras Vltavy a jejích přítoků, příp. přemístěné terasové sedimenty (stáří pleistocén, mladý </w:t>
      </w:r>
      <w:proofErr w:type="spellStart"/>
      <w:r w:rsidRPr="006B3F59">
        <w:t>donau</w:t>
      </w:r>
      <w:proofErr w:type="spellEnd"/>
      <w:r w:rsidRPr="006B3F59">
        <w:t xml:space="preserve">). Tyto sedimenty jsou vesměs středně zrnité až hrubozrnné písky se štěrčíky až štěrky s polohami písčitých štěrků, místy, zejména při bázi, s hrubými valouny až balvany (do </w:t>
      </w:r>
      <w:r w:rsidR="007F0572" w:rsidRPr="006B3F59">
        <w:t>30–50</w:t>
      </w:r>
      <w:r w:rsidRPr="006B3F59">
        <w:t xml:space="preserve"> cm). Ve svrchních polohách akumulace jsou často čočky písčitého jílu. V petrografickém složení jsou kromě hornin z blízkého okolí zastoupeny také slepence krušnohorských vrstev a </w:t>
      </w:r>
      <w:proofErr w:type="spellStart"/>
      <w:r w:rsidRPr="006B3F59">
        <w:t>drabovské</w:t>
      </w:r>
      <w:proofErr w:type="spellEnd"/>
      <w:r w:rsidRPr="006B3F59">
        <w:t xml:space="preserve"> křemence z povodí Berounky, amfibolity, porfyroidy a diabasy jílovského pásma, různé žilné horniny středočeského plutonu, ale i horniny z Kouřimska, českobrodského permu, z </w:t>
      </w:r>
      <w:proofErr w:type="spellStart"/>
      <w:r w:rsidRPr="006B3F59">
        <w:t>Říčanska</w:t>
      </w:r>
      <w:proofErr w:type="spellEnd"/>
      <w:r w:rsidRPr="006B3F59">
        <w:t xml:space="preserve"> aj. V zájmovém území se předpokládá báze v terasových sedimentech v hloubce </w:t>
      </w:r>
      <w:r w:rsidR="007F0572" w:rsidRPr="006B3F59">
        <w:t>4–10</w:t>
      </w:r>
      <w:r w:rsidRPr="006B3F59">
        <w:t xml:space="preserve"> m pod povrchem terénu, při </w:t>
      </w:r>
      <w:proofErr w:type="spellStart"/>
      <w:r w:rsidRPr="006B3F59">
        <w:t>sz</w:t>
      </w:r>
      <w:proofErr w:type="spellEnd"/>
      <w:r w:rsidRPr="006B3F59">
        <w:t xml:space="preserve">. okraji zájmového území může báze terasových sedimentů dosáhnout hloubky i). Terasové sedimenty, jejichž povrchová modelace je výsledkem denudace, jsou překryty eolickými </w:t>
      </w:r>
      <w:r w:rsidR="007F0572" w:rsidRPr="006B3F59">
        <w:t>sedimenty – vápnitými</w:t>
      </w:r>
      <w:r w:rsidRPr="006B3F59">
        <w:t xml:space="preserve"> sprašemi a sprašovými hlínami (stáří mladý pleistocén, </w:t>
      </w:r>
      <w:proofErr w:type="spellStart"/>
      <w:r w:rsidRPr="006B3F59">
        <w:t>würm</w:t>
      </w:r>
      <w:proofErr w:type="spellEnd"/>
      <w:r w:rsidRPr="006B3F59">
        <w:t xml:space="preserve">). Průměrná mocnost pokryvu se pohybuje kolem </w:t>
      </w:r>
      <w:r w:rsidR="007F0572" w:rsidRPr="006B3F59">
        <w:t>2–4</w:t>
      </w:r>
      <w:r w:rsidRPr="006B3F59">
        <w:t xml:space="preserve"> m, jen nad nerovnostmi podloží (staré splachové deprese, denudační stupně apod.) </w:t>
      </w:r>
      <w:r w:rsidRPr="006B3F59">
        <w:lastRenderedPageBreak/>
        <w:t xml:space="preserve">dosahují mocnosti až 8 m. Při okrajích akumulací, v blízkosti deflačních plošin, mohou obsahovat tyto eolické sedimenty úlomky hornin, většinou opuky. Stratigraficky řadíme spraše, jak již bylo zmíněno, do mladého pleistocénu, některé spodnější partie oddělené fosilními půdami však mohou být i starší. </w:t>
      </w:r>
    </w:p>
    <w:p w14:paraId="0EFEEC51" w14:textId="44380997" w:rsidR="00F71B91" w:rsidRPr="006B3F59" w:rsidRDefault="00F71B91" w:rsidP="00461B45">
      <w:pPr>
        <w:pStyle w:val="Podnadpis2"/>
      </w:pPr>
      <w:r w:rsidRPr="006B3F59">
        <w:t>Geomorfologické poměry</w:t>
      </w:r>
    </w:p>
    <w:p w14:paraId="010C2D01" w14:textId="65A85099" w:rsidR="00AC5717" w:rsidRPr="006B3F59" w:rsidRDefault="00AC5717" w:rsidP="00AC5717">
      <w:r w:rsidRPr="006B3F59">
        <w:t xml:space="preserve">Z geomorfologického hlediska náleží zájmová oblast do regionu </w:t>
      </w:r>
      <w:r w:rsidR="006C6885" w:rsidRPr="006B3F59">
        <w:t>Hostivická tabule</w:t>
      </w:r>
      <w:r w:rsidRPr="006B3F59">
        <w:t xml:space="preserve">, která je východní součástí Pražské plošiny. Hlavním činitelem, který výrazně ovlivnil geologický profil a morfologii zájmové stavební parcely a jejího širšího okolí, byla erozní a akumulační činnost říčního toku Vltavy. </w:t>
      </w:r>
    </w:p>
    <w:p w14:paraId="2E08B9F9" w14:textId="592F9ACD" w:rsidR="006C6885" w:rsidRPr="006B3F59" w:rsidRDefault="00287E37" w:rsidP="00AC5717">
      <w:r w:rsidRPr="006B3F59">
        <w:t>Území se nachází v severní části Pražské plošiny v nadmořské výšce mezi 176 až 2</w:t>
      </w:r>
      <w:r w:rsidR="00305C36" w:rsidRPr="006B3F59">
        <w:t>8</w:t>
      </w:r>
      <w:r w:rsidRPr="006B3F59">
        <w:t>0 m n. m. Vzhledem k charakteru podloží, které je tvořeno tvrdými proterozoickými břidlicemi, se zde erozní činností Vltavy vytvořilo hluboké údolí, lemované prudkými skalnatými srázy rozčleněnými řadou bočních roklí. Převažují pestré mozaiky rankerových půd od iniciálních stadií po rankery kambické. Na mírnějších svazích se vyvinuly různě úživné kambizemě. Při horních hranách svahů se na sprašových návějích nacházejí menší rozlohy černozemí</w:t>
      </w:r>
    </w:p>
    <w:p w14:paraId="31FB3F70" w14:textId="40A47F3E" w:rsidR="007F5D06" w:rsidRPr="006B3F59" w:rsidRDefault="007F5D06" w:rsidP="007F5D06">
      <w:pPr>
        <w:pStyle w:val="Podnadpis2"/>
      </w:pPr>
      <w:r w:rsidRPr="006B3F59">
        <w:t>Nerostné suroviny a georizika</w:t>
      </w:r>
    </w:p>
    <w:p w14:paraId="3B0DE37A" w14:textId="1EDC9BC9" w:rsidR="00461B45" w:rsidRPr="006B3F59" w:rsidRDefault="00AC5717" w:rsidP="004258F1">
      <w:r w:rsidRPr="006B3F59">
        <w:t xml:space="preserve">Podle údajů České geologické služby – Geofond se v zájmovém území nenacházejí výhradní ložiska nerostných surovin, dobývací prostory (těžené, netěžené), chráněná ložisková území ani ložiska prognózní. </w:t>
      </w:r>
    </w:p>
    <w:p w14:paraId="14538D3E" w14:textId="71761D7C" w:rsidR="00461B45" w:rsidRPr="006B3F59" w:rsidRDefault="00461B45" w:rsidP="004258F1">
      <w:r w:rsidRPr="006B3F59">
        <w:t>V území je evidováno nevýhradní v minulosti těžené ložisko sprašové hlíny, rozdělené do dvou lokalit zasahujících do řešeného území Nového Sedlce:</w:t>
      </w:r>
    </w:p>
    <w:p w14:paraId="0ECE11DD" w14:textId="5BB9650B" w:rsidR="00461B45" w:rsidRDefault="00D71275" w:rsidP="004258F1">
      <w:r w:rsidRPr="006B3F59">
        <w:rPr>
          <w:noProof/>
        </w:rPr>
        <w:drawing>
          <wp:inline distT="0" distB="0" distL="0" distR="0" wp14:anchorId="72664EF4" wp14:editId="21BA79BF">
            <wp:extent cx="6120130" cy="3933190"/>
            <wp:effectExtent l="0" t="0" r="0" b="0"/>
            <wp:docPr id="163554537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545378" name=""/>
                    <pic:cNvPicPr/>
                  </pic:nvPicPr>
                  <pic:blipFill>
                    <a:blip r:embed="rId66"/>
                    <a:stretch>
                      <a:fillRect/>
                    </a:stretch>
                  </pic:blipFill>
                  <pic:spPr>
                    <a:xfrm>
                      <a:off x="0" y="0"/>
                      <a:ext cx="6120130" cy="3933190"/>
                    </a:xfrm>
                    <a:prstGeom prst="rect">
                      <a:avLst/>
                    </a:prstGeom>
                  </pic:spPr>
                </pic:pic>
              </a:graphicData>
            </a:graphic>
          </wp:inline>
        </w:drawing>
      </w:r>
    </w:p>
    <w:tbl>
      <w:tblPr>
        <w:tblW w:w="6880" w:type="dxa"/>
        <w:tblInd w:w="75" w:type="dxa"/>
        <w:tblCellMar>
          <w:left w:w="70" w:type="dxa"/>
          <w:right w:w="70" w:type="dxa"/>
        </w:tblCellMar>
        <w:tblLook w:val="04A0" w:firstRow="1" w:lastRow="0" w:firstColumn="1" w:lastColumn="0" w:noHBand="0" w:noVBand="1"/>
      </w:tblPr>
      <w:tblGrid>
        <w:gridCol w:w="2800"/>
        <w:gridCol w:w="4080"/>
      </w:tblGrid>
      <w:tr w:rsidR="00B8334C" w:rsidRPr="00B8334C" w14:paraId="2FD8E969" w14:textId="77777777" w:rsidTr="00B8334C">
        <w:trPr>
          <w:trHeight w:val="250"/>
        </w:trPr>
        <w:tc>
          <w:tcPr>
            <w:tcW w:w="280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FB920FB" w14:textId="77777777" w:rsidR="00B8334C" w:rsidRPr="00B8334C" w:rsidRDefault="00B8334C" w:rsidP="00B8334C">
            <w:pPr>
              <w:spacing w:before="0"/>
              <w:ind w:firstLineChars="100" w:firstLine="200"/>
              <w:jc w:val="left"/>
              <w:rPr>
                <w:rFonts w:eastAsia="Times New Roman" w:cs="Arial"/>
                <w:color w:val="000000"/>
                <w:szCs w:val="20"/>
                <w:lang w:eastAsia="cs-CZ"/>
              </w:rPr>
            </w:pPr>
            <w:r w:rsidRPr="00B8334C">
              <w:rPr>
                <w:rFonts w:eastAsia="Times New Roman" w:cs="Arial"/>
                <w:color w:val="000000"/>
                <w:szCs w:val="20"/>
                <w:lang w:eastAsia="cs-CZ"/>
              </w:rPr>
              <w:t>Identifikační číslo</w:t>
            </w:r>
          </w:p>
        </w:tc>
        <w:tc>
          <w:tcPr>
            <w:tcW w:w="4080" w:type="dxa"/>
            <w:tcBorders>
              <w:top w:val="single" w:sz="4" w:space="0" w:color="auto"/>
              <w:left w:val="nil"/>
              <w:bottom w:val="single" w:sz="4" w:space="0" w:color="auto"/>
              <w:right w:val="single" w:sz="4" w:space="0" w:color="auto"/>
            </w:tcBorders>
            <w:shd w:val="clear" w:color="000000" w:fill="FFFFFF"/>
            <w:vAlign w:val="center"/>
            <w:hideMark/>
          </w:tcPr>
          <w:p w14:paraId="5C331C7E" w14:textId="77777777" w:rsidR="00B8334C" w:rsidRPr="00B8334C" w:rsidRDefault="00B8334C" w:rsidP="00B8334C">
            <w:pPr>
              <w:spacing w:before="0"/>
              <w:ind w:firstLineChars="100" w:firstLine="200"/>
              <w:jc w:val="left"/>
              <w:rPr>
                <w:rFonts w:eastAsia="Times New Roman" w:cs="Arial"/>
                <w:color w:val="000000"/>
                <w:szCs w:val="20"/>
                <w:lang w:eastAsia="cs-CZ"/>
              </w:rPr>
            </w:pPr>
            <w:r w:rsidRPr="00B8334C">
              <w:rPr>
                <w:rFonts w:eastAsia="Times New Roman" w:cs="Arial"/>
                <w:color w:val="000000"/>
                <w:szCs w:val="20"/>
                <w:lang w:eastAsia="cs-CZ"/>
              </w:rPr>
              <w:t>3106401</w:t>
            </w:r>
          </w:p>
        </w:tc>
      </w:tr>
      <w:tr w:rsidR="00B8334C" w:rsidRPr="00B8334C" w14:paraId="4BEAEE88" w14:textId="77777777" w:rsidTr="00B8334C">
        <w:trPr>
          <w:trHeight w:val="250"/>
        </w:trPr>
        <w:tc>
          <w:tcPr>
            <w:tcW w:w="2800" w:type="dxa"/>
            <w:tcBorders>
              <w:top w:val="nil"/>
              <w:left w:val="single" w:sz="4" w:space="0" w:color="auto"/>
              <w:bottom w:val="single" w:sz="4" w:space="0" w:color="auto"/>
              <w:right w:val="single" w:sz="4" w:space="0" w:color="auto"/>
            </w:tcBorders>
            <w:shd w:val="clear" w:color="000000" w:fill="FFFFFF"/>
            <w:vAlign w:val="center"/>
            <w:hideMark/>
          </w:tcPr>
          <w:p w14:paraId="2F7F409B" w14:textId="77777777" w:rsidR="00B8334C" w:rsidRPr="00B8334C" w:rsidRDefault="00B8334C" w:rsidP="00B8334C">
            <w:pPr>
              <w:spacing w:before="0"/>
              <w:ind w:firstLineChars="100" w:firstLine="200"/>
              <w:jc w:val="left"/>
              <w:rPr>
                <w:rFonts w:eastAsia="Times New Roman" w:cs="Arial"/>
                <w:color w:val="000000"/>
                <w:szCs w:val="20"/>
                <w:lang w:eastAsia="cs-CZ"/>
              </w:rPr>
            </w:pPr>
            <w:r w:rsidRPr="00B8334C">
              <w:rPr>
                <w:rFonts w:eastAsia="Times New Roman" w:cs="Arial"/>
                <w:color w:val="000000"/>
                <w:szCs w:val="20"/>
                <w:lang w:eastAsia="cs-CZ"/>
              </w:rPr>
              <w:t>Název</w:t>
            </w:r>
          </w:p>
        </w:tc>
        <w:tc>
          <w:tcPr>
            <w:tcW w:w="4080" w:type="dxa"/>
            <w:tcBorders>
              <w:top w:val="nil"/>
              <w:left w:val="nil"/>
              <w:bottom w:val="single" w:sz="4" w:space="0" w:color="auto"/>
              <w:right w:val="single" w:sz="4" w:space="0" w:color="auto"/>
            </w:tcBorders>
            <w:shd w:val="clear" w:color="000000" w:fill="FFFFFF"/>
            <w:vAlign w:val="center"/>
            <w:hideMark/>
          </w:tcPr>
          <w:p w14:paraId="3FDE3D85" w14:textId="77777777" w:rsidR="00B8334C" w:rsidRPr="00B8334C" w:rsidRDefault="00B8334C" w:rsidP="00B8334C">
            <w:pPr>
              <w:spacing w:before="0"/>
              <w:ind w:firstLineChars="100" w:firstLine="200"/>
              <w:jc w:val="left"/>
              <w:rPr>
                <w:rFonts w:eastAsia="Times New Roman" w:cs="Arial"/>
                <w:color w:val="000000"/>
                <w:szCs w:val="20"/>
                <w:lang w:eastAsia="cs-CZ"/>
              </w:rPr>
            </w:pPr>
            <w:r w:rsidRPr="00B8334C">
              <w:rPr>
                <w:rFonts w:eastAsia="Times New Roman" w:cs="Arial"/>
                <w:color w:val="000000"/>
                <w:szCs w:val="20"/>
                <w:lang w:eastAsia="cs-CZ"/>
              </w:rPr>
              <w:t>Sedlec-Únětice</w:t>
            </w:r>
          </w:p>
        </w:tc>
      </w:tr>
      <w:tr w:rsidR="00B8334C" w:rsidRPr="00B8334C" w14:paraId="0EB43A4A" w14:textId="77777777" w:rsidTr="00B8334C">
        <w:trPr>
          <w:trHeight w:val="250"/>
        </w:trPr>
        <w:tc>
          <w:tcPr>
            <w:tcW w:w="2800" w:type="dxa"/>
            <w:tcBorders>
              <w:top w:val="nil"/>
              <w:left w:val="single" w:sz="4" w:space="0" w:color="auto"/>
              <w:bottom w:val="single" w:sz="4" w:space="0" w:color="auto"/>
              <w:right w:val="single" w:sz="4" w:space="0" w:color="auto"/>
            </w:tcBorders>
            <w:shd w:val="clear" w:color="000000" w:fill="FFFFFF"/>
            <w:vAlign w:val="center"/>
            <w:hideMark/>
          </w:tcPr>
          <w:p w14:paraId="0ECDC1BC" w14:textId="77777777" w:rsidR="00B8334C" w:rsidRPr="00B8334C" w:rsidRDefault="00B8334C" w:rsidP="00B8334C">
            <w:pPr>
              <w:spacing w:before="0"/>
              <w:ind w:firstLineChars="100" w:firstLine="200"/>
              <w:jc w:val="left"/>
              <w:rPr>
                <w:rFonts w:eastAsia="Times New Roman" w:cs="Arial"/>
                <w:color w:val="000000"/>
                <w:szCs w:val="20"/>
                <w:lang w:eastAsia="cs-CZ"/>
              </w:rPr>
            </w:pPr>
            <w:r w:rsidRPr="00B8334C">
              <w:rPr>
                <w:rFonts w:eastAsia="Times New Roman" w:cs="Arial"/>
                <w:color w:val="000000"/>
                <w:szCs w:val="20"/>
                <w:lang w:eastAsia="cs-CZ"/>
              </w:rPr>
              <w:t>Surovina</w:t>
            </w:r>
          </w:p>
        </w:tc>
        <w:tc>
          <w:tcPr>
            <w:tcW w:w="4080" w:type="dxa"/>
            <w:tcBorders>
              <w:top w:val="nil"/>
              <w:left w:val="nil"/>
              <w:bottom w:val="single" w:sz="4" w:space="0" w:color="auto"/>
              <w:right w:val="single" w:sz="4" w:space="0" w:color="auto"/>
            </w:tcBorders>
            <w:shd w:val="clear" w:color="000000" w:fill="FFFFFF"/>
            <w:vAlign w:val="center"/>
            <w:hideMark/>
          </w:tcPr>
          <w:p w14:paraId="068DF31C" w14:textId="77777777" w:rsidR="00B8334C" w:rsidRPr="00B8334C" w:rsidRDefault="00B8334C" w:rsidP="00B8334C">
            <w:pPr>
              <w:spacing w:before="0"/>
              <w:ind w:firstLineChars="100" w:firstLine="200"/>
              <w:jc w:val="left"/>
              <w:rPr>
                <w:rFonts w:eastAsia="Times New Roman" w:cs="Arial"/>
                <w:color w:val="000000"/>
                <w:szCs w:val="20"/>
                <w:lang w:eastAsia="cs-CZ"/>
              </w:rPr>
            </w:pPr>
            <w:r w:rsidRPr="00B8334C">
              <w:rPr>
                <w:rFonts w:eastAsia="Times New Roman" w:cs="Arial"/>
                <w:color w:val="000000"/>
                <w:szCs w:val="20"/>
                <w:lang w:eastAsia="cs-CZ"/>
              </w:rPr>
              <w:t>Cihlářská surovina cihlářská surovina</w:t>
            </w:r>
          </w:p>
        </w:tc>
      </w:tr>
      <w:tr w:rsidR="00B8334C" w:rsidRPr="00B8334C" w14:paraId="4FA6CFBF" w14:textId="77777777" w:rsidTr="00B8334C">
        <w:trPr>
          <w:trHeight w:val="500"/>
        </w:trPr>
        <w:tc>
          <w:tcPr>
            <w:tcW w:w="2800" w:type="dxa"/>
            <w:tcBorders>
              <w:top w:val="nil"/>
              <w:left w:val="single" w:sz="4" w:space="0" w:color="auto"/>
              <w:bottom w:val="single" w:sz="4" w:space="0" w:color="auto"/>
              <w:right w:val="single" w:sz="4" w:space="0" w:color="auto"/>
            </w:tcBorders>
            <w:shd w:val="clear" w:color="000000" w:fill="FFFFFF"/>
            <w:vAlign w:val="center"/>
            <w:hideMark/>
          </w:tcPr>
          <w:p w14:paraId="332CD671" w14:textId="77777777" w:rsidR="00B8334C" w:rsidRPr="00B8334C" w:rsidRDefault="00B8334C" w:rsidP="00B8334C">
            <w:pPr>
              <w:spacing w:before="0"/>
              <w:ind w:firstLineChars="100" w:firstLine="200"/>
              <w:jc w:val="left"/>
              <w:rPr>
                <w:rFonts w:eastAsia="Times New Roman" w:cs="Arial"/>
                <w:color w:val="000000"/>
                <w:szCs w:val="20"/>
                <w:lang w:eastAsia="cs-CZ"/>
              </w:rPr>
            </w:pPr>
            <w:r w:rsidRPr="00B8334C">
              <w:rPr>
                <w:rFonts w:eastAsia="Times New Roman" w:cs="Arial"/>
                <w:color w:val="000000"/>
                <w:szCs w:val="20"/>
                <w:lang w:eastAsia="cs-CZ"/>
              </w:rPr>
              <w:t>Charakteristika suroviny</w:t>
            </w:r>
          </w:p>
        </w:tc>
        <w:tc>
          <w:tcPr>
            <w:tcW w:w="4080" w:type="dxa"/>
            <w:tcBorders>
              <w:top w:val="nil"/>
              <w:left w:val="nil"/>
              <w:bottom w:val="single" w:sz="4" w:space="0" w:color="auto"/>
              <w:right w:val="single" w:sz="4" w:space="0" w:color="auto"/>
            </w:tcBorders>
            <w:shd w:val="clear" w:color="000000" w:fill="FFFFFF"/>
            <w:vAlign w:val="center"/>
            <w:hideMark/>
          </w:tcPr>
          <w:p w14:paraId="5A2B714F" w14:textId="77777777" w:rsidR="00B8334C" w:rsidRPr="00B8334C" w:rsidRDefault="00B8334C" w:rsidP="00B8334C">
            <w:pPr>
              <w:spacing w:before="0"/>
              <w:ind w:firstLineChars="100" w:firstLine="200"/>
              <w:jc w:val="left"/>
              <w:rPr>
                <w:rFonts w:eastAsia="Times New Roman" w:cs="Arial"/>
                <w:color w:val="000000"/>
                <w:szCs w:val="20"/>
                <w:lang w:eastAsia="cs-CZ"/>
              </w:rPr>
            </w:pPr>
            <w:r w:rsidRPr="00B8334C">
              <w:rPr>
                <w:rFonts w:eastAsia="Times New Roman" w:cs="Arial"/>
                <w:color w:val="000000"/>
                <w:szCs w:val="20"/>
                <w:lang w:eastAsia="cs-CZ"/>
              </w:rPr>
              <w:t>klastika (škodlivina) - karbonát (škodlivina) - hlína – sprašová hlína</w:t>
            </w:r>
          </w:p>
        </w:tc>
      </w:tr>
      <w:tr w:rsidR="00B8334C" w:rsidRPr="00B8334C" w14:paraId="7AB0E090" w14:textId="77777777" w:rsidTr="00B8334C">
        <w:trPr>
          <w:trHeight w:val="250"/>
        </w:trPr>
        <w:tc>
          <w:tcPr>
            <w:tcW w:w="2800" w:type="dxa"/>
            <w:tcBorders>
              <w:top w:val="nil"/>
              <w:left w:val="single" w:sz="4" w:space="0" w:color="auto"/>
              <w:bottom w:val="single" w:sz="4" w:space="0" w:color="auto"/>
              <w:right w:val="single" w:sz="4" w:space="0" w:color="auto"/>
            </w:tcBorders>
            <w:shd w:val="clear" w:color="000000" w:fill="FFFFFF"/>
            <w:vAlign w:val="center"/>
            <w:hideMark/>
          </w:tcPr>
          <w:p w14:paraId="4D7CA961" w14:textId="77777777" w:rsidR="00B8334C" w:rsidRPr="00B8334C" w:rsidRDefault="00B8334C" w:rsidP="00B8334C">
            <w:pPr>
              <w:spacing w:before="0"/>
              <w:ind w:firstLineChars="100" w:firstLine="200"/>
              <w:jc w:val="left"/>
              <w:rPr>
                <w:rFonts w:eastAsia="Times New Roman" w:cs="Arial"/>
                <w:color w:val="000000"/>
                <w:szCs w:val="20"/>
                <w:lang w:eastAsia="cs-CZ"/>
              </w:rPr>
            </w:pPr>
            <w:r w:rsidRPr="00B8334C">
              <w:rPr>
                <w:rFonts w:eastAsia="Times New Roman" w:cs="Arial"/>
                <w:color w:val="000000"/>
                <w:szCs w:val="20"/>
                <w:lang w:eastAsia="cs-CZ"/>
              </w:rPr>
              <w:t xml:space="preserve">Číslo </w:t>
            </w:r>
            <w:proofErr w:type="spellStart"/>
            <w:r w:rsidRPr="00B8334C">
              <w:rPr>
                <w:rFonts w:eastAsia="Times New Roman" w:cs="Arial"/>
                <w:color w:val="000000"/>
                <w:szCs w:val="20"/>
                <w:lang w:eastAsia="cs-CZ"/>
              </w:rPr>
              <w:t>SurIS</w:t>
            </w:r>
            <w:proofErr w:type="spellEnd"/>
          </w:p>
        </w:tc>
        <w:tc>
          <w:tcPr>
            <w:tcW w:w="4080" w:type="dxa"/>
            <w:tcBorders>
              <w:top w:val="nil"/>
              <w:left w:val="nil"/>
              <w:bottom w:val="single" w:sz="4" w:space="0" w:color="auto"/>
              <w:right w:val="single" w:sz="4" w:space="0" w:color="auto"/>
            </w:tcBorders>
            <w:shd w:val="clear" w:color="000000" w:fill="FFFFFF"/>
            <w:vAlign w:val="center"/>
            <w:hideMark/>
          </w:tcPr>
          <w:p w14:paraId="427AC3A8" w14:textId="77777777" w:rsidR="00B8334C" w:rsidRPr="00B8334C" w:rsidRDefault="00B8334C" w:rsidP="00B8334C">
            <w:pPr>
              <w:spacing w:before="0"/>
              <w:ind w:firstLineChars="100" w:firstLine="200"/>
              <w:jc w:val="left"/>
              <w:rPr>
                <w:rFonts w:eastAsia="Times New Roman" w:cs="Arial"/>
                <w:color w:val="000000"/>
                <w:szCs w:val="20"/>
                <w:lang w:eastAsia="cs-CZ"/>
              </w:rPr>
            </w:pPr>
            <w:r w:rsidRPr="00B8334C">
              <w:rPr>
                <w:rFonts w:eastAsia="Times New Roman" w:cs="Arial"/>
                <w:color w:val="000000"/>
                <w:szCs w:val="20"/>
                <w:lang w:eastAsia="cs-CZ"/>
              </w:rPr>
              <w:t>310640106</w:t>
            </w:r>
          </w:p>
        </w:tc>
      </w:tr>
      <w:tr w:rsidR="00B8334C" w:rsidRPr="00B8334C" w14:paraId="3285D013" w14:textId="77777777" w:rsidTr="00B8334C">
        <w:trPr>
          <w:trHeight w:val="250"/>
        </w:trPr>
        <w:tc>
          <w:tcPr>
            <w:tcW w:w="2800" w:type="dxa"/>
            <w:tcBorders>
              <w:top w:val="nil"/>
              <w:left w:val="single" w:sz="4" w:space="0" w:color="auto"/>
              <w:bottom w:val="single" w:sz="4" w:space="0" w:color="auto"/>
              <w:right w:val="single" w:sz="4" w:space="0" w:color="auto"/>
            </w:tcBorders>
            <w:shd w:val="clear" w:color="000000" w:fill="FFFFFF"/>
            <w:vAlign w:val="center"/>
            <w:hideMark/>
          </w:tcPr>
          <w:p w14:paraId="6EA40106" w14:textId="77777777" w:rsidR="00B8334C" w:rsidRPr="00B8334C" w:rsidRDefault="00B8334C" w:rsidP="00B8334C">
            <w:pPr>
              <w:spacing w:before="0"/>
              <w:ind w:firstLineChars="100" w:firstLine="200"/>
              <w:jc w:val="left"/>
              <w:rPr>
                <w:rFonts w:eastAsia="Times New Roman" w:cs="Arial"/>
                <w:color w:val="000000"/>
                <w:szCs w:val="20"/>
                <w:lang w:eastAsia="cs-CZ"/>
              </w:rPr>
            </w:pPr>
            <w:proofErr w:type="spellStart"/>
            <w:r w:rsidRPr="00B8334C">
              <w:rPr>
                <w:rFonts w:eastAsia="Times New Roman" w:cs="Arial"/>
                <w:color w:val="000000"/>
                <w:szCs w:val="20"/>
                <w:lang w:eastAsia="cs-CZ"/>
              </w:rPr>
              <w:t>Subregistr</w:t>
            </w:r>
            <w:proofErr w:type="spellEnd"/>
          </w:p>
        </w:tc>
        <w:tc>
          <w:tcPr>
            <w:tcW w:w="4080" w:type="dxa"/>
            <w:tcBorders>
              <w:top w:val="nil"/>
              <w:left w:val="nil"/>
              <w:bottom w:val="single" w:sz="4" w:space="0" w:color="auto"/>
              <w:right w:val="single" w:sz="4" w:space="0" w:color="auto"/>
            </w:tcBorders>
            <w:shd w:val="clear" w:color="000000" w:fill="FFFFFF"/>
            <w:vAlign w:val="center"/>
            <w:hideMark/>
          </w:tcPr>
          <w:p w14:paraId="24C8482E" w14:textId="77777777" w:rsidR="00B8334C" w:rsidRPr="00B8334C" w:rsidRDefault="00B8334C" w:rsidP="00B8334C">
            <w:pPr>
              <w:spacing w:before="0"/>
              <w:ind w:firstLineChars="100" w:firstLine="200"/>
              <w:jc w:val="left"/>
              <w:rPr>
                <w:rFonts w:eastAsia="Times New Roman" w:cs="Arial"/>
                <w:color w:val="000000"/>
                <w:szCs w:val="20"/>
                <w:lang w:eastAsia="cs-CZ"/>
              </w:rPr>
            </w:pPr>
            <w:proofErr w:type="gramStart"/>
            <w:r w:rsidRPr="00B8334C">
              <w:rPr>
                <w:rFonts w:eastAsia="Times New Roman" w:cs="Arial"/>
                <w:color w:val="000000"/>
                <w:szCs w:val="20"/>
                <w:lang w:eastAsia="cs-CZ"/>
              </w:rPr>
              <w:t>D - Ložisko</w:t>
            </w:r>
            <w:proofErr w:type="gramEnd"/>
            <w:r w:rsidRPr="00B8334C">
              <w:rPr>
                <w:rFonts w:eastAsia="Times New Roman" w:cs="Arial"/>
                <w:color w:val="000000"/>
                <w:szCs w:val="20"/>
                <w:lang w:eastAsia="cs-CZ"/>
              </w:rPr>
              <w:t xml:space="preserve"> nevyhrazeného nerostu</w:t>
            </w:r>
          </w:p>
        </w:tc>
      </w:tr>
    </w:tbl>
    <w:p w14:paraId="735874B8" w14:textId="065D23DF" w:rsidR="00461B45" w:rsidRPr="006B3F59" w:rsidRDefault="00D71275" w:rsidP="00D71275">
      <w:pPr>
        <w:pStyle w:val="Obrnadpis"/>
      </w:pPr>
      <w:bookmarkStart w:id="101" w:name="_Toc138848203"/>
      <w:r w:rsidRPr="006B3F59">
        <w:t>Nevýhradní ložisko sprašových hlín v řešeném území dle Surovinového informačního systému, ČGS, cit. 2.6.2023</w:t>
      </w:r>
      <w:bookmarkEnd w:id="101"/>
    </w:p>
    <w:p w14:paraId="5F040940" w14:textId="0BA4A2F4" w:rsidR="00AC5717" w:rsidRPr="006B3F59" w:rsidRDefault="00D71275" w:rsidP="004258F1">
      <w:pPr>
        <w:rPr>
          <w:szCs w:val="20"/>
        </w:rPr>
      </w:pPr>
      <w:r w:rsidRPr="006B3F59">
        <w:lastRenderedPageBreak/>
        <w:t>V</w:t>
      </w:r>
      <w:r w:rsidR="00AC5717" w:rsidRPr="006B3F59">
        <w:t xml:space="preserve"> území </w:t>
      </w:r>
      <w:r w:rsidRPr="006B3F59">
        <w:t xml:space="preserve">se </w:t>
      </w:r>
      <w:r w:rsidR="00AC5717" w:rsidRPr="006B3F59">
        <w:t xml:space="preserve">nenalézají žádná poddolovaná území. </w:t>
      </w:r>
      <w:r w:rsidR="00C6585D" w:rsidRPr="006B3F59">
        <w:rPr>
          <w:bCs/>
          <w:szCs w:val="20"/>
        </w:rPr>
        <w:t xml:space="preserve">Dle registru svahových nestabilit evidován aktivní sesuv v prostoru skladu materiálů v bývalé cihelně pod evidenčním číslem geofondu 7713. </w:t>
      </w:r>
      <w:r w:rsidR="00732818" w:rsidRPr="006B3F59">
        <w:rPr>
          <w:bCs/>
          <w:szCs w:val="20"/>
        </w:rPr>
        <w:t xml:space="preserve">Nachází se na hranici plochy ZMK a BC v prostoru severně od bývalé výtopny. </w:t>
      </w:r>
      <w:r w:rsidR="00C6585D" w:rsidRPr="006B3F59">
        <w:rPr>
          <w:bCs/>
          <w:szCs w:val="20"/>
        </w:rPr>
        <w:t>Bude prověřeno v navazujících řízeních</w:t>
      </w:r>
      <w:r w:rsidR="00C6585D" w:rsidRPr="006B3F59">
        <w:rPr>
          <w:szCs w:val="20"/>
        </w:rPr>
        <w:t>.</w:t>
      </w:r>
    </w:p>
    <w:p w14:paraId="4E1750D1" w14:textId="3E2C38C4" w:rsidR="00C6585D" w:rsidRPr="006B3F59" w:rsidRDefault="00C6585D" w:rsidP="004258F1">
      <w:pPr>
        <w:rPr>
          <w:sz w:val="18"/>
          <w:szCs w:val="18"/>
        </w:rPr>
      </w:pPr>
      <w:r w:rsidRPr="006B3F59">
        <w:rPr>
          <w:noProof/>
          <w:sz w:val="18"/>
          <w:szCs w:val="18"/>
        </w:rPr>
        <w:drawing>
          <wp:inline distT="0" distB="0" distL="0" distR="0" wp14:anchorId="418A9264" wp14:editId="02336043">
            <wp:extent cx="6067463" cy="3106757"/>
            <wp:effectExtent l="0" t="0" r="0" b="0"/>
            <wp:docPr id="117576003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760035" name=""/>
                    <pic:cNvPicPr/>
                  </pic:nvPicPr>
                  <pic:blipFill>
                    <a:blip r:embed="rId67"/>
                    <a:stretch>
                      <a:fillRect/>
                    </a:stretch>
                  </pic:blipFill>
                  <pic:spPr>
                    <a:xfrm>
                      <a:off x="0" y="0"/>
                      <a:ext cx="6131987" cy="3139796"/>
                    </a:xfrm>
                    <a:prstGeom prst="rect">
                      <a:avLst/>
                    </a:prstGeom>
                  </pic:spPr>
                </pic:pic>
              </a:graphicData>
            </a:graphic>
          </wp:inline>
        </w:drawing>
      </w:r>
    </w:p>
    <w:p w14:paraId="045ED06E" w14:textId="12D428D2" w:rsidR="00C6585D" w:rsidRPr="006B3F59" w:rsidRDefault="00C6585D" w:rsidP="00C6585D">
      <w:pPr>
        <w:pStyle w:val="Obrnadpis"/>
      </w:pPr>
      <w:bookmarkStart w:id="102" w:name="_Toc138848204"/>
      <w:r w:rsidRPr="006B3F59">
        <w:t>Evidované sesuvné území, zdroj: Mapa svahových nestabilit, ČGS, cit. 22.5.2023</w:t>
      </w:r>
      <w:bookmarkEnd w:id="102"/>
    </w:p>
    <w:p w14:paraId="5710B14E" w14:textId="55E8A517" w:rsidR="007F5D06" w:rsidRPr="006B3F59" w:rsidRDefault="007F5D06" w:rsidP="007F5D06">
      <w:pPr>
        <w:pStyle w:val="Podnadpis2"/>
      </w:pPr>
      <w:r w:rsidRPr="006B3F59">
        <w:t>Radonové riziko</w:t>
      </w:r>
    </w:p>
    <w:p w14:paraId="5903B88B" w14:textId="2CFD0B6F" w:rsidR="00894D57" w:rsidRPr="006B3F59" w:rsidRDefault="00894D57" w:rsidP="004258F1">
      <w:r w:rsidRPr="006B3F59">
        <w:t xml:space="preserve">V celém zájmovém území je podle Prognózní mapy radonového rizika pro hl. m. Prahu střední radonové riziko. </w:t>
      </w:r>
    </w:p>
    <w:p w14:paraId="02AC728D" w14:textId="0A6841A5" w:rsidR="007F5D06" w:rsidRPr="006B3F59" w:rsidRDefault="007F5D06" w:rsidP="007F5D06">
      <w:pPr>
        <w:pStyle w:val="Podnadpis2"/>
      </w:pPr>
      <w:r w:rsidRPr="006B3F59">
        <w:t>Staré ekologické zátěže</w:t>
      </w:r>
    </w:p>
    <w:p w14:paraId="724DE2B8" w14:textId="19D98874" w:rsidR="007F5D06" w:rsidRPr="006B3F59" w:rsidRDefault="007F5D06" w:rsidP="004258F1">
      <w:r w:rsidRPr="006B3F59">
        <w:t>Dle Systému evidence kontaminovaných míst (SEKM) spravovaném Ministerstvem životního prostředí se v řešeném území nachází dvě lokality potenciálních kontaminací.</w:t>
      </w:r>
    </w:p>
    <w:p w14:paraId="495482F0" w14:textId="147A78EF" w:rsidR="007F5D06" w:rsidRPr="006B3F59" w:rsidRDefault="009934DE" w:rsidP="004258F1">
      <w:pPr>
        <w:rPr>
          <w:u w:val="single"/>
        </w:rPr>
      </w:pPr>
      <w:r w:rsidRPr="006B3F59">
        <w:rPr>
          <w:u w:val="single"/>
        </w:rPr>
        <w:t>Skládka u bývalé cihelny</w:t>
      </w:r>
      <w:r w:rsidR="007F5D06" w:rsidRPr="006B3F59">
        <w:rPr>
          <w:u w:val="single"/>
        </w:rPr>
        <w:t xml:space="preserve">, ID lokality </w:t>
      </w:r>
      <w:r w:rsidRPr="006B3F59">
        <w:rPr>
          <w:u w:val="single"/>
        </w:rPr>
        <w:t>30041018</w:t>
      </w:r>
      <w:r w:rsidR="007F5D06" w:rsidRPr="006B3F59">
        <w:rPr>
          <w:u w:val="single"/>
        </w:rPr>
        <w:t xml:space="preserve"> – </w:t>
      </w:r>
      <w:r w:rsidRPr="006B3F59">
        <w:rPr>
          <w:u w:val="single"/>
        </w:rPr>
        <w:t>neprozkoumaná lokalita</w:t>
      </w:r>
      <w:r w:rsidR="006E0627" w:rsidRPr="006B3F59">
        <w:rPr>
          <w:u w:val="single"/>
        </w:rPr>
        <w:t xml:space="preserve"> bez aktuálních rizik</w:t>
      </w:r>
    </w:p>
    <w:p w14:paraId="3C46F424" w14:textId="461F6ED1" w:rsidR="009934DE" w:rsidRPr="006B3F59" w:rsidRDefault="009934DE" w:rsidP="009934DE">
      <w:r w:rsidRPr="006B3F59">
        <w:t>Skládka ve vytěžené cihelně zavážené v dlouhém časovém období širokým spektrem odpadů, kde převládala zemina a stavební suť. V Sedlci byly cihly vyráběny ve dvou cihelnách již v 1. polovině 19. století. Skládka je v zeleni podél ulice Kamýcká vedle na katastrálním území Praha 6 - Sedlec. V současnosti (2021) je lokalita silně zarostlá vegetací a stromy, ale navážky jsou stále patrné. V oblasti je rozházen komunální odpad a plasty v množství do 10 m</w:t>
      </w:r>
      <w:r w:rsidRPr="00CB0A03">
        <w:rPr>
          <w:vertAlign w:val="superscript"/>
        </w:rPr>
        <w:t>3</w:t>
      </w:r>
      <w:r w:rsidRPr="006B3F59">
        <w:t xml:space="preserve">. Dle historických map je doba vzniku v 50. letech 20. století. V sousedství vznikl autoservis s parkovací plochou. Skládka je vedena v Pražském registru skládek a potencionálně kontaminovaných míst z 90. let. Jedná se o parcelu č. 429/19 ve vlastnictví: </w:t>
      </w:r>
      <w:proofErr w:type="spellStart"/>
      <w:r w:rsidRPr="006B3F59">
        <w:t>Abishov</w:t>
      </w:r>
      <w:proofErr w:type="spellEnd"/>
      <w:r w:rsidRPr="006B3F59">
        <w:t xml:space="preserve"> </w:t>
      </w:r>
      <w:proofErr w:type="spellStart"/>
      <w:r w:rsidRPr="006B3F59">
        <w:t>Ruzbeh</w:t>
      </w:r>
      <w:proofErr w:type="spellEnd"/>
      <w:r w:rsidRPr="006B3F59">
        <w:t xml:space="preserve">. Severozápadně 150 m protéká malý potok směrem na Z, kde se vlévá do 400 m vzdálené Vltavy. Na JZ jsou PP Podbabské skály a PP Šárka a Lysolaje. Na sever jsou PP Sedlecké skály. Možnost migrace </w:t>
      </w:r>
      <w:r w:rsidR="00CB0A03">
        <w:t xml:space="preserve">je </w:t>
      </w:r>
      <w:r w:rsidRPr="006B3F59">
        <w:t xml:space="preserve">malá v místě přítomny horniny a zeminy s nízkou průlinovou propustností nebo masiv s převážně puklinovou nízkou propustností bez významné tektoniky, možný dosah migrace typicky v řádu desítek metrů. Kontaminace nezjištěna. Hydrogeologický rajon – 625 – Proterozoikum a paleozoikum v povodí přítoků Vltavy. Vlastní lokalita leží v rozsáhlé oblasti tvořené drobami a prachovci proterozoické kralupsko-zbraslavské skupiny se </w:t>
      </w:r>
      <w:proofErr w:type="spellStart"/>
      <w:r w:rsidRPr="006B3F59">
        <w:t>zavrásněnými</w:t>
      </w:r>
      <w:proofErr w:type="spellEnd"/>
      <w:r w:rsidRPr="006B3F59">
        <w:t xml:space="preserve"> a značně denudovanými spodnopaleozoickými horninami středního a spodního ordoviku. Pásy hornin protažené ve směru víceméně východ – západ jsou zastoupeny spodnoordovickým šáreckým souvrstvím tvořeným černými břidlicemi s Fe zrudněním. Jižněji vystupují mladší křemenné pískovce libeňského souvrství. Celý komplex je protnut alterovanými zbytky bazaltů z ordovického vulkanismu. Krystalické horniny jsou místy kryty cenomanskými sedimenty peruckých vrstev (jílovce a prachovce). Od východu překrývají území rozsáhlé polohy pleistocenních spraší a sprašových hlín. Okolí Šáreckého potoka je vyplněno aluviálními sedimenty. Severozápadně zhruba 150 m od lokality protéká malý potok směrem na západ, kde se vlévá do 400 m vzdálené Vltavy. Podzemní voda je vázána na puklinový kolektor podložních proterozoických a paleozoických hornin a jejich písčitojílovitých zvětralin. V nadloží mohou být vyvinuty průlinové kolektory v nezpevněných sedimentech mladších vrstev. Lokalita je výškově velmi členitá, prudce se svažující k severozápadu k údolí Šáreckého potoka. Směr proudění podzemní vody bude pravděpodobně konformní s terénem, pokud nebudou </w:t>
      </w:r>
      <w:r w:rsidRPr="006B3F59">
        <w:lastRenderedPageBreak/>
        <w:t>v území privilegované preferenční cesty v puklinovém systému. Propustnost eluvií jílovců, prachovců a jílových břidlic a nezpevněných nadložních sedimentů bude různá v řádu k = x.10</w:t>
      </w:r>
      <w:r w:rsidRPr="006B3F59">
        <w:rPr>
          <w:vertAlign w:val="superscript"/>
        </w:rPr>
        <w:t>-5</w:t>
      </w:r>
      <w:r w:rsidRPr="006B3F59">
        <w:t xml:space="preserve"> až x.10</w:t>
      </w:r>
      <w:r w:rsidRPr="006B3F59">
        <w:rPr>
          <w:vertAlign w:val="superscript"/>
        </w:rPr>
        <w:t>-8</w:t>
      </w:r>
      <w:r w:rsidRPr="006B3F59">
        <w:t xml:space="preserve"> ms</w:t>
      </w:r>
      <w:r w:rsidRPr="006B3F59">
        <w:rPr>
          <w:vertAlign w:val="superscript"/>
        </w:rPr>
        <w:t>-1</w:t>
      </w:r>
      <w:r w:rsidRPr="006B3F59">
        <w:t>.</w:t>
      </w:r>
    </w:p>
    <w:p w14:paraId="79875706" w14:textId="4729C197" w:rsidR="006E0627" w:rsidRPr="006B3F59" w:rsidRDefault="00CB545D" w:rsidP="004258F1">
      <w:r w:rsidRPr="006B3F59">
        <w:rPr>
          <w:noProof/>
        </w:rPr>
        <w:drawing>
          <wp:inline distT="0" distB="0" distL="0" distR="0" wp14:anchorId="27F496B9" wp14:editId="5121D538">
            <wp:extent cx="6120130" cy="2885440"/>
            <wp:effectExtent l="0" t="0" r="0" b="0"/>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120130" cy="2885440"/>
                    </a:xfrm>
                    <a:prstGeom prst="rect">
                      <a:avLst/>
                    </a:prstGeom>
                  </pic:spPr>
                </pic:pic>
              </a:graphicData>
            </a:graphic>
          </wp:inline>
        </w:drawing>
      </w:r>
    </w:p>
    <w:p w14:paraId="0766812E" w14:textId="0A99B3D2" w:rsidR="006E0627" w:rsidRPr="006B3F59" w:rsidRDefault="006E0627" w:rsidP="004258F1">
      <w:pPr>
        <w:pStyle w:val="Obrnadpis"/>
      </w:pPr>
      <w:bookmarkStart w:id="103" w:name="_Toc138848205"/>
      <w:r w:rsidRPr="006B3F59">
        <w:t xml:space="preserve">Evidovaná lokalita potenciální staré ekologické zátěže dle SEKM, cit. </w:t>
      </w:r>
      <w:r w:rsidR="009934DE" w:rsidRPr="006B3F59">
        <w:t>11</w:t>
      </w:r>
      <w:r w:rsidRPr="006B3F59">
        <w:t>.</w:t>
      </w:r>
      <w:r w:rsidR="009934DE" w:rsidRPr="006B3F59">
        <w:t xml:space="preserve"> 4</w:t>
      </w:r>
      <w:r w:rsidRPr="006B3F59">
        <w:t>.2023</w:t>
      </w:r>
      <w:bookmarkEnd w:id="103"/>
    </w:p>
    <w:p w14:paraId="005BD129" w14:textId="37FD4F39" w:rsidR="009934DE" w:rsidRPr="006B3F59" w:rsidRDefault="00ED786E" w:rsidP="009934DE">
      <w:pPr>
        <w:rPr>
          <w:lang w:eastAsia="cs-CZ"/>
        </w:rPr>
      </w:pPr>
      <w:r w:rsidRPr="006B3F59">
        <w:rPr>
          <w:noProof/>
        </w:rPr>
        <w:drawing>
          <wp:inline distT="0" distB="0" distL="0" distR="0" wp14:anchorId="41F1E25B" wp14:editId="6BC3D0E9">
            <wp:extent cx="6120130" cy="4588510"/>
            <wp:effectExtent l="0" t="0" r="0" b="0"/>
            <wp:docPr id="23465436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120130" cy="4588510"/>
                    </a:xfrm>
                    <a:prstGeom prst="rect">
                      <a:avLst/>
                    </a:prstGeom>
                    <a:noFill/>
                    <a:ln>
                      <a:noFill/>
                    </a:ln>
                  </pic:spPr>
                </pic:pic>
              </a:graphicData>
            </a:graphic>
          </wp:inline>
        </w:drawing>
      </w:r>
    </w:p>
    <w:p w14:paraId="6024A99E" w14:textId="17E00EB9" w:rsidR="009934DE" w:rsidRPr="006B3F59" w:rsidRDefault="009934DE" w:rsidP="00CB545D">
      <w:pPr>
        <w:pStyle w:val="Obrnadpis"/>
      </w:pPr>
      <w:bookmarkStart w:id="104" w:name="_Toc138848206"/>
      <w:r w:rsidRPr="006B3F59">
        <w:t xml:space="preserve">Pohled na lokalitu </w:t>
      </w:r>
      <w:r w:rsidR="00CB545D" w:rsidRPr="006B3F59">
        <w:t xml:space="preserve">bývalé </w:t>
      </w:r>
      <w:r w:rsidRPr="006B3F59">
        <w:t>skládky od J</w:t>
      </w:r>
      <w:r w:rsidR="00ED786E" w:rsidRPr="006B3F59">
        <w:t>Z, foto 12.5.2023</w:t>
      </w:r>
      <w:bookmarkEnd w:id="104"/>
    </w:p>
    <w:p w14:paraId="4D1BEEF3" w14:textId="16375333" w:rsidR="00CB545D" w:rsidRPr="006B3F59" w:rsidRDefault="00CB545D" w:rsidP="00CB545D">
      <w:pPr>
        <w:rPr>
          <w:u w:val="single"/>
        </w:rPr>
      </w:pPr>
      <w:bookmarkStart w:id="105" w:name="_Toc29298330"/>
      <w:r w:rsidRPr="006B3F59">
        <w:rPr>
          <w:u w:val="single"/>
        </w:rPr>
        <w:t>Skládka ve vytěžených zemnících v Sedlci, ID lokality 30041019 – kontaminace je potvrzena, nereprezentuje aktuální zdravotní riziko ani rozpor s legislativou, není však vyloučena možnost dalšího šíření.</w:t>
      </w:r>
    </w:p>
    <w:p w14:paraId="0EB21EC9" w14:textId="6A287EC5" w:rsidR="00CB545D" w:rsidRPr="006B3F59" w:rsidRDefault="00CB545D" w:rsidP="00CB545D">
      <w:r w:rsidRPr="006B3F59">
        <w:lastRenderedPageBreak/>
        <w:t>Rozsáhlá skládka převážně zeminy a stavební suti v soustavě vytěžených zemníků. Odpad se sem začal navážet po ukončení činnosti Hergetovy cihelny</w:t>
      </w:r>
      <w:r w:rsidR="007F0572" w:rsidRPr="006B3F59">
        <w:t xml:space="preserve"> </w:t>
      </w:r>
      <w:r w:rsidRPr="006B3F59">
        <w:t xml:space="preserve">(v </w:t>
      </w:r>
      <w:r w:rsidR="007F0572" w:rsidRPr="006B3F59">
        <w:t>50–60</w:t>
      </w:r>
      <w:r w:rsidRPr="006B3F59">
        <w:t xml:space="preserve">. letech), která v Sedlci vyráběla cihly ve dvou cihelnách již v 1. polovině 19. století. Skládka je v zeleni ve svahu od Kamýcké k Roztocké ulici na katastrálním území Praha 6 - Sedlec. V současnosti (2021) je lokalita silně zarostlá vegetací a stromy, ale navážky jsou stále patrné. Dle historických map je doba vzniku a původ skládky potvrzen. Na území je malý autoservis El-car.cz a firma pana F. Mety, který zde má překladiště a sklad stavebního materiálu. Oba provozy nejsou předmětem hodnocení. Skládka je vedena v Pražském registru skládek a potencionálně kontaminovaných míst z 90. let. Jedná se o </w:t>
      </w:r>
      <w:r w:rsidR="000308F3">
        <w:t xml:space="preserve">plochu </w:t>
      </w:r>
      <w:r w:rsidRPr="006B3F59">
        <w:t xml:space="preserve">více parcel. Největší plochu mají parcely č. 129/14 ve vlastnictví České zemědělské univerzity v Praze a p. č. 430/19 ve vlastnictví Q-SERVIS a.s. Severozápadně 150 m protéká malý potok směrem na Z, kde se vlévá do 500 m vzdálené Vltavy. Na J cca 500 m protéká </w:t>
      </w:r>
      <w:r w:rsidR="006A3B2D" w:rsidRPr="006B3F59">
        <w:t>Š</w:t>
      </w:r>
      <w:r w:rsidRPr="006B3F59">
        <w:t xml:space="preserve">árecký potok. Na JZ jsou PP Podbabské skály a PP Šárka a Lysolaje. Na sever jsou PP Sedlecké skály. Severovýchodně cca 250 m je obytná zástavba </w:t>
      </w:r>
      <w:r w:rsidR="006A3B2D" w:rsidRPr="006B3F59">
        <w:t>s</w:t>
      </w:r>
      <w:r w:rsidRPr="006B3F59">
        <w:t>e zahradami. V místě horniny a zeminy s nízkou průlinovou propustností nebo masiv s převážně puklinovou nízkou propustností bez významné tektoniky, možný dosah migrace typicky v řádu desítek metrů.</w:t>
      </w:r>
    </w:p>
    <w:p w14:paraId="43AAAE6D" w14:textId="4D745325" w:rsidR="00CB545D" w:rsidRPr="006B3F59" w:rsidRDefault="00CB545D" w:rsidP="00CB545D">
      <w:r w:rsidRPr="006B3F59">
        <w:t xml:space="preserve">Hydrogeologický rajon – 625 – Proterozoikum a paleozoikum v povodí přítoků Vltavy. Vlastní lokalita leží v rozsáhlé oblasti tvořené drobami a prachovci proterozoické kralupsko-zbraslavské skupiny se </w:t>
      </w:r>
      <w:proofErr w:type="spellStart"/>
      <w:r w:rsidRPr="006B3F59">
        <w:t>zavrásněnými</w:t>
      </w:r>
      <w:proofErr w:type="spellEnd"/>
      <w:r w:rsidRPr="006B3F59">
        <w:t xml:space="preserve"> a značně denudovanými spodnopaleozoickými horninami středního a spodního ordoviku. Pásy hornin protažené ve směru víceméně východ – západ jsou zastoupeny spodnoordovickým šáreckým souvrstvím tvořeným černými břidlicemi s Fe zrudněním. Jižněji vystupují mladší křemenné pískovce libeňského souvrství. Celý komplex je protnut alterovanými zbytky bazaltů z ordovického vulkanismu. Krystalické horniny jsou místy kryty cenomanskými sedimenty peruckých vrstev (jílovce a prachovce). Od východu překrývají území rozsáhlé polohy pleistocenních spraší a sprašových hlín. Okolí Šáreckého potoka je vyplněno aluviálními sedimenty. Severozápadně zhruba 150 m od lokality protéká malý potok směrem na západ, kde se vlévá do 400 m vzdálené Vltavy. Podzemní voda je vázána na puklinový kolektor podložních proterozoických a paleozoických hornin a jejich písčitojílovitých zvětralin. V nadloží mohou být vyvinuty průlinové kolektory v nezpevněných sedimentech mladších vrstev. Lokalita je výškově velmi členitá, prudce se svažující k severozápadu k údolí Šáreckého potoka. Směr proudění podzemní vody bude pravděpodobně konformní s terénem, pokud nebudou v území privilegované preferenční cesty v puklinovém systému. Propustnost eluvií jílovců, prachovců a jílových břidlic a nezpevněných nadložních sedimentů bude různá v řádu k = x.10</w:t>
      </w:r>
      <w:r w:rsidRPr="006B3F59">
        <w:rPr>
          <w:vertAlign w:val="superscript"/>
        </w:rPr>
        <w:t>-5</w:t>
      </w:r>
      <w:r w:rsidRPr="006B3F59">
        <w:t xml:space="preserve"> až x.10</w:t>
      </w:r>
      <w:r w:rsidRPr="006B3F59">
        <w:rPr>
          <w:vertAlign w:val="superscript"/>
        </w:rPr>
        <w:t>-8</w:t>
      </w:r>
      <w:r w:rsidRPr="006B3F59">
        <w:t xml:space="preserve"> ms</w:t>
      </w:r>
      <w:r w:rsidRPr="006B3F59">
        <w:rPr>
          <w:vertAlign w:val="superscript"/>
        </w:rPr>
        <w:t>-1</w:t>
      </w:r>
      <w:r w:rsidRPr="006B3F59">
        <w:t>.</w:t>
      </w:r>
    </w:p>
    <w:p w14:paraId="3A1B9165" w14:textId="22EA150A" w:rsidR="00CB545D" w:rsidRPr="006B3F59" w:rsidRDefault="00CB545D" w:rsidP="00CB545D">
      <w:r w:rsidRPr="006B3F59">
        <w:t>V roce 2012 proběhl</w:t>
      </w:r>
      <w:r w:rsidR="00CD10B2" w:rsidRPr="006B3F59">
        <w:t xml:space="preserve"> v severní části lokality</w:t>
      </w:r>
      <w:r w:rsidRPr="006B3F59">
        <w:t xml:space="preserve"> průzkum skladby a znečištění materiálu mezideponie na pozemcích ČZU, závěrečná zpráva. (K2H s.r.o.)</w:t>
      </w:r>
      <w:r w:rsidR="000308F3">
        <w:t>.</w:t>
      </w:r>
      <w:r w:rsidRPr="006B3F59">
        <w:t xml:space="preserve"> V rámci realizovaných průzkumných prací bylo v zájmovém území ověřeno složení uložených</w:t>
      </w:r>
      <w:r w:rsidR="00CD10B2" w:rsidRPr="006B3F59">
        <w:t xml:space="preserve"> </w:t>
      </w:r>
      <w:r w:rsidRPr="006B3F59">
        <w:t>navážek (odpadů) a na základě provedeného vzorkování z vrtného jádra a výsledků laboratorních analýz vyhodnocen stupeň jejich znečištění z pohledu zákona 185/2001 Sb</w:t>
      </w:r>
      <w:r w:rsidR="006A3B2D" w:rsidRPr="006B3F59">
        <w:t>.</w:t>
      </w:r>
      <w:r w:rsidRPr="006B3F59">
        <w:t>, potažmo Vyhlášky č.294/2005 Sb., o podmínkách ukládání odpadů na skládky a jejich využívání na povrchu terénu. Veškeré navážky (stavební recyklát — deponie H2, hlinitokamenité navážky — deponie H1, stavební odpady — deponie H3, H12 a H13) překračují nejvyšší povolený limit celkových obsahů v ukazateli polyaromatických uhlovodíků (PAU) z hlediska jejich možného využití na Povrchu terénu. Z hlediska ekotoxicity tyto odpady splňují normované podmínky až na svrchní část deponie H2 (0 až 6 m).</w:t>
      </w:r>
    </w:p>
    <w:p w14:paraId="10AC09D7" w14:textId="4C8DCF0A" w:rsidR="00CD10B2" w:rsidRPr="006B3F59" w:rsidRDefault="00CD10B2" w:rsidP="00CB545D">
      <w:r w:rsidRPr="006B3F59">
        <w:t xml:space="preserve">V </w:t>
      </w:r>
      <w:r w:rsidR="00CB545D" w:rsidRPr="006B3F59">
        <w:t>JV část</w:t>
      </w:r>
      <w:r w:rsidRPr="006B3F59">
        <w:t>i</w:t>
      </w:r>
      <w:r w:rsidR="00CB545D" w:rsidRPr="006B3F59">
        <w:t xml:space="preserve"> lokality</w:t>
      </w:r>
      <w:r w:rsidRPr="006B3F59">
        <w:t xml:space="preserve"> byla v roce </w:t>
      </w:r>
      <w:r w:rsidR="00CB545D" w:rsidRPr="006B3F59">
        <w:t xml:space="preserve">2005 </w:t>
      </w:r>
      <w:r w:rsidRPr="006B3F59">
        <w:t>realizována</w:t>
      </w:r>
      <w:r w:rsidR="00CB545D" w:rsidRPr="006B3F59">
        <w:t xml:space="preserve"> </w:t>
      </w:r>
      <w:r w:rsidRPr="006B3F59">
        <w:t xml:space="preserve">částečná </w:t>
      </w:r>
      <w:r w:rsidR="00CB545D" w:rsidRPr="006B3F59">
        <w:t>sanace staré ekologické zátěže na pozemku p.č. 429/12 v kat. úz</w:t>
      </w:r>
      <w:r w:rsidR="007F0572" w:rsidRPr="006B3F59">
        <w:t>emí</w:t>
      </w:r>
      <w:r w:rsidR="00CB545D" w:rsidRPr="006B3F59">
        <w:t xml:space="preserve"> Sedlec, který měl v nájmu DPA Praha.</w:t>
      </w:r>
      <w:r w:rsidRPr="006B3F59">
        <w:t xml:space="preserve"> Likvidace živičného povrchu, odtěžení podloží, sanace inertním </w:t>
      </w:r>
      <w:r w:rsidR="007F0572" w:rsidRPr="006B3F59">
        <w:t>materiálem.</w:t>
      </w:r>
      <w:r w:rsidRPr="006B3F59">
        <w:t xml:space="preserve"> </w:t>
      </w:r>
      <w:r w:rsidR="00CB545D" w:rsidRPr="006B3F59">
        <w:t xml:space="preserve">V rámci </w:t>
      </w:r>
      <w:proofErr w:type="spellStart"/>
      <w:r w:rsidR="00CB545D" w:rsidRPr="006B3F59">
        <w:t>doprůzkumu</w:t>
      </w:r>
      <w:proofErr w:type="spellEnd"/>
      <w:r w:rsidR="00CB545D" w:rsidRPr="006B3F59">
        <w:t xml:space="preserve"> bylo pomocí 12 mělčích sond ověřeno, že pod zpevněnou živičnou plochou, která sloužila jako plocha odstavná pro automobilovou techniku, se nenachází žádné výrazné ropné znečištění, které by vyžadovalo dodatečný sanační zásah.</w:t>
      </w:r>
      <w:r w:rsidRPr="006B3F59">
        <w:t xml:space="preserve"> </w:t>
      </w:r>
      <w:r w:rsidR="00CB545D" w:rsidRPr="006B3F59">
        <w:t>Zbytkové ropné znečištění ve vytěžených prostorách nepřesahuje limit kritéria „B</w:t>
      </w:r>
      <w:r w:rsidR="007F0572" w:rsidRPr="006B3F59">
        <w:t>“.</w:t>
      </w:r>
      <w:r w:rsidR="00CB545D" w:rsidRPr="006B3F59">
        <w:t xml:space="preserve"> Z celkového hlediska se po ukončení sanačních prací v prostoru bývalé manipulační plochy (pozemek p.č. 429/12 v k.ú. Sedlec) nenachází žádné výrazné ropné znečištění, které by si vyžádalo další sanační zásah nebo by představovalo riziko pro životní prostředí.</w:t>
      </w:r>
      <w:r w:rsidRPr="006B3F59">
        <w:t xml:space="preserve"> V závislosti na výsledcích provedených analýz a za současných legislativních podmínek (2012) je zřejmé, že odpady na deponiích by měly být v souladu se zákonem Č.18512001 Sb. zneškodněny na příslušné skládce odpadů.</w:t>
      </w:r>
    </w:p>
    <w:p w14:paraId="05F276C0" w14:textId="6E8B8E18" w:rsidR="00CB545D" w:rsidRPr="006B3F59" w:rsidRDefault="00CD10B2" w:rsidP="00CB545D">
      <w:r w:rsidRPr="006B3F59">
        <w:rPr>
          <w:noProof/>
        </w:rPr>
        <w:lastRenderedPageBreak/>
        <w:drawing>
          <wp:inline distT="0" distB="0" distL="0" distR="0" wp14:anchorId="7AD72387" wp14:editId="73756B5F">
            <wp:extent cx="6120130" cy="2924175"/>
            <wp:effectExtent l="0" t="0" r="0" b="9525"/>
            <wp:docPr id="74" name="Obrázek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120130" cy="2924175"/>
                    </a:xfrm>
                    <a:prstGeom prst="rect">
                      <a:avLst/>
                    </a:prstGeom>
                  </pic:spPr>
                </pic:pic>
              </a:graphicData>
            </a:graphic>
          </wp:inline>
        </w:drawing>
      </w:r>
    </w:p>
    <w:p w14:paraId="41C24D7C" w14:textId="77777777" w:rsidR="00CB545D" w:rsidRPr="006B3F59" w:rsidRDefault="00CB545D" w:rsidP="00CB545D">
      <w:pPr>
        <w:pStyle w:val="Obrnadpis"/>
      </w:pPr>
      <w:bookmarkStart w:id="106" w:name="_Toc138848207"/>
      <w:r w:rsidRPr="006B3F59">
        <w:t>Evidovaná lokalita potenciální staré ekologické zátěže dle SEKM, cit. 11. 4.2023</w:t>
      </w:r>
      <w:bookmarkEnd w:id="106"/>
    </w:p>
    <w:p w14:paraId="56236E8E" w14:textId="0A1117DC" w:rsidR="00CB545D" w:rsidRPr="006B3F59" w:rsidRDefault="00CD10B2" w:rsidP="00CB545D">
      <w:pPr>
        <w:rPr>
          <w:lang w:eastAsia="cs-CZ"/>
        </w:rPr>
      </w:pPr>
      <w:r w:rsidRPr="006B3F59">
        <w:rPr>
          <w:noProof/>
          <w:lang w:eastAsia="cs-CZ"/>
        </w:rPr>
        <w:drawing>
          <wp:inline distT="0" distB="0" distL="0" distR="0" wp14:anchorId="49B6B557" wp14:editId="561BF84A">
            <wp:extent cx="6045200" cy="4453467"/>
            <wp:effectExtent l="0" t="0" r="0" b="444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1"/>
                    <a:srcRect t="1650" r="1224" b="1920"/>
                    <a:stretch/>
                  </pic:blipFill>
                  <pic:spPr bwMode="auto">
                    <a:xfrm>
                      <a:off x="0" y="0"/>
                      <a:ext cx="6045200" cy="4453467"/>
                    </a:xfrm>
                    <a:prstGeom prst="rect">
                      <a:avLst/>
                    </a:prstGeom>
                    <a:ln>
                      <a:noFill/>
                    </a:ln>
                    <a:extLst>
                      <a:ext uri="{53640926-AAD7-44D8-BBD7-CCE9431645EC}">
                        <a14:shadowObscured xmlns:a14="http://schemas.microsoft.com/office/drawing/2010/main"/>
                      </a:ext>
                    </a:extLst>
                  </pic:spPr>
                </pic:pic>
              </a:graphicData>
            </a:graphic>
          </wp:inline>
        </w:drawing>
      </w:r>
    </w:p>
    <w:p w14:paraId="285515A1" w14:textId="1CCEEE22" w:rsidR="00CB545D" w:rsidRPr="006B3F59" w:rsidRDefault="00CB545D" w:rsidP="00CB545D">
      <w:pPr>
        <w:pStyle w:val="Obrnadpis"/>
      </w:pPr>
      <w:bookmarkStart w:id="107" w:name="_Toc138848208"/>
      <w:r w:rsidRPr="006B3F59">
        <w:t xml:space="preserve">Pohled na </w:t>
      </w:r>
      <w:r w:rsidR="00CD10B2" w:rsidRPr="006B3F59">
        <w:t>navážky v severní části lokality bývalé cihelny</w:t>
      </w:r>
      <w:bookmarkEnd w:id="107"/>
    </w:p>
    <w:p w14:paraId="45A5B1B2" w14:textId="25DCB6FA" w:rsidR="00ED786E" w:rsidRPr="006B3F59" w:rsidRDefault="00ED786E" w:rsidP="00ED786E">
      <w:pPr>
        <w:rPr>
          <w:lang w:eastAsia="cs-CZ"/>
        </w:rPr>
      </w:pPr>
      <w:r w:rsidRPr="006B3F59">
        <w:rPr>
          <w:noProof/>
        </w:rPr>
        <w:lastRenderedPageBreak/>
        <w:drawing>
          <wp:inline distT="0" distB="0" distL="0" distR="0" wp14:anchorId="5F953169" wp14:editId="3E40712D">
            <wp:extent cx="6120130" cy="4588510"/>
            <wp:effectExtent l="0" t="0" r="0" b="0"/>
            <wp:docPr id="1590011481"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6120130" cy="4588510"/>
                    </a:xfrm>
                    <a:prstGeom prst="rect">
                      <a:avLst/>
                    </a:prstGeom>
                    <a:noFill/>
                    <a:ln>
                      <a:noFill/>
                    </a:ln>
                  </pic:spPr>
                </pic:pic>
              </a:graphicData>
            </a:graphic>
          </wp:inline>
        </w:drawing>
      </w:r>
    </w:p>
    <w:p w14:paraId="6558BDC1" w14:textId="6C887ABB" w:rsidR="00ED786E" w:rsidRPr="006B3F59" w:rsidRDefault="00ED786E" w:rsidP="00ED786E">
      <w:pPr>
        <w:pStyle w:val="Obrnadpis"/>
      </w:pPr>
      <w:bookmarkStart w:id="108" w:name="_Toc138848209"/>
      <w:r w:rsidRPr="006B3F59">
        <w:t>Stávající využití části lokality bývalé cihelny, foto 12.5.2023</w:t>
      </w:r>
      <w:bookmarkEnd w:id="108"/>
    </w:p>
    <w:p w14:paraId="40D95F1C" w14:textId="1D65673D" w:rsidR="004C6EEE" w:rsidRPr="006B3F59" w:rsidRDefault="004C6EEE" w:rsidP="004C6EEE">
      <w:pPr>
        <w:rPr>
          <w:u w:val="single"/>
        </w:rPr>
      </w:pPr>
      <w:r w:rsidRPr="006B3F59">
        <w:rPr>
          <w:u w:val="single"/>
        </w:rPr>
        <w:t xml:space="preserve">Kaučuk a.s. - ČS PHM Praha 6, ID </w:t>
      </w:r>
      <w:r w:rsidRPr="005450BF">
        <w:rPr>
          <w:rFonts w:cs="Arial"/>
          <w:szCs w:val="20"/>
          <w:u w:val="single"/>
        </w:rPr>
        <w:t xml:space="preserve">lokality </w:t>
      </w:r>
      <w:r w:rsidRPr="005450BF">
        <w:rPr>
          <w:rFonts w:cs="Arial"/>
          <w:color w:val="000000"/>
          <w:szCs w:val="20"/>
          <w:u w:val="single"/>
          <w:shd w:val="clear" w:color="auto" w:fill="FFFFFF"/>
        </w:rPr>
        <w:t>12702015</w:t>
      </w:r>
      <w:r w:rsidRPr="006B3F59">
        <w:rPr>
          <w:u w:val="single"/>
        </w:rPr>
        <w:t xml:space="preserve"> – sanováno</w:t>
      </w:r>
    </w:p>
    <w:p w14:paraId="6D16F27A" w14:textId="4B273762" w:rsidR="004C6EEE" w:rsidRPr="006B3F59" w:rsidRDefault="004C6EEE" w:rsidP="004C6EEE">
      <w:r w:rsidRPr="006B3F59">
        <w:t xml:space="preserve">Čerpací stanice založená v 70. letech se nachází v SZ městské části Prahy </w:t>
      </w:r>
      <w:r w:rsidR="007F0572" w:rsidRPr="006B3F59">
        <w:t>6 – Suchdol</w:t>
      </w:r>
      <w:r w:rsidRPr="006B3F59">
        <w:t>, na okraji souvislé obytné zástavby. Pohonné hmoty byly skladovány ve 3 podzemních nádržích o objemech 20 m</w:t>
      </w:r>
      <w:r w:rsidRPr="005450BF">
        <w:rPr>
          <w:vertAlign w:val="superscript"/>
        </w:rPr>
        <w:t>3</w:t>
      </w:r>
      <w:r w:rsidRPr="006B3F59">
        <w:t xml:space="preserve">, nebyly vybaveny signalizací proti přeplnění. Indikační systém úniků ropných látek tvořily tzv. </w:t>
      </w:r>
      <w:proofErr w:type="spellStart"/>
      <w:r w:rsidRPr="006B3F59">
        <w:t>čichačky</w:t>
      </w:r>
      <w:proofErr w:type="spellEnd"/>
      <w:r w:rsidRPr="006B3F59">
        <w:t>. Úkapy s dešťovými srážkami z částečně zastřešené manipulační plochy byly svedeny do lapolu a odtud po gravitačním odloučení příp. ropného produktu odtékaly do veřejné kanalizace. V současnosti (2021) je na lokalitě moderní čerpací stanice Orlen.</w:t>
      </w:r>
    </w:p>
    <w:p w14:paraId="729F379E" w14:textId="2B807177" w:rsidR="004C6EEE" w:rsidRPr="006B3F59" w:rsidRDefault="004C6EEE" w:rsidP="004C6EEE">
      <w:r w:rsidRPr="006B3F59">
        <w:t xml:space="preserve">Oblast je na konci obytné zástavby a je obklopena zemědělskou půdou. Jedná se o parcelu č. 6/4 ve vlastnictví ORLEN Unipetrol RPA s.r.o. </w:t>
      </w:r>
      <w:r w:rsidR="007127C6">
        <w:t>Č</w:t>
      </w:r>
      <w:r w:rsidRPr="006B3F59">
        <w:t xml:space="preserve">erpací stanice </w:t>
      </w:r>
      <w:r w:rsidR="007127C6">
        <w:t>vznikla</w:t>
      </w:r>
      <w:r w:rsidR="007127C6" w:rsidRPr="006B3F59">
        <w:t xml:space="preserve"> </w:t>
      </w:r>
      <w:r w:rsidRPr="006B3F59">
        <w:t xml:space="preserve">v 70. letech a jednalo se o společnost kaučuk a.s. </w:t>
      </w:r>
      <w:r w:rsidR="007127C6">
        <w:t>D</w:t>
      </w:r>
      <w:r w:rsidRPr="006B3F59">
        <w:t xml:space="preserve">ále zde působila </w:t>
      </w:r>
      <w:r w:rsidR="007127C6">
        <w:t xml:space="preserve">společnost </w:t>
      </w:r>
      <w:proofErr w:type="gramStart"/>
      <w:r w:rsidRPr="006B3F59">
        <w:t>K- Petrol</w:t>
      </w:r>
      <w:proofErr w:type="gramEnd"/>
      <w:r w:rsidRPr="006B3F59">
        <w:t xml:space="preserve"> a.s. a v současnosti </w:t>
      </w:r>
      <w:r w:rsidR="007127C6">
        <w:t xml:space="preserve">společnost </w:t>
      </w:r>
      <w:r w:rsidRPr="006B3F59">
        <w:t xml:space="preserve">Orlen. Severně od oblasti zhruba 600 m je v PP Údolí Únětického potoka. Na SZ cca 800 m protéká Horoměřický potok. Na JV je obytná zástavba </w:t>
      </w:r>
      <w:r w:rsidR="007F0572" w:rsidRPr="006B3F59">
        <w:t>se</w:t>
      </w:r>
      <w:r w:rsidRPr="006B3F59">
        <w:t xml:space="preserve"> zahradami. </w:t>
      </w:r>
    </w:p>
    <w:p w14:paraId="6E228D49" w14:textId="37612542" w:rsidR="004C6EEE" w:rsidRPr="006B3F59" w:rsidRDefault="004C6EEE" w:rsidP="004C6EEE">
      <w:r w:rsidRPr="006B3F59">
        <w:t xml:space="preserve">Možnost migrace </w:t>
      </w:r>
      <w:r w:rsidR="002D3DCB">
        <w:t xml:space="preserve">je </w:t>
      </w:r>
      <w:r w:rsidRPr="006B3F59">
        <w:t>malá</w:t>
      </w:r>
      <w:r w:rsidR="002D3DCB">
        <w:t>.</w:t>
      </w:r>
      <w:r w:rsidRPr="006B3F59">
        <w:t xml:space="preserve"> </w:t>
      </w:r>
      <w:r w:rsidR="002D3DCB">
        <w:t>V</w:t>
      </w:r>
      <w:r w:rsidRPr="006B3F59">
        <w:t xml:space="preserve"> místě </w:t>
      </w:r>
      <w:r w:rsidR="002D3DCB">
        <w:t xml:space="preserve">jsou </w:t>
      </w:r>
      <w:r w:rsidRPr="006B3F59">
        <w:t>přítomny horniny a zeminy s nízkou průlinovou propustností nebo masiv s převážně puklinovou nízkou propustností bez významné tektoniky</w:t>
      </w:r>
      <w:r w:rsidR="002D3DCB">
        <w:t>.</w:t>
      </w:r>
      <w:r w:rsidRPr="006B3F59">
        <w:t xml:space="preserve"> </w:t>
      </w:r>
      <w:r w:rsidR="002D3DCB">
        <w:t>M</w:t>
      </w:r>
      <w:r w:rsidRPr="006B3F59">
        <w:t xml:space="preserve">ožný dosah migrace </w:t>
      </w:r>
      <w:r w:rsidR="002D3DCB">
        <w:t xml:space="preserve">je </w:t>
      </w:r>
      <w:r w:rsidRPr="006B3F59">
        <w:t xml:space="preserve">typicky v řádu desítek metrů. Kontaminace nezjištěna. Hydrogeologický rajon – 625 – Proterozoikum a paleozoikum v povodí přítoků Vltavy. Vlastní lokalita leží v rozsáhlé oblasti tvořené drobami a prachovci proterozoické kralupsko-zbraslavské skupiny se </w:t>
      </w:r>
      <w:proofErr w:type="spellStart"/>
      <w:r w:rsidRPr="006B3F59">
        <w:t>zavrásněnými</w:t>
      </w:r>
      <w:proofErr w:type="spellEnd"/>
      <w:r w:rsidRPr="006B3F59">
        <w:t xml:space="preserve"> a značně denudovanými spodnopaleozoickými horninami středního a spodního ordoviku. Pásy hornin protažené ve směru víceméně východ – západ jsou zastoupeny spodnoordovickým šáreckým souvrstvím tvořeným černými břidlicemi s Fe zrudněním. Jižněji vystupují mladší křemenné pískovce libeňského souvrství. Celý komplex je protnut alterovanými zbytky bazaltů z ordovického vulkanismu. Krystalické horniny jsou místy kryty cenomanskými sedimenty peruckých vrstev (jílovce a prachovce). Od východu překrývají území rozsáhlé polohy pleistocenních spraší a sprašových hlín. Okolí Šáreckého potoka je vyplněno aluviálními sedimenty. Propustnost eluvií jílovců, prachovců a jílových břidlic a nezpevněných nadložních sedimentů bude různá v řádu k = x.10</w:t>
      </w:r>
      <w:r w:rsidRPr="006B3F59">
        <w:rPr>
          <w:vertAlign w:val="superscript"/>
        </w:rPr>
        <w:t>-5</w:t>
      </w:r>
      <w:r w:rsidRPr="006B3F59">
        <w:t xml:space="preserve"> až x.10</w:t>
      </w:r>
      <w:r w:rsidRPr="006B3F59">
        <w:rPr>
          <w:vertAlign w:val="superscript"/>
        </w:rPr>
        <w:t>-8</w:t>
      </w:r>
      <w:r w:rsidRPr="006B3F59">
        <w:t xml:space="preserve"> ms</w:t>
      </w:r>
      <w:r w:rsidRPr="006B3F59">
        <w:rPr>
          <w:vertAlign w:val="superscript"/>
        </w:rPr>
        <w:t>-1</w:t>
      </w:r>
      <w:r w:rsidRPr="006B3F59">
        <w:t>.</w:t>
      </w:r>
    </w:p>
    <w:p w14:paraId="10AFC593" w14:textId="394D2488" w:rsidR="004C6EEE" w:rsidRPr="006B3F59" w:rsidRDefault="004C6EEE" w:rsidP="004C6EEE">
      <w:r w:rsidRPr="006B3F59">
        <w:lastRenderedPageBreak/>
        <w:t xml:space="preserve">V roce 1998 byl společností </w:t>
      </w:r>
      <w:proofErr w:type="spellStart"/>
      <w:r w:rsidR="007F0572" w:rsidRPr="006B3F59">
        <w:t>Aquatest</w:t>
      </w:r>
      <w:proofErr w:type="spellEnd"/>
      <w:r w:rsidR="007F0572" w:rsidRPr="006B3F59">
        <w:t xml:space="preserve"> – Stavební</w:t>
      </w:r>
      <w:r w:rsidRPr="006B3F59">
        <w:t xml:space="preserve"> geologie a.s. - DEKONTA Kladno vypracován Průzkum znečištění zemin v prostoru ČS PHM K-Petrol</w:t>
      </w:r>
      <w:r w:rsidR="00D47D6C" w:rsidRPr="006B3F59">
        <w:t>, k</w:t>
      </w:r>
      <w:r w:rsidRPr="006B3F59">
        <w:t>de bylo zjištěno znečištění zemin nad úroveň sanačního limitu (1 500 mg/kg NEL)</w:t>
      </w:r>
      <w:r w:rsidR="00A279FA">
        <w:t>. Znečištění</w:t>
      </w:r>
      <w:r w:rsidRPr="006B3F59">
        <w:t xml:space="preserve"> je vázáno na uložiště podzemních nádrží, a to na prostor tvořený navážkou pod nádržemi až na úroveň betonové desky základů uložiště. Rizikovými látkami jsou uniklé pohonné hmoty a oleje do zemin pod nádržemi, resp. na zpevněné manipulační plochy (odtud přes gravitační </w:t>
      </w:r>
      <w:r w:rsidR="007F0572" w:rsidRPr="006B3F59">
        <w:t>odlučovač – účinnost</w:t>
      </w:r>
      <w:r w:rsidRPr="006B3F59">
        <w:t xml:space="preserve"> </w:t>
      </w:r>
      <w:r w:rsidR="007F0572" w:rsidRPr="006B3F59">
        <w:t>neověřena – do</w:t>
      </w:r>
      <w:r w:rsidRPr="006B3F59">
        <w:t xml:space="preserve"> kanalizace). Nadlimitní znečištění zemin je vázáno na polohu navážkového materiálu mezi dnem nádrží a základovou betonovou deskou, tj. přibližně od hloubky 2,5m do hloubky 4 m pod terénem.</w:t>
      </w:r>
    </w:p>
    <w:p w14:paraId="0D11927A" w14:textId="079FC848" w:rsidR="004C6EEE" w:rsidRPr="006B3F59" w:rsidRDefault="006A3B2D" w:rsidP="004C6EEE">
      <w:r w:rsidRPr="006B3F59">
        <w:t>Kompletní s</w:t>
      </w:r>
      <w:r w:rsidR="004C6EEE" w:rsidRPr="006B3F59">
        <w:t xml:space="preserve">anace prostoru ČS PHM K-Petrol Praha </w:t>
      </w:r>
      <w:r w:rsidR="007F0572" w:rsidRPr="006B3F59">
        <w:t>6 – Suchdol</w:t>
      </w:r>
      <w:r w:rsidR="004C6EEE" w:rsidRPr="006B3F59">
        <w:t xml:space="preserve"> proběhla v roce 1998.</w:t>
      </w:r>
    </w:p>
    <w:p w14:paraId="3E931ABD" w14:textId="1314E7BA" w:rsidR="004C6EEE" w:rsidRPr="006B3F59" w:rsidRDefault="004C6EEE" w:rsidP="004C6EEE">
      <w:r w:rsidRPr="006B3F59">
        <w:rPr>
          <w:noProof/>
        </w:rPr>
        <w:drawing>
          <wp:inline distT="0" distB="0" distL="0" distR="0" wp14:anchorId="240A76B5" wp14:editId="2389987C">
            <wp:extent cx="6120130" cy="2975610"/>
            <wp:effectExtent l="0" t="0" r="0" b="0"/>
            <wp:docPr id="78" name="Obrázek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120130" cy="2975610"/>
                    </a:xfrm>
                    <a:prstGeom prst="rect">
                      <a:avLst/>
                    </a:prstGeom>
                  </pic:spPr>
                </pic:pic>
              </a:graphicData>
            </a:graphic>
          </wp:inline>
        </w:drawing>
      </w:r>
    </w:p>
    <w:p w14:paraId="2C7589D2" w14:textId="505049F9" w:rsidR="004C6EEE" w:rsidRPr="006B3F59" w:rsidRDefault="004C6EEE" w:rsidP="004C6EEE">
      <w:pPr>
        <w:pStyle w:val="Obrnadpis"/>
      </w:pPr>
      <w:bookmarkStart w:id="109" w:name="_Toc138848210"/>
      <w:r w:rsidRPr="006B3F59">
        <w:t>Evidovaná lokalita s</w:t>
      </w:r>
      <w:r w:rsidR="009B4A0C">
        <w:t>a</w:t>
      </w:r>
      <w:r w:rsidRPr="006B3F59">
        <w:t>nované staré ekologické zátěže dle SEKM, cit. 11. 4.2023</w:t>
      </w:r>
      <w:bookmarkEnd w:id="109"/>
    </w:p>
    <w:p w14:paraId="343509DE" w14:textId="5AADE9D2" w:rsidR="004C6EEE" w:rsidRPr="006B3F59" w:rsidRDefault="004C6EEE" w:rsidP="004C6EEE">
      <w:pPr>
        <w:rPr>
          <w:lang w:eastAsia="cs-CZ"/>
        </w:rPr>
      </w:pPr>
      <w:r w:rsidRPr="006B3F59">
        <w:rPr>
          <w:noProof/>
          <w:lang w:eastAsia="cs-CZ"/>
        </w:rPr>
        <w:drawing>
          <wp:inline distT="0" distB="0" distL="0" distR="0" wp14:anchorId="5CEFFEB2" wp14:editId="475AB6D7">
            <wp:extent cx="5580185" cy="4070212"/>
            <wp:effectExtent l="0" t="0" r="0" b="0"/>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585668" cy="4074211"/>
                    </a:xfrm>
                    <a:prstGeom prst="rect">
                      <a:avLst/>
                    </a:prstGeom>
                  </pic:spPr>
                </pic:pic>
              </a:graphicData>
            </a:graphic>
          </wp:inline>
        </w:drawing>
      </w:r>
    </w:p>
    <w:p w14:paraId="71C8558C" w14:textId="0D1BA7FD" w:rsidR="004C6EEE" w:rsidRPr="006B3F59" w:rsidRDefault="004C6EEE" w:rsidP="004C6EEE">
      <w:pPr>
        <w:pStyle w:val="Obrnadpis"/>
      </w:pPr>
      <w:bookmarkStart w:id="110" w:name="_Toc138848211"/>
      <w:r w:rsidRPr="006B3F59">
        <w:t>Pohled na lokality ČS PHM Praha - Suchdol</w:t>
      </w:r>
      <w:bookmarkEnd w:id="110"/>
    </w:p>
    <w:p w14:paraId="4E3B835C" w14:textId="4CB395FC" w:rsidR="00794578" w:rsidRPr="006B3F59" w:rsidRDefault="004A5172" w:rsidP="00A67277">
      <w:pPr>
        <w:pStyle w:val="Nadpis3"/>
      </w:pPr>
      <w:bookmarkStart w:id="111" w:name="_Toc138848109"/>
      <w:r w:rsidRPr="006B3F59">
        <w:lastRenderedPageBreak/>
        <w:t>Voda</w:t>
      </w:r>
      <w:bookmarkEnd w:id="100"/>
      <w:bookmarkEnd w:id="105"/>
      <w:bookmarkEnd w:id="111"/>
    </w:p>
    <w:p w14:paraId="4D68BC5F" w14:textId="3A08EB3C" w:rsidR="00305C36" w:rsidRPr="006B3F59" w:rsidRDefault="00305C36" w:rsidP="006A3B2D">
      <w:pPr>
        <w:pStyle w:val="Podnadpis2"/>
      </w:pPr>
      <w:r w:rsidRPr="006B3F59">
        <w:t>Hydrologické poměry</w:t>
      </w:r>
    </w:p>
    <w:p w14:paraId="5AAA8014" w14:textId="667BA06B" w:rsidR="00AC5717" w:rsidRPr="006B3F59" w:rsidRDefault="00AC5717" w:rsidP="00AC5717">
      <w:r w:rsidRPr="006B3F59">
        <w:t xml:space="preserve">Hydrologie širší oblasti je výrazně ovlivňována hlavním sběračem všech povrchových vod z </w:t>
      </w:r>
      <w:r w:rsidR="003577E4" w:rsidRPr="006B3F59">
        <w:t>území – řekou</w:t>
      </w:r>
      <w:r w:rsidRPr="006B3F59">
        <w:t xml:space="preserve"> Vltavou. </w:t>
      </w:r>
      <w:r w:rsidR="00372712" w:rsidRPr="006B3F59">
        <w:t xml:space="preserve">Z hydrologického hlediska náleží zájmové území k povodí Vltavy, dílčí povodí Dolní Vltava, povodí 3. řádu Vltava od Rokytky po ústí č. 1-12-02. </w:t>
      </w:r>
    </w:p>
    <w:p w14:paraId="5C489BEE" w14:textId="0ABC269D" w:rsidR="00372712" w:rsidRPr="006B3F59" w:rsidRDefault="00372712" w:rsidP="00AC5717">
      <w:r w:rsidRPr="006B3F59">
        <w:t>Část Suchdola a Sedlce je odvodňována drobnými depresemi přímo do Vltavy. Křížení těchto občasných vodotečí s železniční tratí ČD je kamennými klenbovými mostky, křížení s levobřežní Roztockou ulicí trubními propustky. Vzhledem k charakteru podloží se v dotčeném dílčím povodí Vltavy vytvořily erozní činností řeky hluboká údolí, lemovaná prudkými skalnatými srázy rozčleněnými řadou bočních roklí.</w:t>
      </w:r>
    </w:p>
    <w:p w14:paraId="5CBF6471" w14:textId="0E6C3246" w:rsidR="000606B8" w:rsidRPr="006B3F59" w:rsidRDefault="000606B8" w:rsidP="000606B8">
      <w:r w:rsidRPr="006B3F59">
        <w:t>Území dotčené posuzovanou změnou nezasahuje žádné ochranné pásmo vodního zdroje ve smyslu zákona č. 254/2001 Sb., o vodách, ve znění pozdějších předpisů</w:t>
      </w:r>
      <w:r w:rsidR="009C5210" w:rsidRPr="006B3F59">
        <w:t>.</w:t>
      </w:r>
      <w:r w:rsidRPr="006B3F59">
        <w:t xml:space="preserve"> Dotčená území nejsou součástí chráněné oblasti přirozené akumulace vod (CHOPAV). </w:t>
      </w:r>
      <w:r w:rsidR="00626279" w:rsidRPr="006B3F59">
        <w:t xml:space="preserve">Dotčené území se nachází v záplavovém území Vltavy, určeném k ochraně zajišťované městem pro Q2002, kde protipovodňová opatření jsou již realizována. </w:t>
      </w:r>
      <w:r w:rsidRPr="006B3F59">
        <w:t xml:space="preserve">Žádná z provedených úprav vymezení ploch s rozdílným způsobem využití neznamená dotčení povrchových ani podzemních vodních útvarů. Nedojde k budování rozsáhlých podzemních prostor ani k nepřiměřenému navýšení rozsahu zastavitelných ploch a snížení retenční schopnosti krajiny. </w:t>
      </w:r>
    </w:p>
    <w:p w14:paraId="7DBACB5F" w14:textId="35DF418B" w:rsidR="00372712" w:rsidRPr="006B3F59" w:rsidRDefault="00372712" w:rsidP="000606B8">
      <w:r w:rsidRPr="006B3F59">
        <w:t>Celé zájmové území je vymezeno jako zranitelná oblast dle nařízení vlády č. 262/2012 Sb., o stanovení zranitelných oblastí a akčním programu (v platném znění). Zranitelné oblasti jsou územně vymezeny katastrálními územími a akční program se vztahuje na fyzické nebo právnické osoby, které provozují zemědělskou výrobu a jsou zapsány do evidence podle zákona o zemědělství (v platném znění). Ve zranitelných oblastech se vyskytují vody znečištěné dusičnany ze zemědělství. Zranitelné oblasti jsou stanoveny v k.ú. Suchdol i Sedlec.</w:t>
      </w:r>
      <w:r w:rsidR="002C5BB0" w:rsidRPr="006B3F59">
        <w:t xml:space="preserve"> Posuzovaná změna nenavrhuje zemědělské využití území.</w:t>
      </w:r>
    </w:p>
    <w:p w14:paraId="659C27D2" w14:textId="286D9634" w:rsidR="00372712" w:rsidRPr="006B3F59" w:rsidRDefault="00372712" w:rsidP="000606B8">
      <w:r w:rsidRPr="006B3F59">
        <w:t>Suchdol a Sedlec jsou zásobovány směsí vody ze Želivky a z vodárny Káraný.</w:t>
      </w:r>
    </w:p>
    <w:p w14:paraId="73922149" w14:textId="1DE2E6F0" w:rsidR="00305C36" w:rsidRPr="006B3F59" w:rsidRDefault="00305C36" w:rsidP="006A3B2D">
      <w:pPr>
        <w:pStyle w:val="Podnadpis2"/>
      </w:pPr>
      <w:r w:rsidRPr="006B3F59">
        <w:t>Hydrogeologické poměry</w:t>
      </w:r>
    </w:p>
    <w:p w14:paraId="7E621D04" w14:textId="17EB131F" w:rsidR="00305C36" w:rsidRPr="006B3F59" w:rsidRDefault="00305C36" w:rsidP="000606B8">
      <w:r w:rsidRPr="006B3F59">
        <w:t xml:space="preserve">Horniny barrandienského svrchního proterozoika jsou dobře zpevněné, tvrdé, rozpukané hluboko zasahujícími puklinami. Podzemní voda cirkuluje jen v řídké síti otevřených puklin a nevytváří souvislou hladinu. S výjimkou mělkých terénních depresí a parovinných plošin zapadá podzemní voda hluboko pod povrch území, většinou do hloubky přes 10 m. Všeobecně jsou horniny barrandienského svrchního proterozoika na podzemní vodu velmi chudé; dosahované vydatnosti ze studní jsou velmi </w:t>
      </w:r>
      <w:r w:rsidR="007F0572" w:rsidRPr="006B3F59">
        <w:t>nízké – v</w:t>
      </w:r>
      <w:r w:rsidRPr="006B3F59">
        <w:t xml:space="preserve"> setinách až tisícinách l.s</w:t>
      </w:r>
      <w:r w:rsidRPr="006B3F59">
        <w:rPr>
          <w:vertAlign w:val="superscript"/>
        </w:rPr>
        <w:t>-</w:t>
      </w:r>
      <w:r w:rsidR="007F0572" w:rsidRPr="006B3F59">
        <w:rPr>
          <w:vertAlign w:val="superscript"/>
        </w:rPr>
        <w:t>1</w:t>
      </w:r>
      <w:r w:rsidR="007F0572" w:rsidRPr="006B3F59">
        <w:t>.</w:t>
      </w:r>
      <w:r w:rsidRPr="006B3F59">
        <w:t xml:space="preserve"> Vydatnější prameny se ojediněle vyskytují v hlubokých údolích. </w:t>
      </w:r>
    </w:p>
    <w:p w14:paraId="24E2408F" w14:textId="004AD4C2" w:rsidR="00372712" w:rsidRPr="006B3F59" w:rsidRDefault="00372712" w:rsidP="000606B8">
      <w:r w:rsidRPr="006B3F59">
        <w:t>Řešené území je situováno uvnitř jednoho útvaru podzemních vod základní vrstvy Proterozoikum a paleozoikum v povodí přítoků Vltavy, ID 62500, jehož chemický stav je hodnocen jako nedosažení dobrého stavu, a kvantitativní stav jako dobrý. Svrchní útvary ani hlubinné útvary podzemních vod nejsou v dotčeném území vymezeny.</w:t>
      </w:r>
    </w:p>
    <w:p w14:paraId="0D1283EE" w14:textId="61635BE8" w:rsidR="00BC433E" w:rsidRPr="006B3F59" w:rsidRDefault="00AC5717" w:rsidP="00AC5717">
      <w:r w:rsidRPr="006B3F59">
        <w:t xml:space="preserve">Celé území je z hlediska hydraulické prostupnosti poměrně chudé. Skalní horniny jsou ve větších hloubkách dokonale zpevněné bez průlinové propustnosti. Pukliny jsou většinou těsně sepnuté nebo vyplněné. Pouze v mocnějších polohách drob či ordovických křemenců lze očekávat pohyb podzemní vody. Jako velmi chudý na podzemní vodu lze hodnotit i kolektor v zóně přípovrchového zvodnění. V místech, kde jsou matečné horniny postiženy fosilním zvětráním, se podzemní voda vyskytuje mělko pod povrchem, neboť vzniklá jílová rezidua jsou nepropustná. </w:t>
      </w:r>
    </w:p>
    <w:p w14:paraId="5A005F3F" w14:textId="0008CBB7" w:rsidR="00AC5717" w:rsidRPr="006B3F59" w:rsidRDefault="00BC433E" w:rsidP="00AC5717">
      <w:r w:rsidRPr="006B3F59">
        <w:t>Zájmové území je poměrně chudé na podzemní vody. V značné části území se vyskytují špatně propustné proterozoické a spodnoturonské horniny, v nichž se nevytvářejí větší akumulace podzemní vody. Svrchní části uvedených sedimentů jílovitě zvětrávají. Většina povrchu je překryta velmi špatně propustnými až prakticky nepropustnými sprašovými hlínami a sprašemi, které omezují vsak atmosférických srážek do podzemí. Vlivem špatně propustných pokryvných útvarů se zejména v křídových horninách vytvářejí pouze omezené akumulace podzemních vod. V deluviofluviálních uloženinách výplně splachových depresí se vytváří relativně samostatné obzory mělké podzemní vody s hladinou kolem 4 m pod povrchem území, např. v prostoru Suchdola. Nízká propustnost eolických sedimentů neumožňuje větší dotace vod do podloží ani v období zvýšených atmosférických srážek.</w:t>
      </w:r>
      <w:r w:rsidR="00AC5717" w:rsidRPr="006B3F59">
        <w:t xml:space="preserve"> </w:t>
      </w:r>
    </w:p>
    <w:p w14:paraId="3E041C7C" w14:textId="7111766E" w:rsidR="00BC433E" w:rsidRPr="006B3F59" w:rsidRDefault="00BC433E" w:rsidP="00AC5717">
      <w:r w:rsidRPr="006B3F59">
        <w:t>V zájmovém území se nachází podzemní vody velmi až mimořádně tvrdé, slabě alkalické reakce, základní typ Ca-SO</w:t>
      </w:r>
      <w:r w:rsidRPr="006B3F59">
        <w:rPr>
          <w:vertAlign w:val="subscript"/>
        </w:rPr>
        <w:t>4</w:t>
      </w:r>
      <w:r w:rsidRPr="006B3F59">
        <w:t>-HCO</w:t>
      </w:r>
      <w:r w:rsidRPr="006B3F59">
        <w:rPr>
          <w:vertAlign w:val="subscript"/>
        </w:rPr>
        <w:t>3</w:t>
      </w:r>
      <w:r w:rsidRPr="006B3F59">
        <w:t>.</w:t>
      </w:r>
    </w:p>
    <w:p w14:paraId="6564C2DA" w14:textId="3F6FC5B7" w:rsidR="00BC433E" w:rsidRPr="006B3F59" w:rsidRDefault="00BC433E" w:rsidP="00AC5717">
      <w:r w:rsidRPr="006B3F59">
        <w:lastRenderedPageBreak/>
        <w:t>U Kozích hřbetů, mimo řešené území, se nachází Ochranné pásmo 1. a 2. stupně vodního zdroje Horoměřice-Suchdol. Bylo stanoveno Odborem vodního a lesního hospodářství a zemědělství ONV Praha západ, rozhodnutím ze dne 15.8.1990, č.j. Vod.235-4576/90/Čí</w:t>
      </w:r>
    </w:p>
    <w:p w14:paraId="16965D1C" w14:textId="46D3BF6B" w:rsidR="00AC5717" w:rsidRPr="006B3F59" w:rsidRDefault="00FA0753" w:rsidP="00AC5717">
      <w:pPr>
        <w:spacing w:before="60"/>
        <w:rPr>
          <w:sz w:val="16"/>
          <w:szCs w:val="16"/>
        </w:rPr>
      </w:pPr>
      <w:r w:rsidRPr="006B3F59">
        <w:rPr>
          <w:noProof/>
        </w:rPr>
        <w:drawing>
          <wp:anchor distT="0" distB="0" distL="114300" distR="114300" simplePos="0" relativeHeight="251653120" behindDoc="0" locked="0" layoutInCell="1" allowOverlap="1" wp14:anchorId="6CF24C84" wp14:editId="326F548C">
            <wp:simplePos x="0" y="0"/>
            <wp:positionH relativeFrom="column">
              <wp:posOffset>4663440</wp:posOffset>
            </wp:positionH>
            <wp:positionV relativeFrom="paragraph">
              <wp:posOffset>168547</wp:posOffset>
            </wp:positionV>
            <wp:extent cx="1447200" cy="482400"/>
            <wp:effectExtent l="0" t="0" r="0" b="0"/>
            <wp:wrapNone/>
            <wp:docPr id="79" name="Obráze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extLst>
                        <a:ext uri="{28A0092B-C50C-407E-A947-70E740481C1C}">
                          <a14:useLocalDpi xmlns:a14="http://schemas.microsoft.com/office/drawing/2010/main" val="0"/>
                        </a:ext>
                      </a:extLst>
                    </a:blip>
                    <a:stretch>
                      <a:fillRect/>
                    </a:stretch>
                  </pic:blipFill>
                  <pic:spPr>
                    <a:xfrm>
                      <a:off x="0" y="0"/>
                      <a:ext cx="1447200" cy="482400"/>
                    </a:xfrm>
                    <a:prstGeom prst="rect">
                      <a:avLst/>
                    </a:prstGeom>
                  </pic:spPr>
                </pic:pic>
              </a:graphicData>
            </a:graphic>
            <wp14:sizeRelH relativeFrom="margin">
              <wp14:pctWidth>0</wp14:pctWidth>
            </wp14:sizeRelH>
            <wp14:sizeRelV relativeFrom="margin">
              <wp14:pctHeight>0</wp14:pctHeight>
            </wp14:sizeRelV>
          </wp:anchor>
        </w:drawing>
      </w:r>
      <w:r w:rsidR="002C5BB0" w:rsidRPr="006B3F59">
        <w:rPr>
          <w:sz w:val="16"/>
          <w:szCs w:val="16"/>
        </w:rPr>
        <w:t>.</w:t>
      </w:r>
      <w:r w:rsidR="009E2559" w:rsidRPr="006B3F59">
        <w:rPr>
          <w:noProof/>
          <w:sz w:val="16"/>
          <w:szCs w:val="16"/>
        </w:rPr>
        <w:drawing>
          <wp:inline distT="0" distB="0" distL="0" distR="0" wp14:anchorId="2485B86F" wp14:editId="5066C524">
            <wp:extent cx="6120130" cy="6747510"/>
            <wp:effectExtent l="0" t="0" r="0" b="0"/>
            <wp:docPr id="40397391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3973913" name=""/>
                    <pic:cNvPicPr/>
                  </pic:nvPicPr>
                  <pic:blipFill>
                    <a:blip r:embed="rId76"/>
                    <a:stretch>
                      <a:fillRect/>
                    </a:stretch>
                  </pic:blipFill>
                  <pic:spPr>
                    <a:xfrm>
                      <a:off x="0" y="0"/>
                      <a:ext cx="6120130" cy="6747510"/>
                    </a:xfrm>
                    <a:prstGeom prst="rect">
                      <a:avLst/>
                    </a:prstGeom>
                  </pic:spPr>
                </pic:pic>
              </a:graphicData>
            </a:graphic>
          </wp:inline>
        </w:drawing>
      </w:r>
    </w:p>
    <w:p w14:paraId="32D3759D" w14:textId="04FBD556" w:rsidR="00AC5717" w:rsidRPr="006B3F59" w:rsidRDefault="00AC5717" w:rsidP="00AC5717">
      <w:pPr>
        <w:pStyle w:val="Obrnadpis"/>
      </w:pPr>
      <w:bookmarkStart w:id="112" w:name="_Toc138848212"/>
      <w:r w:rsidRPr="006B3F59">
        <w:t>Záplavové území v řešeném území, zdroj dat VVUTGM prostřednictvím Geoportál INSPIRE</w:t>
      </w:r>
      <w:r w:rsidR="00FA0753" w:rsidRPr="006B3F59">
        <w:t>, citováno 10.</w:t>
      </w:r>
      <w:r w:rsidR="009E2559" w:rsidRPr="006B3F59">
        <w:t>5</w:t>
      </w:r>
      <w:r w:rsidR="00FA0753" w:rsidRPr="006B3F59">
        <w:t>.202</w:t>
      </w:r>
      <w:r w:rsidR="009E2559" w:rsidRPr="006B3F59">
        <w:t>3</w:t>
      </w:r>
      <w:bookmarkEnd w:id="112"/>
    </w:p>
    <w:p w14:paraId="797ADA9B" w14:textId="1272625D" w:rsidR="00AC5717" w:rsidRPr="006B3F59" w:rsidRDefault="004A5172" w:rsidP="00AC5717">
      <w:pPr>
        <w:pStyle w:val="Nadpis3"/>
      </w:pPr>
      <w:bookmarkStart w:id="113" w:name="_Toc138848110"/>
      <w:r w:rsidRPr="006B3F59">
        <w:t>Ovzduší</w:t>
      </w:r>
      <w:bookmarkEnd w:id="113"/>
    </w:p>
    <w:p w14:paraId="606762D1" w14:textId="2DF7DCD8" w:rsidR="00FD316F" w:rsidRPr="006B3F59" w:rsidRDefault="00FD316F" w:rsidP="000606B8">
      <w:r w:rsidRPr="006B3F59">
        <w:t xml:space="preserve">Dle Modelového hodnocení kvality ovzduší na území hl. m. Prahy – Aktualizace 2020 je možno konstatovat, že v řešeném území vypočtené hodnoty hlavních sledovaných polutantů s bezpečnou rezervou plní platné imisní limity, když dosahují maximálně 50 % jejich hodnoty. Výjimku představuje pouze benzo[a]pyren, u kterého se v předmětném území vypočtená průměrná roční koncentrace pohybuje okolo hodnoty imisního limitu. Znečištění ovzduší benzo[a]pyrenem patří k hlavním problémům zajištění kvality ovzduší nejen v Praze, </w:t>
      </w:r>
      <w:r w:rsidRPr="006B3F59">
        <w:lastRenderedPageBreak/>
        <w:t>ale i v celé České republice. Stávající kvalitu ovzduší je v řešeném území možno hodnotit jako nadprůměrnou, podle průměrného ročního indexu kvality ovzduší patří předmětné území do nejlepší kategorie. Pro předmětné území platí stejně jako pro celé území hlavního města, že zlepšující se dlouhodobý trend kvality ovzduší je nevyvratitelným faktem, stejně jako zlepšující se imisní charakteristiky vozového parku, umocněné v současnosti tlakem na rozvoj elektromobility. Do budoucna tak nelze očekávat zhoršení kvality ovzduší v důsledku emisí z již existujících mobilních zdrojů. Možné negativní vlivy související s realizací Pražského okruhu budou eliminovány s využitím odpovídajících kompenzačních opatření.</w:t>
      </w:r>
    </w:p>
    <w:p w14:paraId="2C273B42" w14:textId="3163E57B" w:rsidR="000606B8" w:rsidRPr="006B3F59" w:rsidRDefault="000606B8" w:rsidP="000606B8">
      <w:r w:rsidRPr="006B3F59">
        <w:t>Základním aktuálním koncepčním dokumentem hlavního města Prahy v oblasti kvality ovzduší je v roce 2016 vydaný Program zlepšování kvality ovzduší aglomerace Praha CZ01, aktualizovaný v roce 2020.</w:t>
      </w:r>
    </w:p>
    <w:p w14:paraId="78191BCE" w14:textId="77777777" w:rsidR="000606B8" w:rsidRPr="006B3F59" w:rsidRDefault="000606B8" w:rsidP="000606B8">
      <w:r w:rsidRPr="006B3F59">
        <w:t xml:space="preserve">Při hodnocení stávající úrovně znečištění v předmětné lokalitě vycházíme z map úrovní znečištění konstruovaných v síti 1 x 1 km, ve formátu shapefile (.shp ESRI). Tyto mapy zveřejňuje ministerstvo na internetových stránkách. Tyto mapy obsahují v každém čtverci hodnotu klouzavého průměru koncentrace pro všechny znečišťující látky za předchozích 5 kalendářních let, které mají stanoven roční imisní limit. Plošné mapy (v síti 1 x 1 km) pětiletých průměrných koncentrací znečišťujících látek, které mají stanoven imisní limit pro roční průměrnou koncentraci, jsou spočítány v GIS z plošných map za jednotlivé roky. Mapy nejsou konstruovány z vypočteného průměru ročních průměrných koncentrací na jednotlivých stanicích za pět předchozích let, a to zejména proto, že ne každý rok mají všechny stanice dostatek platných měření pro výpočet roční průměrné koncentrace a dále proto, že v průběhu let nastávají změny v sítích měřicích stanic. </w:t>
      </w:r>
    </w:p>
    <w:p w14:paraId="6F72F482" w14:textId="34A46FC9" w:rsidR="00585C9B" w:rsidRDefault="000606B8" w:rsidP="000606B8">
      <w:r w:rsidRPr="006B3F59">
        <w:t xml:space="preserve">Dle map pětiletých průměrů pozaďové imisní </w:t>
      </w:r>
      <w:r w:rsidR="003577E4" w:rsidRPr="006B3F59">
        <w:t>zátěže (</w:t>
      </w:r>
      <w:r w:rsidR="00430326" w:rsidRPr="006B3F59">
        <w:t>2017-2021</w:t>
      </w:r>
      <w:r w:rsidRPr="006B3F59">
        <w:t xml:space="preserve">) nedochází v pětiletém průměru v území, řešeném změnou územního plánu k překračování imisních limitů sledovaných látek, ze kterých se vychází při hodnocení kvality ovzduší. (zdroj: CHMÚ Praha – </w:t>
      </w:r>
      <w:hyperlink r:id="rId77" w:history="1">
        <w:r w:rsidR="00585C9B" w:rsidRPr="00EC61A3">
          <w:rPr>
            <w:rStyle w:val="Hypertextovodkaz"/>
          </w:rPr>
          <w:t>www.ozko.cz</w:t>
        </w:r>
      </w:hyperlink>
      <w:r w:rsidRPr="006B3F59">
        <w:t>).</w:t>
      </w:r>
      <w:r w:rsidR="00585C9B">
        <w:br w:type="page"/>
      </w:r>
    </w:p>
    <w:p w14:paraId="32C579D1" w14:textId="77777777" w:rsidR="00585C9B" w:rsidRPr="006B3F59" w:rsidRDefault="00585C9B" w:rsidP="000606B8"/>
    <w:tbl>
      <w:tblPr>
        <w:tblW w:w="5012"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39"/>
        <w:gridCol w:w="3277"/>
        <w:gridCol w:w="3235"/>
      </w:tblGrid>
      <w:tr w:rsidR="00AC5717" w:rsidRPr="006B3F59" w14:paraId="79258E20" w14:textId="77777777" w:rsidTr="00AC5717">
        <w:trPr>
          <w:cantSplit/>
          <w:trHeight w:val="171"/>
        </w:trPr>
        <w:tc>
          <w:tcPr>
            <w:tcW w:w="1626" w:type="pct"/>
            <w:tcBorders>
              <w:bottom w:val="single" w:sz="4" w:space="0" w:color="auto"/>
            </w:tcBorders>
            <w:shd w:val="clear" w:color="auto" w:fill="C6D9F1" w:themeFill="text2" w:themeFillTint="33"/>
            <w:vAlign w:val="center"/>
          </w:tcPr>
          <w:p w14:paraId="2A9D40FA" w14:textId="30D45959" w:rsidR="00AC5717" w:rsidRPr="006B3F59" w:rsidRDefault="007F68CD" w:rsidP="00617A2C">
            <w:pPr>
              <w:spacing w:before="60"/>
              <w:rPr>
                <w:sz w:val="16"/>
                <w:szCs w:val="16"/>
                <w:u w:val="single"/>
              </w:rPr>
            </w:pPr>
            <w:bookmarkStart w:id="114" w:name="_Toc531606247"/>
            <w:r w:rsidRPr="006B3F59">
              <w:rPr>
                <w:noProof/>
                <w:sz w:val="16"/>
                <w:szCs w:val="16"/>
                <w:u w:val="single"/>
              </w:rPr>
              <w:drawing>
                <wp:inline distT="0" distB="0" distL="0" distR="0" wp14:anchorId="5D748445" wp14:editId="5A033C35">
                  <wp:extent cx="1856105" cy="1992630"/>
                  <wp:effectExtent l="0" t="0" r="0" b="7620"/>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1856105" cy="1992630"/>
                          </a:xfrm>
                          <a:prstGeom prst="rect">
                            <a:avLst/>
                          </a:prstGeom>
                        </pic:spPr>
                      </pic:pic>
                    </a:graphicData>
                  </a:graphic>
                </wp:inline>
              </w:drawing>
            </w:r>
          </w:p>
        </w:tc>
        <w:tc>
          <w:tcPr>
            <w:tcW w:w="1698" w:type="pct"/>
            <w:tcBorders>
              <w:bottom w:val="single" w:sz="4" w:space="0" w:color="auto"/>
            </w:tcBorders>
            <w:shd w:val="clear" w:color="auto" w:fill="C6D9F1" w:themeFill="text2" w:themeFillTint="33"/>
            <w:vAlign w:val="center"/>
          </w:tcPr>
          <w:p w14:paraId="6DD290F5" w14:textId="34933F6E" w:rsidR="00AC5717" w:rsidRPr="006B3F59" w:rsidRDefault="007F68CD" w:rsidP="00617A2C">
            <w:pPr>
              <w:spacing w:before="60"/>
              <w:rPr>
                <w:sz w:val="16"/>
                <w:szCs w:val="16"/>
                <w:u w:val="single"/>
              </w:rPr>
            </w:pPr>
            <w:r w:rsidRPr="006B3F59">
              <w:rPr>
                <w:noProof/>
                <w:sz w:val="16"/>
                <w:szCs w:val="16"/>
                <w:u w:val="single"/>
              </w:rPr>
              <w:drawing>
                <wp:inline distT="0" distB="0" distL="0" distR="0" wp14:anchorId="0FF53116" wp14:editId="4C68CF77">
                  <wp:extent cx="1943735" cy="2046605"/>
                  <wp:effectExtent l="0" t="0" r="0" b="0"/>
                  <wp:docPr id="85" name="Obrázek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1943735" cy="2046605"/>
                          </a:xfrm>
                          <a:prstGeom prst="rect">
                            <a:avLst/>
                          </a:prstGeom>
                        </pic:spPr>
                      </pic:pic>
                    </a:graphicData>
                  </a:graphic>
                </wp:inline>
              </w:drawing>
            </w:r>
          </w:p>
        </w:tc>
        <w:tc>
          <w:tcPr>
            <w:tcW w:w="1676" w:type="pct"/>
            <w:tcBorders>
              <w:bottom w:val="single" w:sz="4" w:space="0" w:color="auto"/>
            </w:tcBorders>
            <w:shd w:val="clear" w:color="auto" w:fill="C6D9F1" w:themeFill="text2" w:themeFillTint="33"/>
            <w:vAlign w:val="center"/>
          </w:tcPr>
          <w:p w14:paraId="420FF48D" w14:textId="480AA539" w:rsidR="00AC5717" w:rsidRPr="006B3F59" w:rsidRDefault="007F68CD" w:rsidP="00617A2C">
            <w:pPr>
              <w:spacing w:before="60"/>
              <w:rPr>
                <w:sz w:val="16"/>
                <w:szCs w:val="16"/>
                <w:u w:val="single"/>
              </w:rPr>
            </w:pPr>
            <w:r w:rsidRPr="006B3F59">
              <w:rPr>
                <w:noProof/>
                <w:sz w:val="16"/>
                <w:szCs w:val="16"/>
                <w:u w:val="single"/>
              </w:rPr>
              <w:drawing>
                <wp:inline distT="0" distB="0" distL="0" distR="0" wp14:anchorId="5B71632F" wp14:editId="27F6D5FF">
                  <wp:extent cx="1917065" cy="2061845"/>
                  <wp:effectExtent l="0" t="0" r="6985" b="0"/>
                  <wp:docPr id="86" name="Obrázek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1917065" cy="2061845"/>
                          </a:xfrm>
                          <a:prstGeom prst="rect">
                            <a:avLst/>
                          </a:prstGeom>
                        </pic:spPr>
                      </pic:pic>
                    </a:graphicData>
                  </a:graphic>
                </wp:inline>
              </w:drawing>
            </w:r>
          </w:p>
        </w:tc>
      </w:tr>
      <w:tr w:rsidR="00AC5717" w:rsidRPr="006B3F59" w14:paraId="3B0C795E" w14:textId="77777777" w:rsidTr="00AC5717">
        <w:trPr>
          <w:cantSplit/>
          <w:trHeight w:val="171"/>
        </w:trPr>
        <w:tc>
          <w:tcPr>
            <w:tcW w:w="1626" w:type="pct"/>
            <w:tcBorders>
              <w:bottom w:val="single" w:sz="4" w:space="0" w:color="auto"/>
            </w:tcBorders>
            <w:shd w:val="clear" w:color="auto" w:fill="C6D9F1" w:themeFill="text2" w:themeFillTint="33"/>
          </w:tcPr>
          <w:p w14:paraId="30CA57B7" w14:textId="48B201BE" w:rsidR="00AC5717" w:rsidRPr="006B3F59" w:rsidRDefault="00AC5717" w:rsidP="00617A2C">
            <w:pPr>
              <w:pStyle w:val="Styl1"/>
              <w:tabs>
                <w:tab w:val="clear" w:pos="680"/>
                <w:tab w:val="clear" w:pos="709"/>
                <w:tab w:val="num" w:pos="32"/>
              </w:tabs>
              <w:ind w:left="32" w:hanging="32"/>
              <w:rPr>
                <w:sz w:val="16"/>
                <w:szCs w:val="16"/>
                <w:u w:val="single"/>
              </w:rPr>
            </w:pPr>
            <w:r w:rsidRPr="006B3F59">
              <w:rPr>
                <w:sz w:val="16"/>
                <w:szCs w:val="16"/>
              </w:rPr>
              <w:t>Mapa pětiletých klouzavých průměrů (201</w:t>
            </w:r>
            <w:r w:rsidR="00430326" w:rsidRPr="006B3F59">
              <w:rPr>
                <w:sz w:val="16"/>
                <w:szCs w:val="16"/>
              </w:rPr>
              <w:t>7</w:t>
            </w:r>
            <w:r w:rsidRPr="006B3F59">
              <w:rPr>
                <w:sz w:val="16"/>
                <w:szCs w:val="16"/>
              </w:rPr>
              <w:t>-20</w:t>
            </w:r>
            <w:r w:rsidR="00430326" w:rsidRPr="006B3F59">
              <w:rPr>
                <w:sz w:val="16"/>
                <w:szCs w:val="16"/>
              </w:rPr>
              <w:t>21</w:t>
            </w:r>
            <w:r w:rsidRPr="006B3F59">
              <w:rPr>
                <w:sz w:val="16"/>
                <w:szCs w:val="16"/>
              </w:rPr>
              <w:t>) – průměrná roční koncentrace NO</w:t>
            </w:r>
            <w:r w:rsidRPr="006B3F59">
              <w:rPr>
                <w:sz w:val="16"/>
                <w:szCs w:val="16"/>
                <w:vertAlign w:val="subscript"/>
              </w:rPr>
              <w:t>2</w:t>
            </w:r>
            <w:r w:rsidRPr="006B3F59">
              <w:rPr>
                <w:sz w:val="16"/>
                <w:szCs w:val="16"/>
              </w:rPr>
              <w:t xml:space="preserve"> (zdroj: ČHMU Praha, </w:t>
            </w:r>
            <w:hyperlink r:id="rId81" w:history="1">
              <w:r w:rsidR="00FA0753" w:rsidRPr="006B3F59">
                <w:rPr>
                  <w:rStyle w:val="Hypertextovodkaz"/>
                  <w:sz w:val="16"/>
                  <w:szCs w:val="16"/>
                </w:rPr>
                <w:t>www.ozko.cz</w:t>
              </w:r>
            </w:hyperlink>
            <w:r w:rsidRPr="006B3F59">
              <w:rPr>
                <w:sz w:val="16"/>
                <w:szCs w:val="16"/>
              </w:rPr>
              <w:t>)</w:t>
            </w:r>
            <w:r w:rsidR="00FA0753" w:rsidRPr="006B3F59">
              <w:rPr>
                <w:sz w:val="16"/>
                <w:szCs w:val="16"/>
              </w:rPr>
              <w:t>, cit. 15.</w:t>
            </w:r>
            <w:r w:rsidR="00430326" w:rsidRPr="006B3F59">
              <w:rPr>
                <w:sz w:val="16"/>
                <w:szCs w:val="16"/>
              </w:rPr>
              <w:t>1</w:t>
            </w:r>
            <w:r w:rsidR="00FA0753" w:rsidRPr="006B3F59">
              <w:rPr>
                <w:sz w:val="16"/>
                <w:szCs w:val="16"/>
              </w:rPr>
              <w:t>.202</w:t>
            </w:r>
            <w:r w:rsidR="00430326" w:rsidRPr="006B3F59">
              <w:rPr>
                <w:sz w:val="16"/>
                <w:szCs w:val="16"/>
              </w:rPr>
              <w:t>3</w:t>
            </w:r>
            <w:r w:rsidR="00FA0753" w:rsidRPr="006B3F59">
              <w:rPr>
                <w:sz w:val="16"/>
                <w:szCs w:val="16"/>
              </w:rPr>
              <w:t>, měřítko čtverce 1x1 km</w:t>
            </w:r>
          </w:p>
        </w:tc>
        <w:tc>
          <w:tcPr>
            <w:tcW w:w="1698" w:type="pct"/>
            <w:tcBorders>
              <w:bottom w:val="single" w:sz="4" w:space="0" w:color="auto"/>
            </w:tcBorders>
            <w:shd w:val="clear" w:color="auto" w:fill="C6D9F1" w:themeFill="text2" w:themeFillTint="33"/>
          </w:tcPr>
          <w:p w14:paraId="5D93C525" w14:textId="4512F7C2" w:rsidR="00AC5717" w:rsidRPr="006B3F59" w:rsidRDefault="00AC5717" w:rsidP="00617A2C">
            <w:pPr>
              <w:pStyle w:val="Styl1"/>
              <w:tabs>
                <w:tab w:val="clear" w:pos="680"/>
                <w:tab w:val="clear" w:pos="709"/>
                <w:tab w:val="num" w:pos="32"/>
              </w:tabs>
              <w:ind w:left="32" w:hanging="32"/>
              <w:rPr>
                <w:sz w:val="16"/>
                <w:szCs w:val="16"/>
                <w:u w:val="single"/>
              </w:rPr>
            </w:pPr>
            <w:r w:rsidRPr="006B3F59">
              <w:rPr>
                <w:sz w:val="16"/>
                <w:szCs w:val="16"/>
              </w:rPr>
              <w:t>Mapa pětiletých klouzavých průměrů (</w:t>
            </w:r>
            <w:r w:rsidR="00430326" w:rsidRPr="006B3F59">
              <w:rPr>
                <w:sz w:val="16"/>
                <w:szCs w:val="16"/>
              </w:rPr>
              <w:t>2017-2021</w:t>
            </w:r>
            <w:r w:rsidRPr="006B3F59">
              <w:rPr>
                <w:sz w:val="16"/>
                <w:szCs w:val="16"/>
              </w:rPr>
              <w:t>) – průměrná roční koncentrace PM</w:t>
            </w:r>
            <w:r w:rsidRPr="006B3F59">
              <w:rPr>
                <w:sz w:val="16"/>
                <w:szCs w:val="16"/>
                <w:vertAlign w:val="subscript"/>
              </w:rPr>
              <w:t>10</w:t>
            </w:r>
            <w:r w:rsidRPr="006B3F59">
              <w:rPr>
                <w:sz w:val="16"/>
                <w:szCs w:val="16"/>
              </w:rPr>
              <w:t xml:space="preserve"> (zdroj: ČHMU Praha, </w:t>
            </w:r>
            <w:hyperlink r:id="rId82" w:history="1">
              <w:r w:rsidR="00FA0753" w:rsidRPr="006B3F59">
                <w:rPr>
                  <w:rStyle w:val="Hypertextovodkaz"/>
                  <w:sz w:val="16"/>
                  <w:szCs w:val="16"/>
                </w:rPr>
                <w:t>www.ozko.cz</w:t>
              </w:r>
            </w:hyperlink>
            <w:r w:rsidRPr="006B3F59">
              <w:rPr>
                <w:sz w:val="16"/>
                <w:szCs w:val="16"/>
              </w:rPr>
              <w:t>)</w:t>
            </w:r>
            <w:r w:rsidR="00FA0753" w:rsidRPr="006B3F59">
              <w:rPr>
                <w:sz w:val="16"/>
                <w:szCs w:val="16"/>
              </w:rPr>
              <w:t xml:space="preserve">, </w:t>
            </w:r>
            <w:r w:rsidR="00430326" w:rsidRPr="006B3F59">
              <w:rPr>
                <w:sz w:val="16"/>
                <w:szCs w:val="16"/>
              </w:rPr>
              <w:t>cit. 15.1.2023, měřítko čtverce 1x1 km</w:t>
            </w:r>
          </w:p>
        </w:tc>
        <w:tc>
          <w:tcPr>
            <w:tcW w:w="1676" w:type="pct"/>
            <w:tcBorders>
              <w:bottom w:val="single" w:sz="4" w:space="0" w:color="auto"/>
            </w:tcBorders>
            <w:shd w:val="clear" w:color="auto" w:fill="C6D9F1" w:themeFill="text2" w:themeFillTint="33"/>
          </w:tcPr>
          <w:p w14:paraId="08FF0917" w14:textId="01CE8BE9" w:rsidR="00AC5717" w:rsidRPr="006B3F59" w:rsidRDefault="00AC5717" w:rsidP="00617A2C">
            <w:pPr>
              <w:pStyle w:val="Styl1"/>
              <w:tabs>
                <w:tab w:val="clear" w:pos="680"/>
                <w:tab w:val="clear" w:pos="709"/>
                <w:tab w:val="num" w:pos="32"/>
              </w:tabs>
              <w:ind w:left="32" w:hanging="32"/>
              <w:rPr>
                <w:sz w:val="16"/>
                <w:szCs w:val="16"/>
                <w:u w:val="single"/>
              </w:rPr>
            </w:pPr>
            <w:r w:rsidRPr="006B3F59">
              <w:rPr>
                <w:sz w:val="16"/>
                <w:szCs w:val="16"/>
              </w:rPr>
              <w:t>Mapa pětiletých klouzavých průměrů (</w:t>
            </w:r>
            <w:r w:rsidR="00430326" w:rsidRPr="006B3F59">
              <w:rPr>
                <w:sz w:val="16"/>
                <w:szCs w:val="16"/>
              </w:rPr>
              <w:t>2017-2021</w:t>
            </w:r>
            <w:r w:rsidRPr="006B3F59">
              <w:rPr>
                <w:sz w:val="16"/>
                <w:szCs w:val="16"/>
              </w:rPr>
              <w:t>) – průměrná roční koncentrace PM</w:t>
            </w:r>
            <w:r w:rsidRPr="006B3F59">
              <w:rPr>
                <w:sz w:val="16"/>
                <w:szCs w:val="16"/>
                <w:vertAlign w:val="subscript"/>
              </w:rPr>
              <w:t>2,5</w:t>
            </w:r>
            <w:r w:rsidRPr="006B3F59">
              <w:rPr>
                <w:sz w:val="16"/>
                <w:szCs w:val="16"/>
              </w:rPr>
              <w:t xml:space="preserve"> (zdroj: ČHMU Praha, </w:t>
            </w:r>
            <w:hyperlink r:id="rId83" w:history="1">
              <w:r w:rsidR="00FA0753" w:rsidRPr="006B3F59">
                <w:rPr>
                  <w:rStyle w:val="Hypertextovodkaz"/>
                  <w:sz w:val="16"/>
                  <w:szCs w:val="16"/>
                </w:rPr>
                <w:t>www.ozko.cz</w:t>
              </w:r>
            </w:hyperlink>
            <w:r w:rsidRPr="006B3F59">
              <w:rPr>
                <w:sz w:val="16"/>
                <w:szCs w:val="16"/>
              </w:rPr>
              <w:t>)</w:t>
            </w:r>
            <w:r w:rsidR="00FA0753" w:rsidRPr="006B3F59">
              <w:rPr>
                <w:sz w:val="16"/>
                <w:szCs w:val="16"/>
              </w:rPr>
              <w:t xml:space="preserve">, </w:t>
            </w:r>
            <w:r w:rsidR="00430326" w:rsidRPr="006B3F59">
              <w:rPr>
                <w:sz w:val="16"/>
                <w:szCs w:val="16"/>
              </w:rPr>
              <w:t>cit. 15.1.2023, měřítko čtverce 1x1 km</w:t>
            </w:r>
          </w:p>
        </w:tc>
      </w:tr>
      <w:tr w:rsidR="00AC5717" w:rsidRPr="006B3F59" w14:paraId="17766F2E" w14:textId="77777777" w:rsidTr="00AC5717">
        <w:trPr>
          <w:cantSplit/>
          <w:trHeight w:val="171"/>
        </w:trPr>
        <w:tc>
          <w:tcPr>
            <w:tcW w:w="1626" w:type="pct"/>
            <w:tcBorders>
              <w:bottom w:val="single" w:sz="4" w:space="0" w:color="auto"/>
            </w:tcBorders>
            <w:shd w:val="clear" w:color="auto" w:fill="C6D9F1" w:themeFill="text2" w:themeFillTint="33"/>
          </w:tcPr>
          <w:p w14:paraId="6898E5F6" w14:textId="6375C9E2" w:rsidR="00AC5717" w:rsidRPr="006B3F59" w:rsidRDefault="007F68CD" w:rsidP="00617A2C">
            <w:pPr>
              <w:spacing w:before="60"/>
              <w:rPr>
                <w:sz w:val="16"/>
                <w:szCs w:val="16"/>
                <w:u w:val="single"/>
              </w:rPr>
            </w:pPr>
            <w:r w:rsidRPr="006B3F59">
              <w:rPr>
                <w:noProof/>
                <w:sz w:val="16"/>
                <w:szCs w:val="16"/>
                <w:u w:val="single"/>
              </w:rPr>
              <w:drawing>
                <wp:inline distT="0" distB="0" distL="0" distR="0" wp14:anchorId="38CEBE24" wp14:editId="6E613927">
                  <wp:extent cx="1856105" cy="1987550"/>
                  <wp:effectExtent l="0" t="0" r="0" b="0"/>
                  <wp:docPr id="88" name="Obrázek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1856105" cy="1987550"/>
                          </a:xfrm>
                          <a:prstGeom prst="rect">
                            <a:avLst/>
                          </a:prstGeom>
                        </pic:spPr>
                      </pic:pic>
                    </a:graphicData>
                  </a:graphic>
                </wp:inline>
              </w:drawing>
            </w:r>
          </w:p>
        </w:tc>
        <w:tc>
          <w:tcPr>
            <w:tcW w:w="1698" w:type="pct"/>
            <w:tcBorders>
              <w:bottom w:val="single" w:sz="4" w:space="0" w:color="auto"/>
            </w:tcBorders>
            <w:shd w:val="clear" w:color="auto" w:fill="C6D9F1" w:themeFill="text2" w:themeFillTint="33"/>
          </w:tcPr>
          <w:p w14:paraId="4CBAEDE6" w14:textId="53BA2454" w:rsidR="00AC5717" w:rsidRPr="006B3F59" w:rsidRDefault="007F68CD" w:rsidP="00617A2C">
            <w:pPr>
              <w:spacing w:before="60"/>
              <w:rPr>
                <w:sz w:val="16"/>
                <w:szCs w:val="16"/>
                <w:u w:val="single"/>
              </w:rPr>
            </w:pPr>
            <w:r w:rsidRPr="006B3F59">
              <w:rPr>
                <w:noProof/>
                <w:sz w:val="16"/>
                <w:szCs w:val="16"/>
                <w:u w:val="single"/>
              </w:rPr>
              <w:drawing>
                <wp:inline distT="0" distB="0" distL="0" distR="0" wp14:anchorId="2710821C" wp14:editId="3DAD6DBC">
                  <wp:extent cx="1866900" cy="1968143"/>
                  <wp:effectExtent l="0" t="0" r="0" b="0"/>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1871375" cy="1972861"/>
                          </a:xfrm>
                          <a:prstGeom prst="rect">
                            <a:avLst/>
                          </a:prstGeom>
                        </pic:spPr>
                      </pic:pic>
                    </a:graphicData>
                  </a:graphic>
                </wp:inline>
              </w:drawing>
            </w:r>
          </w:p>
        </w:tc>
        <w:tc>
          <w:tcPr>
            <w:tcW w:w="1676" w:type="pct"/>
            <w:tcBorders>
              <w:bottom w:val="single" w:sz="4" w:space="0" w:color="auto"/>
            </w:tcBorders>
            <w:shd w:val="clear" w:color="auto" w:fill="C6D9F1" w:themeFill="text2" w:themeFillTint="33"/>
          </w:tcPr>
          <w:p w14:paraId="3A458119" w14:textId="3694AFE7" w:rsidR="00AC5717" w:rsidRPr="006B3F59" w:rsidRDefault="007F68CD" w:rsidP="00617A2C">
            <w:pPr>
              <w:spacing w:before="60"/>
              <w:rPr>
                <w:sz w:val="16"/>
                <w:szCs w:val="16"/>
                <w:u w:val="single"/>
              </w:rPr>
            </w:pPr>
            <w:r w:rsidRPr="006B3F59">
              <w:rPr>
                <w:noProof/>
                <w:sz w:val="16"/>
                <w:szCs w:val="16"/>
                <w:u w:val="single"/>
              </w:rPr>
              <w:drawing>
                <wp:inline distT="0" distB="0" distL="0" distR="0" wp14:anchorId="012D0A16" wp14:editId="1A0E70AB">
                  <wp:extent cx="1866900" cy="1961513"/>
                  <wp:effectExtent l="0" t="0" r="0" b="1270"/>
                  <wp:docPr id="89" name="Obrázek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1868249" cy="1962930"/>
                          </a:xfrm>
                          <a:prstGeom prst="rect">
                            <a:avLst/>
                          </a:prstGeom>
                        </pic:spPr>
                      </pic:pic>
                    </a:graphicData>
                  </a:graphic>
                </wp:inline>
              </w:drawing>
            </w:r>
          </w:p>
        </w:tc>
      </w:tr>
      <w:tr w:rsidR="00AC5717" w:rsidRPr="006B3F59" w14:paraId="7070D128" w14:textId="77777777" w:rsidTr="00AC5717">
        <w:trPr>
          <w:cantSplit/>
          <w:trHeight w:val="171"/>
        </w:trPr>
        <w:tc>
          <w:tcPr>
            <w:tcW w:w="1626" w:type="pct"/>
            <w:tcBorders>
              <w:bottom w:val="single" w:sz="4" w:space="0" w:color="auto"/>
            </w:tcBorders>
            <w:shd w:val="clear" w:color="auto" w:fill="C6D9F1" w:themeFill="text2" w:themeFillTint="33"/>
          </w:tcPr>
          <w:p w14:paraId="3593FC0C" w14:textId="5F54CC0A" w:rsidR="00AC5717" w:rsidRPr="006B3F59" w:rsidRDefault="00AC5717" w:rsidP="00617A2C">
            <w:pPr>
              <w:pStyle w:val="Styl1"/>
              <w:tabs>
                <w:tab w:val="clear" w:pos="680"/>
                <w:tab w:val="clear" w:pos="709"/>
                <w:tab w:val="num" w:pos="0"/>
              </w:tabs>
              <w:ind w:left="0" w:firstLine="0"/>
              <w:rPr>
                <w:sz w:val="16"/>
                <w:szCs w:val="16"/>
                <w:u w:val="single"/>
              </w:rPr>
            </w:pPr>
            <w:r w:rsidRPr="006B3F59">
              <w:rPr>
                <w:sz w:val="16"/>
                <w:szCs w:val="16"/>
              </w:rPr>
              <w:t>Mapa pětiletých klouzavých průměrů (</w:t>
            </w:r>
            <w:r w:rsidR="00430326" w:rsidRPr="006B3F59">
              <w:rPr>
                <w:sz w:val="16"/>
                <w:szCs w:val="16"/>
              </w:rPr>
              <w:t>2017-2021</w:t>
            </w:r>
            <w:r w:rsidRPr="006B3F59">
              <w:rPr>
                <w:sz w:val="16"/>
                <w:szCs w:val="16"/>
              </w:rPr>
              <w:t xml:space="preserve">) – průměrná roční koncentrace Benzo(a)pyren (zdroj: ČHMU Praha, </w:t>
            </w:r>
            <w:hyperlink r:id="rId87" w:history="1">
              <w:r w:rsidR="00FA0753" w:rsidRPr="006B3F59">
                <w:rPr>
                  <w:rStyle w:val="Hypertextovodkaz"/>
                  <w:sz w:val="16"/>
                  <w:szCs w:val="16"/>
                </w:rPr>
                <w:t>www.ozko.cz</w:t>
              </w:r>
            </w:hyperlink>
            <w:r w:rsidRPr="006B3F59">
              <w:rPr>
                <w:sz w:val="16"/>
                <w:szCs w:val="16"/>
              </w:rPr>
              <w:t>)</w:t>
            </w:r>
            <w:r w:rsidR="00FA0753" w:rsidRPr="006B3F59">
              <w:rPr>
                <w:sz w:val="16"/>
                <w:szCs w:val="16"/>
              </w:rPr>
              <w:t xml:space="preserve">, </w:t>
            </w:r>
            <w:r w:rsidR="00430326" w:rsidRPr="006B3F59">
              <w:rPr>
                <w:sz w:val="16"/>
                <w:szCs w:val="16"/>
              </w:rPr>
              <w:t>cit. 15.1.2023, měřítko čtverce 1x1 km</w:t>
            </w:r>
          </w:p>
        </w:tc>
        <w:tc>
          <w:tcPr>
            <w:tcW w:w="1698" w:type="pct"/>
            <w:tcBorders>
              <w:bottom w:val="single" w:sz="4" w:space="0" w:color="auto"/>
            </w:tcBorders>
            <w:shd w:val="clear" w:color="auto" w:fill="C6D9F1" w:themeFill="text2" w:themeFillTint="33"/>
          </w:tcPr>
          <w:p w14:paraId="09392504" w14:textId="0B158D0C" w:rsidR="00AC5717" w:rsidRPr="006B3F59" w:rsidRDefault="00AC5717" w:rsidP="00617A2C">
            <w:pPr>
              <w:pStyle w:val="Styl1"/>
              <w:tabs>
                <w:tab w:val="clear" w:pos="680"/>
                <w:tab w:val="clear" w:pos="709"/>
                <w:tab w:val="num" w:pos="0"/>
              </w:tabs>
              <w:ind w:left="0" w:firstLine="0"/>
              <w:rPr>
                <w:sz w:val="16"/>
                <w:szCs w:val="16"/>
                <w:u w:val="single"/>
              </w:rPr>
            </w:pPr>
            <w:r w:rsidRPr="006B3F59">
              <w:rPr>
                <w:sz w:val="16"/>
                <w:szCs w:val="16"/>
              </w:rPr>
              <w:t>Mapa pětiletých klouzavých průměrů (</w:t>
            </w:r>
            <w:r w:rsidR="00430326" w:rsidRPr="006B3F59">
              <w:rPr>
                <w:sz w:val="16"/>
                <w:szCs w:val="16"/>
              </w:rPr>
              <w:t>2017-2021</w:t>
            </w:r>
            <w:r w:rsidRPr="006B3F59">
              <w:rPr>
                <w:sz w:val="16"/>
                <w:szCs w:val="16"/>
              </w:rPr>
              <w:t xml:space="preserve">) – průměrná roční koncentrace Benzen (zdroj: ČHMU Praha, </w:t>
            </w:r>
            <w:hyperlink r:id="rId88" w:history="1">
              <w:r w:rsidR="00FA0753" w:rsidRPr="006B3F59">
                <w:rPr>
                  <w:rStyle w:val="Hypertextovodkaz"/>
                  <w:sz w:val="16"/>
                  <w:szCs w:val="16"/>
                </w:rPr>
                <w:t>www.ozko.cz</w:t>
              </w:r>
            </w:hyperlink>
            <w:r w:rsidRPr="006B3F59">
              <w:rPr>
                <w:sz w:val="16"/>
                <w:szCs w:val="16"/>
              </w:rPr>
              <w:t>)</w:t>
            </w:r>
            <w:r w:rsidR="00FA0753" w:rsidRPr="006B3F59">
              <w:rPr>
                <w:sz w:val="16"/>
                <w:szCs w:val="16"/>
              </w:rPr>
              <w:t xml:space="preserve">, </w:t>
            </w:r>
            <w:r w:rsidR="00430326" w:rsidRPr="006B3F59">
              <w:rPr>
                <w:sz w:val="16"/>
                <w:szCs w:val="16"/>
              </w:rPr>
              <w:t>cit. 15.1.2023, měřítko čtverce 1x1 km</w:t>
            </w:r>
          </w:p>
        </w:tc>
        <w:tc>
          <w:tcPr>
            <w:tcW w:w="1676" w:type="pct"/>
            <w:tcBorders>
              <w:bottom w:val="single" w:sz="4" w:space="0" w:color="auto"/>
            </w:tcBorders>
            <w:shd w:val="clear" w:color="auto" w:fill="C6D9F1" w:themeFill="text2" w:themeFillTint="33"/>
          </w:tcPr>
          <w:p w14:paraId="704DB6F5" w14:textId="31F3EDF9" w:rsidR="00AC5717" w:rsidRPr="006B3F59" w:rsidRDefault="00AC5717" w:rsidP="00617A2C">
            <w:pPr>
              <w:pStyle w:val="Styl1"/>
              <w:tabs>
                <w:tab w:val="clear" w:pos="680"/>
                <w:tab w:val="clear" w:pos="709"/>
                <w:tab w:val="num" w:pos="0"/>
              </w:tabs>
              <w:ind w:left="0" w:firstLine="0"/>
              <w:rPr>
                <w:sz w:val="16"/>
                <w:szCs w:val="16"/>
                <w:u w:val="single"/>
              </w:rPr>
            </w:pPr>
            <w:r w:rsidRPr="006B3F59">
              <w:rPr>
                <w:sz w:val="16"/>
                <w:szCs w:val="16"/>
              </w:rPr>
              <w:t>Mapa pětiletých klouzavých průměrů (</w:t>
            </w:r>
            <w:r w:rsidR="00430326" w:rsidRPr="006B3F59">
              <w:rPr>
                <w:sz w:val="16"/>
                <w:szCs w:val="16"/>
              </w:rPr>
              <w:t>2017-2021</w:t>
            </w:r>
            <w:r w:rsidRPr="006B3F59">
              <w:rPr>
                <w:sz w:val="16"/>
                <w:szCs w:val="16"/>
              </w:rPr>
              <w:t>) – 36. nejvyšší denní koncentrace PM</w:t>
            </w:r>
            <w:r w:rsidRPr="006B3F59">
              <w:rPr>
                <w:sz w:val="16"/>
                <w:szCs w:val="16"/>
                <w:vertAlign w:val="subscript"/>
              </w:rPr>
              <w:t>10</w:t>
            </w:r>
            <w:r w:rsidRPr="006B3F59">
              <w:rPr>
                <w:sz w:val="16"/>
                <w:szCs w:val="16"/>
              </w:rPr>
              <w:t xml:space="preserve"> (zdroj: ČHMU Praha, </w:t>
            </w:r>
            <w:hyperlink r:id="rId89" w:history="1">
              <w:r w:rsidR="00FA0753" w:rsidRPr="006B3F59">
                <w:rPr>
                  <w:rStyle w:val="Hypertextovodkaz"/>
                  <w:sz w:val="16"/>
                  <w:szCs w:val="16"/>
                </w:rPr>
                <w:t>www.ozko.cz</w:t>
              </w:r>
            </w:hyperlink>
            <w:r w:rsidRPr="006B3F59">
              <w:rPr>
                <w:sz w:val="16"/>
                <w:szCs w:val="16"/>
              </w:rPr>
              <w:t>)</w:t>
            </w:r>
            <w:r w:rsidR="00FA0753" w:rsidRPr="006B3F59">
              <w:rPr>
                <w:sz w:val="16"/>
                <w:szCs w:val="16"/>
              </w:rPr>
              <w:t xml:space="preserve">, </w:t>
            </w:r>
            <w:r w:rsidR="00430326" w:rsidRPr="006B3F59">
              <w:rPr>
                <w:sz w:val="16"/>
                <w:szCs w:val="16"/>
              </w:rPr>
              <w:t>cit. 15.1.2023, měřítko čtverce 1x1 km</w:t>
            </w:r>
          </w:p>
        </w:tc>
      </w:tr>
    </w:tbl>
    <w:p w14:paraId="1D20E0EF" w14:textId="505F8194" w:rsidR="00AC5717" w:rsidRPr="006B3F59" w:rsidRDefault="00AC5717" w:rsidP="00AC5717">
      <w:r w:rsidRPr="006B3F59">
        <w:t>Po realizaci z</w:t>
      </w:r>
      <w:r w:rsidR="000606B8" w:rsidRPr="006B3F59">
        <w:t>měny</w:t>
      </w:r>
      <w:r w:rsidRPr="006B3F59">
        <w:t xml:space="preserve"> bude i nadále automobilová doprava významným zdrojem znečišťování ovzduší v území. Dle hodnot pětiletých průměrů v čtvercové síti o velikosti 1 km</w:t>
      </w:r>
      <w:r w:rsidRPr="006B3F59">
        <w:rPr>
          <w:vertAlign w:val="superscript"/>
        </w:rPr>
        <w:t>2</w:t>
      </w:r>
      <w:r w:rsidRPr="006B3F59">
        <w:t xml:space="preserve"> lze hodnotit stávající imisní situaci v předmětném území jako </w:t>
      </w:r>
      <w:r w:rsidR="005450BF">
        <w:t>uspokojivou</w:t>
      </w:r>
      <w:r w:rsidRPr="006B3F59">
        <w:t>.</w:t>
      </w:r>
      <w:r w:rsidR="00AA56ED" w:rsidRPr="006B3F59">
        <w:t xml:space="preserve"> Všechny limity jsou plněny.</w:t>
      </w:r>
      <w:r w:rsidRPr="006B3F59">
        <w:t xml:space="preserve"> Hodnoty průměrných ročních koncentrací B(a)P se nachází těsně pod hodnotou imisního limitu, na úrovni 0,</w:t>
      </w:r>
      <w:r w:rsidR="007F68CD" w:rsidRPr="006B3F59">
        <w:t xml:space="preserve">8 až </w:t>
      </w:r>
      <w:r w:rsidR="00B20345">
        <w:t xml:space="preserve">k limitní hodnotě </w:t>
      </w:r>
      <w:r w:rsidR="007F68CD" w:rsidRPr="006B3F59">
        <w:t>1</w:t>
      </w:r>
      <w:r w:rsidRPr="006B3F59">
        <w:t xml:space="preserve"> ng.m</w:t>
      </w:r>
      <w:r w:rsidRPr="006B3F59">
        <w:rPr>
          <w:vertAlign w:val="superscript"/>
        </w:rPr>
        <w:t>-3</w:t>
      </w:r>
      <w:r w:rsidR="00CF6B6D">
        <w:t>.</w:t>
      </w:r>
      <w:r w:rsidRPr="006B3F59">
        <w:t xml:space="preserve"> Imisní limity pro ostatní sledované škodliviny jsou v celém předmětném území </w:t>
      </w:r>
      <w:r w:rsidR="00AE27BD" w:rsidRPr="006B3F59">
        <w:t xml:space="preserve">s rezervou </w:t>
      </w:r>
      <w:r w:rsidRPr="006B3F59">
        <w:t>splňovány.</w:t>
      </w:r>
    </w:p>
    <w:p w14:paraId="3B5B9A88" w14:textId="03977D72" w:rsidR="00D53EBE" w:rsidRPr="006B3F59" w:rsidRDefault="00D53EBE" w:rsidP="00A67277">
      <w:pPr>
        <w:pStyle w:val="Nadpis3"/>
      </w:pPr>
      <w:bookmarkStart w:id="115" w:name="_Toc29298332"/>
      <w:bookmarkStart w:id="116" w:name="_Toc138848111"/>
      <w:r w:rsidRPr="006B3F59">
        <w:t>Klima</w:t>
      </w:r>
      <w:bookmarkEnd w:id="115"/>
      <w:bookmarkEnd w:id="116"/>
    </w:p>
    <w:p w14:paraId="18F8106F" w14:textId="709F616B" w:rsidR="00C349A2" w:rsidRDefault="00C349A2" w:rsidP="003B3877">
      <w:r w:rsidRPr="006B3F59">
        <w:t xml:space="preserve">Většina území Prahy patří podnebím k teplé oblasti s dlouhým, teplým a suchým létem, s krátkými mírně teplými přechodovými obdobími a s krátkou velmi suchou zimou. Průměrná roční teplota na meteorologické stanici Klementinum činí 9,4 </w:t>
      </w:r>
      <w:r w:rsidRPr="006B3F59">
        <w:rPr>
          <w:vertAlign w:val="superscript"/>
        </w:rPr>
        <w:t>o</w:t>
      </w:r>
      <w:r w:rsidRPr="006B3F59">
        <w:t xml:space="preserve">C, červencová teplota 20,5 </w:t>
      </w:r>
      <w:r w:rsidRPr="006B3F59">
        <w:rPr>
          <w:sz w:val="18"/>
          <w:vertAlign w:val="superscript"/>
        </w:rPr>
        <w:t>o</w:t>
      </w:r>
      <w:r w:rsidRPr="006B3F59">
        <w:t xml:space="preserve">C a lednová -0,5 </w:t>
      </w:r>
      <w:r w:rsidRPr="006B3F59">
        <w:rPr>
          <w:vertAlign w:val="superscript"/>
        </w:rPr>
        <w:t>o</w:t>
      </w:r>
      <w:r w:rsidRPr="006B3F59">
        <w:t>C. Ročně spadne průměrně jen 487 mm srážek, většinou v podobě deště. Sněhová pokrývka dosahuje uvnitř města výšky pouze 10 cm, na okrajích přes 20 cm sněhu a sníh leží průměrně až 50 dní. Pro svou závětrnou polohu je Pražská kotlina nedostatečně provětrávána. Sluneční svit dosahuje asi 45% možné do</w:t>
      </w:r>
      <w:r w:rsidR="0028115B" w:rsidRPr="006B3F59">
        <w:t xml:space="preserve">by (1842 hodin </w:t>
      </w:r>
      <w:r w:rsidR="003577E4" w:rsidRPr="006B3F59">
        <w:t>ročně – Karlov</w:t>
      </w:r>
      <w:r w:rsidR="0028115B" w:rsidRPr="006B3F59">
        <w:t>).</w:t>
      </w:r>
      <w:r w:rsidR="003B3877" w:rsidRPr="006B3F59">
        <w:t xml:space="preserve"> Území přibližně ve výšce 280 m n. m. Průměrná roční teplota vzduchu se pohybuje kolem </w:t>
      </w:r>
      <w:r w:rsidR="007F0572" w:rsidRPr="006B3F59">
        <w:t>9 °C</w:t>
      </w:r>
      <w:r w:rsidR="003B3877" w:rsidRPr="006B3F59">
        <w:t xml:space="preserve">, průměrný roční </w:t>
      </w:r>
      <w:r w:rsidR="007F0572" w:rsidRPr="006B3F59">
        <w:t>úhrn srážek</w:t>
      </w:r>
      <w:r w:rsidR="003B3877" w:rsidRPr="006B3F59">
        <w:t xml:space="preserve"> kolem 500 mm. Hlavní vegetační období (</w:t>
      </w:r>
      <w:proofErr w:type="gramStart"/>
      <w:r w:rsidR="007F0572" w:rsidRPr="006B3F59">
        <w:t>teploty</w:t>
      </w:r>
      <w:r w:rsidR="00A52552">
        <w:t xml:space="preserve"> </w:t>
      </w:r>
      <w:r w:rsidR="007F0572" w:rsidRPr="006B3F59">
        <w:t>&gt;</w:t>
      </w:r>
      <w:proofErr w:type="gramEnd"/>
      <w:r w:rsidR="003B3877" w:rsidRPr="006B3F59">
        <w:t xml:space="preserve"> </w:t>
      </w:r>
      <w:r w:rsidR="007F0572" w:rsidRPr="006B3F59">
        <w:t>10 °C</w:t>
      </w:r>
      <w:r w:rsidR="003B3877" w:rsidRPr="006B3F59">
        <w:t>) trvá průměrně 172 dní, celková průměrná doba slunečního svitu 1902 h/rok. Převažují západní, jihozápadní a severozápadní větry. Podle Quittovy (1971) klasifikace tento prostor leží v teplé oblasti T2</w:t>
      </w:r>
      <w:r w:rsidR="00A52552">
        <w:t>.</w:t>
      </w:r>
    </w:p>
    <w:p w14:paraId="77614404" w14:textId="77777777" w:rsidR="00585C9B" w:rsidRDefault="00585C9B" w:rsidP="003B3877"/>
    <w:p w14:paraId="3AC6731F" w14:textId="77777777" w:rsidR="00585C9B" w:rsidRPr="006B3F59" w:rsidRDefault="00585C9B" w:rsidP="003B3877"/>
    <w:p w14:paraId="5E9A5086" w14:textId="77777777" w:rsidR="00782CFA" w:rsidRPr="006B3F59" w:rsidRDefault="00782CFA" w:rsidP="00BA72D5">
      <w:pPr>
        <w:pStyle w:val="Tabulkanzev"/>
      </w:pPr>
      <w:bookmarkStart w:id="117" w:name="_Ref348444491"/>
      <w:bookmarkStart w:id="118" w:name="_Toc392085594"/>
      <w:bookmarkStart w:id="119" w:name="_Toc485638786"/>
      <w:bookmarkStart w:id="120" w:name="_Toc29298554"/>
      <w:bookmarkStart w:id="121" w:name="_Toc138848172"/>
      <w:r w:rsidRPr="006B3F59">
        <w:t>Klimatologická charakteristika území</w:t>
      </w:r>
      <w:bookmarkEnd w:id="117"/>
      <w:bookmarkEnd w:id="118"/>
      <w:bookmarkEnd w:id="119"/>
      <w:bookmarkEnd w:id="120"/>
      <w:bookmarkEnd w:id="121"/>
    </w:p>
    <w:tbl>
      <w:tblPr>
        <w:tblStyle w:val="Tabulkamka"/>
        <w:tblW w:w="4831" w:type="pct"/>
        <w:tblInd w:w="108" w:type="dxa"/>
        <w:tblLook w:val="04A0" w:firstRow="1" w:lastRow="0" w:firstColumn="1" w:lastColumn="0" w:noHBand="0" w:noVBand="1"/>
      </w:tblPr>
      <w:tblGrid>
        <w:gridCol w:w="2958"/>
        <w:gridCol w:w="1548"/>
        <w:gridCol w:w="3663"/>
        <w:gridCol w:w="1124"/>
      </w:tblGrid>
      <w:tr w:rsidR="00782CFA" w:rsidRPr="006B3F59" w14:paraId="778E01BB" w14:textId="77777777" w:rsidTr="00525292">
        <w:trPr>
          <w:cnfStyle w:val="100000000000" w:firstRow="1" w:lastRow="0" w:firstColumn="0" w:lastColumn="0" w:oddVBand="0" w:evenVBand="0" w:oddHBand="0" w:evenHBand="0" w:firstRowFirstColumn="0" w:firstRowLastColumn="0" w:lastRowFirstColumn="0" w:lastRowLastColumn="0"/>
          <w:tblHeader/>
        </w:trPr>
        <w:tc>
          <w:tcPr>
            <w:tcW w:w="0" w:type="pct"/>
            <w:shd w:val="clear" w:color="auto" w:fill="595959" w:themeFill="text1" w:themeFillTint="A6"/>
          </w:tcPr>
          <w:p w14:paraId="610FFBF8" w14:textId="77777777" w:rsidR="00782CFA" w:rsidRPr="006B3F59" w:rsidRDefault="00782CFA" w:rsidP="00782CFA">
            <w:pPr>
              <w:pStyle w:val="Tabulkatext"/>
              <w:spacing w:before="40" w:after="40"/>
            </w:pPr>
            <w:r w:rsidRPr="006B3F59">
              <w:t>Charakteristika</w:t>
            </w:r>
          </w:p>
        </w:tc>
        <w:tc>
          <w:tcPr>
            <w:tcW w:w="0" w:type="pct"/>
            <w:shd w:val="clear" w:color="auto" w:fill="595959" w:themeFill="text1" w:themeFillTint="A6"/>
          </w:tcPr>
          <w:p w14:paraId="3D424A63" w14:textId="77777777" w:rsidR="00782CFA" w:rsidRPr="006B3F59" w:rsidRDefault="00782CFA" w:rsidP="00782CFA">
            <w:pPr>
              <w:pStyle w:val="Tabulkatext"/>
              <w:spacing w:before="40" w:after="40"/>
              <w:jc w:val="center"/>
              <w:rPr>
                <w:b w:val="0"/>
              </w:rPr>
            </w:pPr>
            <w:r w:rsidRPr="006B3F59">
              <w:t>T2</w:t>
            </w:r>
          </w:p>
        </w:tc>
        <w:tc>
          <w:tcPr>
            <w:tcW w:w="0" w:type="pct"/>
            <w:shd w:val="clear" w:color="auto" w:fill="595959" w:themeFill="text1" w:themeFillTint="A6"/>
          </w:tcPr>
          <w:p w14:paraId="332C8405" w14:textId="77777777" w:rsidR="00782CFA" w:rsidRPr="006B3F59" w:rsidRDefault="00782CFA" w:rsidP="00782CFA">
            <w:pPr>
              <w:pStyle w:val="Tabulkatext"/>
              <w:spacing w:before="40" w:after="40"/>
            </w:pPr>
            <w:r w:rsidRPr="006B3F59">
              <w:t>Charakteristika</w:t>
            </w:r>
          </w:p>
        </w:tc>
        <w:tc>
          <w:tcPr>
            <w:tcW w:w="0" w:type="pct"/>
            <w:shd w:val="clear" w:color="auto" w:fill="595959" w:themeFill="text1" w:themeFillTint="A6"/>
          </w:tcPr>
          <w:p w14:paraId="4DD1754E" w14:textId="77777777" w:rsidR="00782CFA" w:rsidRPr="006B3F59" w:rsidRDefault="00782CFA" w:rsidP="00782CFA">
            <w:pPr>
              <w:pStyle w:val="Tabulkatext"/>
              <w:spacing w:before="40" w:after="40"/>
              <w:jc w:val="center"/>
            </w:pPr>
            <w:r w:rsidRPr="006B3F59">
              <w:t>T2</w:t>
            </w:r>
          </w:p>
        </w:tc>
      </w:tr>
      <w:tr w:rsidR="00782CFA" w:rsidRPr="006B3F59" w14:paraId="3F526B74" w14:textId="77777777" w:rsidTr="00782CFA">
        <w:tc>
          <w:tcPr>
            <w:tcW w:w="1591" w:type="pct"/>
          </w:tcPr>
          <w:p w14:paraId="1DE55F51" w14:textId="77777777" w:rsidR="00782CFA" w:rsidRPr="006B3F59" w:rsidRDefault="00782CFA" w:rsidP="00782CFA">
            <w:pPr>
              <w:pStyle w:val="Tabulkatext"/>
              <w:spacing w:before="40" w:after="40"/>
            </w:pPr>
            <w:r w:rsidRPr="006B3F59">
              <w:t>Počet letních dnů</w:t>
            </w:r>
          </w:p>
        </w:tc>
        <w:tc>
          <w:tcPr>
            <w:tcW w:w="833" w:type="pct"/>
          </w:tcPr>
          <w:p w14:paraId="03866DFC" w14:textId="77777777" w:rsidR="00782CFA" w:rsidRPr="006B3F59" w:rsidRDefault="00782CFA" w:rsidP="00782CFA">
            <w:pPr>
              <w:pStyle w:val="Tabulkatext"/>
              <w:spacing w:before="40" w:after="40"/>
              <w:jc w:val="center"/>
            </w:pPr>
            <w:r w:rsidRPr="006B3F59">
              <w:t>50-60</w:t>
            </w:r>
          </w:p>
        </w:tc>
        <w:tc>
          <w:tcPr>
            <w:tcW w:w="1971" w:type="pct"/>
          </w:tcPr>
          <w:p w14:paraId="573621EE" w14:textId="77777777" w:rsidR="00782CFA" w:rsidRPr="006B3F59" w:rsidRDefault="00782CFA" w:rsidP="00782CFA">
            <w:pPr>
              <w:pStyle w:val="Tabulkatext"/>
              <w:spacing w:before="40" w:after="40"/>
            </w:pPr>
            <w:r w:rsidRPr="006B3F59">
              <w:t>Průměrná teplota v říjnu</w:t>
            </w:r>
          </w:p>
        </w:tc>
        <w:tc>
          <w:tcPr>
            <w:tcW w:w="605" w:type="pct"/>
          </w:tcPr>
          <w:p w14:paraId="52C088F1" w14:textId="65F623FC" w:rsidR="00782CFA" w:rsidRPr="006B3F59" w:rsidRDefault="007F0572" w:rsidP="00782CFA">
            <w:pPr>
              <w:pStyle w:val="Tabulkatext"/>
              <w:spacing w:before="40" w:after="40"/>
              <w:jc w:val="center"/>
            </w:pPr>
            <w:r w:rsidRPr="006B3F59">
              <w:t>7–9</w:t>
            </w:r>
            <w:r w:rsidR="00782CFA" w:rsidRPr="006B3F59">
              <w:t xml:space="preserve"> </w:t>
            </w:r>
          </w:p>
        </w:tc>
      </w:tr>
      <w:tr w:rsidR="00782CFA" w:rsidRPr="006B3F59" w14:paraId="3CF3C885" w14:textId="77777777" w:rsidTr="00782CFA">
        <w:tc>
          <w:tcPr>
            <w:tcW w:w="1591" w:type="pct"/>
          </w:tcPr>
          <w:p w14:paraId="57F11C2D" w14:textId="77777777" w:rsidR="00782CFA" w:rsidRPr="006B3F59" w:rsidRDefault="00782CFA" w:rsidP="00782CFA">
            <w:pPr>
              <w:pStyle w:val="Tabulkatext"/>
              <w:spacing w:before="40" w:after="40"/>
            </w:pPr>
            <w:r w:rsidRPr="006B3F59">
              <w:t xml:space="preserve">Počet dnů s prům. teplotou </w:t>
            </w:r>
            <w:r w:rsidRPr="006B3F59">
              <w:sym w:font="Symbol" w:char="F0A3"/>
            </w:r>
            <w:r w:rsidRPr="006B3F59">
              <w:t> 10°</w:t>
            </w:r>
          </w:p>
        </w:tc>
        <w:tc>
          <w:tcPr>
            <w:tcW w:w="833" w:type="pct"/>
          </w:tcPr>
          <w:p w14:paraId="57D2DEC9" w14:textId="67CD531F" w:rsidR="00782CFA" w:rsidRPr="006B3F59" w:rsidRDefault="007F0572" w:rsidP="00782CFA">
            <w:pPr>
              <w:pStyle w:val="Tabulkatext"/>
              <w:spacing w:before="40" w:after="40"/>
              <w:jc w:val="center"/>
            </w:pPr>
            <w:r w:rsidRPr="006B3F59">
              <w:t>160–170</w:t>
            </w:r>
          </w:p>
        </w:tc>
        <w:tc>
          <w:tcPr>
            <w:tcW w:w="1971" w:type="pct"/>
          </w:tcPr>
          <w:p w14:paraId="4FB9A933" w14:textId="18FBACC7" w:rsidR="00782CFA" w:rsidRPr="006B3F59" w:rsidRDefault="00782CFA" w:rsidP="00782CFA">
            <w:pPr>
              <w:pStyle w:val="Tabulkatext"/>
              <w:spacing w:before="40" w:after="40"/>
            </w:pPr>
            <w:r w:rsidRPr="006B3F59">
              <w:t xml:space="preserve">Prům. počet dnů se srážkami </w:t>
            </w:r>
            <w:r w:rsidRPr="006B3F59">
              <w:sym w:font="Symbol" w:char="F0A3"/>
            </w:r>
            <w:r w:rsidRPr="006B3F59">
              <w:t> </w:t>
            </w:r>
            <w:r w:rsidR="007F0572" w:rsidRPr="006B3F59">
              <w:t>1 mm</w:t>
            </w:r>
          </w:p>
        </w:tc>
        <w:tc>
          <w:tcPr>
            <w:tcW w:w="605" w:type="pct"/>
          </w:tcPr>
          <w:p w14:paraId="209CDDC0" w14:textId="087DB96A" w:rsidR="00782CFA" w:rsidRPr="006B3F59" w:rsidRDefault="007F0572" w:rsidP="00782CFA">
            <w:pPr>
              <w:pStyle w:val="Tabulkatext"/>
              <w:spacing w:before="40" w:after="40"/>
              <w:jc w:val="center"/>
            </w:pPr>
            <w:r w:rsidRPr="006B3F59">
              <w:t>90–100</w:t>
            </w:r>
            <w:r w:rsidR="00782CFA" w:rsidRPr="006B3F59">
              <w:t xml:space="preserve"> </w:t>
            </w:r>
          </w:p>
        </w:tc>
      </w:tr>
      <w:tr w:rsidR="00782CFA" w:rsidRPr="006B3F59" w14:paraId="3AE9BABB" w14:textId="77777777" w:rsidTr="00782CFA">
        <w:tc>
          <w:tcPr>
            <w:tcW w:w="1591" w:type="pct"/>
          </w:tcPr>
          <w:p w14:paraId="6F6071E0" w14:textId="77777777" w:rsidR="00782CFA" w:rsidRPr="006B3F59" w:rsidRDefault="00782CFA" w:rsidP="00782CFA">
            <w:pPr>
              <w:pStyle w:val="Tabulkatext"/>
              <w:spacing w:before="40" w:after="40"/>
            </w:pPr>
            <w:r w:rsidRPr="006B3F59">
              <w:t>Počet mrazových dnů</w:t>
            </w:r>
          </w:p>
        </w:tc>
        <w:tc>
          <w:tcPr>
            <w:tcW w:w="833" w:type="pct"/>
          </w:tcPr>
          <w:p w14:paraId="61FD9D3A" w14:textId="37A1A457" w:rsidR="00782CFA" w:rsidRPr="006B3F59" w:rsidRDefault="007F0572" w:rsidP="00782CFA">
            <w:pPr>
              <w:pStyle w:val="Tabulkatext"/>
              <w:spacing w:before="40" w:after="40"/>
              <w:jc w:val="center"/>
            </w:pPr>
            <w:r w:rsidRPr="006B3F59">
              <w:t>100–110</w:t>
            </w:r>
          </w:p>
        </w:tc>
        <w:tc>
          <w:tcPr>
            <w:tcW w:w="1971" w:type="pct"/>
          </w:tcPr>
          <w:p w14:paraId="5985A7D7" w14:textId="644A5B4B" w:rsidR="00782CFA" w:rsidRPr="006B3F59" w:rsidRDefault="006B5E64" w:rsidP="00782CFA">
            <w:pPr>
              <w:pStyle w:val="Tabulkatext"/>
              <w:spacing w:before="40" w:after="40"/>
            </w:pPr>
            <w:r w:rsidRPr="006B3F59">
              <w:t>Srážkový úhrn ve vegetačním období</w:t>
            </w:r>
          </w:p>
        </w:tc>
        <w:tc>
          <w:tcPr>
            <w:tcW w:w="605" w:type="pct"/>
          </w:tcPr>
          <w:p w14:paraId="7784C0EA" w14:textId="567E3E4E" w:rsidR="00782CFA" w:rsidRPr="006B3F59" w:rsidRDefault="007F0572" w:rsidP="00782CFA">
            <w:pPr>
              <w:pStyle w:val="Tabulkatext"/>
              <w:spacing w:before="40" w:after="40"/>
              <w:jc w:val="center"/>
            </w:pPr>
            <w:r w:rsidRPr="006B3F59">
              <w:t>350–400</w:t>
            </w:r>
            <w:r w:rsidR="00782CFA" w:rsidRPr="006B3F59">
              <w:t xml:space="preserve"> </w:t>
            </w:r>
          </w:p>
        </w:tc>
      </w:tr>
      <w:tr w:rsidR="00782CFA" w:rsidRPr="006B3F59" w14:paraId="34F4BB6F" w14:textId="77777777" w:rsidTr="00782CFA">
        <w:tc>
          <w:tcPr>
            <w:tcW w:w="1591" w:type="pct"/>
          </w:tcPr>
          <w:p w14:paraId="33AD7D2A" w14:textId="77777777" w:rsidR="00782CFA" w:rsidRPr="006B3F59" w:rsidRDefault="00782CFA" w:rsidP="00782CFA">
            <w:pPr>
              <w:pStyle w:val="Tabulkatext"/>
              <w:spacing w:before="40" w:after="40"/>
            </w:pPr>
            <w:r w:rsidRPr="006B3F59">
              <w:t>Počet ledových dnů</w:t>
            </w:r>
          </w:p>
        </w:tc>
        <w:tc>
          <w:tcPr>
            <w:tcW w:w="833" w:type="pct"/>
          </w:tcPr>
          <w:p w14:paraId="21A776F2" w14:textId="77A33167" w:rsidR="00782CFA" w:rsidRPr="006B3F59" w:rsidRDefault="007F0572" w:rsidP="00782CFA">
            <w:pPr>
              <w:pStyle w:val="Tabulkatext"/>
              <w:spacing w:before="40" w:after="40"/>
              <w:jc w:val="center"/>
            </w:pPr>
            <w:r w:rsidRPr="006B3F59">
              <w:t>30–40</w:t>
            </w:r>
          </w:p>
        </w:tc>
        <w:tc>
          <w:tcPr>
            <w:tcW w:w="1971" w:type="pct"/>
          </w:tcPr>
          <w:p w14:paraId="308AEEB8" w14:textId="77777777" w:rsidR="00782CFA" w:rsidRPr="006B3F59" w:rsidRDefault="00782CFA" w:rsidP="00782CFA">
            <w:pPr>
              <w:pStyle w:val="Tabulkatext"/>
              <w:spacing w:before="40" w:after="40"/>
            </w:pPr>
            <w:r w:rsidRPr="006B3F59">
              <w:t>Srážkový úhrn v zimním období</w:t>
            </w:r>
          </w:p>
        </w:tc>
        <w:tc>
          <w:tcPr>
            <w:tcW w:w="605" w:type="pct"/>
          </w:tcPr>
          <w:p w14:paraId="5CF4C349" w14:textId="25641B8B" w:rsidR="00782CFA" w:rsidRPr="006B3F59" w:rsidRDefault="007F0572" w:rsidP="00782CFA">
            <w:pPr>
              <w:pStyle w:val="Tabulkatext"/>
              <w:spacing w:before="40" w:after="40"/>
              <w:jc w:val="center"/>
            </w:pPr>
            <w:r w:rsidRPr="006B3F59">
              <w:t>200–300</w:t>
            </w:r>
          </w:p>
        </w:tc>
      </w:tr>
      <w:tr w:rsidR="00782CFA" w:rsidRPr="006B3F59" w14:paraId="7DDFDA9D" w14:textId="77777777" w:rsidTr="00782CFA">
        <w:tc>
          <w:tcPr>
            <w:tcW w:w="1591" w:type="pct"/>
          </w:tcPr>
          <w:p w14:paraId="2BC76B17" w14:textId="77777777" w:rsidR="00782CFA" w:rsidRPr="006B3F59" w:rsidRDefault="00782CFA" w:rsidP="00782CFA">
            <w:pPr>
              <w:pStyle w:val="Tabulkatext"/>
              <w:spacing w:before="40" w:after="40"/>
            </w:pPr>
            <w:r w:rsidRPr="006B3F59">
              <w:t>Prům. teplota v lednu</w:t>
            </w:r>
          </w:p>
        </w:tc>
        <w:tc>
          <w:tcPr>
            <w:tcW w:w="833" w:type="pct"/>
          </w:tcPr>
          <w:p w14:paraId="1C641C10" w14:textId="77777777" w:rsidR="00782CFA" w:rsidRPr="006B3F59" w:rsidRDefault="00782CFA" w:rsidP="00782CFA">
            <w:pPr>
              <w:pStyle w:val="Tabulkatext"/>
              <w:spacing w:before="40" w:after="40"/>
              <w:jc w:val="center"/>
            </w:pPr>
            <w:r w:rsidRPr="006B3F59">
              <w:t>-2 – -3</w:t>
            </w:r>
          </w:p>
        </w:tc>
        <w:tc>
          <w:tcPr>
            <w:tcW w:w="1971" w:type="pct"/>
          </w:tcPr>
          <w:p w14:paraId="479548F6" w14:textId="77777777" w:rsidR="00782CFA" w:rsidRPr="006B3F59" w:rsidRDefault="00782CFA" w:rsidP="00782CFA">
            <w:pPr>
              <w:pStyle w:val="Tabulkatext"/>
              <w:spacing w:before="40" w:after="40"/>
            </w:pPr>
            <w:r w:rsidRPr="006B3F59">
              <w:t>Počet dnů se sněhovou pokrývkou</w:t>
            </w:r>
          </w:p>
        </w:tc>
        <w:tc>
          <w:tcPr>
            <w:tcW w:w="605" w:type="pct"/>
          </w:tcPr>
          <w:p w14:paraId="451CD338" w14:textId="5C8756DF" w:rsidR="00782CFA" w:rsidRPr="006B3F59" w:rsidRDefault="007F0572" w:rsidP="00782CFA">
            <w:pPr>
              <w:pStyle w:val="Tabulkatext"/>
              <w:spacing w:before="40" w:after="40"/>
              <w:jc w:val="center"/>
            </w:pPr>
            <w:r w:rsidRPr="006B3F59">
              <w:t>40–50</w:t>
            </w:r>
          </w:p>
        </w:tc>
      </w:tr>
      <w:tr w:rsidR="00782CFA" w:rsidRPr="006B3F59" w14:paraId="29DD1BFD" w14:textId="77777777" w:rsidTr="00782CFA">
        <w:tc>
          <w:tcPr>
            <w:tcW w:w="1591" w:type="pct"/>
          </w:tcPr>
          <w:p w14:paraId="0FD2BFFC" w14:textId="77777777" w:rsidR="00782CFA" w:rsidRPr="006B3F59" w:rsidRDefault="00782CFA" w:rsidP="00782CFA">
            <w:pPr>
              <w:pStyle w:val="Tabulkatext"/>
              <w:spacing w:before="40" w:after="40"/>
            </w:pPr>
            <w:r w:rsidRPr="006B3F59">
              <w:t>Prům. teplota v červenci</w:t>
            </w:r>
          </w:p>
        </w:tc>
        <w:tc>
          <w:tcPr>
            <w:tcW w:w="833" w:type="pct"/>
          </w:tcPr>
          <w:p w14:paraId="231BDF45" w14:textId="17F96726" w:rsidR="00782CFA" w:rsidRPr="006B3F59" w:rsidRDefault="007F0572" w:rsidP="00782CFA">
            <w:pPr>
              <w:pStyle w:val="Tabulkatext"/>
              <w:spacing w:before="40" w:after="40"/>
              <w:jc w:val="center"/>
            </w:pPr>
            <w:r w:rsidRPr="006B3F59">
              <w:t>18–19</w:t>
            </w:r>
            <w:r w:rsidR="00782CFA" w:rsidRPr="006B3F59">
              <w:t xml:space="preserve"> </w:t>
            </w:r>
          </w:p>
        </w:tc>
        <w:tc>
          <w:tcPr>
            <w:tcW w:w="1971" w:type="pct"/>
          </w:tcPr>
          <w:p w14:paraId="7F5120CC" w14:textId="77777777" w:rsidR="00782CFA" w:rsidRPr="006B3F59" w:rsidRDefault="00782CFA" w:rsidP="00782CFA">
            <w:pPr>
              <w:pStyle w:val="Tabulkatext"/>
              <w:spacing w:before="40" w:after="40"/>
            </w:pPr>
            <w:r w:rsidRPr="006B3F59">
              <w:t>Počet dnů zamračených</w:t>
            </w:r>
          </w:p>
        </w:tc>
        <w:tc>
          <w:tcPr>
            <w:tcW w:w="605" w:type="pct"/>
          </w:tcPr>
          <w:p w14:paraId="66641DEE" w14:textId="7AA3B4AD" w:rsidR="00782CFA" w:rsidRPr="006B3F59" w:rsidRDefault="007F0572" w:rsidP="00782CFA">
            <w:pPr>
              <w:pStyle w:val="Tabulkatext"/>
              <w:spacing w:before="40" w:after="40"/>
              <w:jc w:val="center"/>
            </w:pPr>
            <w:r w:rsidRPr="006B3F59">
              <w:t>120–140</w:t>
            </w:r>
            <w:r w:rsidR="00782CFA" w:rsidRPr="006B3F59">
              <w:t xml:space="preserve"> </w:t>
            </w:r>
          </w:p>
        </w:tc>
      </w:tr>
      <w:tr w:rsidR="00782CFA" w:rsidRPr="006B3F59" w14:paraId="7A670B06" w14:textId="77777777" w:rsidTr="00782CFA">
        <w:tc>
          <w:tcPr>
            <w:tcW w:w="1591" w:type="pct"/>
          </w:tcPr>
          <w:p w14:paraId="22877B4C" w14:textId="77777777" w:rsidR="00782CFA" w:rsidRPr="006B3F59" w:rsidRDefault="00782CFA" w:rsidP="00782CFA">
            <w:pPr>
              <w:pStyle w:val="Tabulkatext"/>
              <w:spacing w:before="40" w:after="40"/>
            </w:pPr>
            <w:r w:rsidRPr="006B3F59">
              <w:t>Prům. teplota v dubnu</w:t>
            </w:r>
          </w:p>
        </w:tc>
        <w:tc>
          <w:tcPr>
            <w:tcW w:w="833" w:type="pct"/>
          </w:tcPr>
          <w:p w14:paraId="4291E9E7" w14:textId="306BA14E" w:rsidR="00782CFA" w:rsidRPr="006B3F59" w:rsidRDefault="007F0572" w:rsidP="00782CFA">
            <w:pPr>
              <w:pStyle w:val="Tabulkatext"/>
              <w:spacing w:before="40" w:after="40"/>
              <w:jc w:val="center"/>
            </w:pPr>
            <w:r w:rsidRPr="006B3F59">
              <w:t>8–9</w:t>
            </w:r>
            <w:r w:rsidR="00782CFA" w:rsidRPr="006B3F59">
              <w:t xml:space="preserve"> </w:t>
            </w:r>
          </w:p>
        </w:tc>
        <w:tc>
          <w:tcPr>
            <w:tcW w:w="1971" w:type="pct"/>
            <w:tcBorders>
              <w:bottom w:val="single" w:sz="8" w:space="0" w:color="auto"/>
            </w:tcBorders>
          </w:tcPr>
          <w:p w14:paraId="72C70DD8" w14:textId="77777777" w:rsidR="00782CFA" w:rsidRPr="006B3F59" w:rsidRDefault="00782CFA" w:rsidP="00782CFA">
            <w:pPr>
              <w:pStyle w:val="Tabulkatext"/>
              <w:spacing w:before="40" w:after="40"/>
            </w:pPr>
            <w:r w:rsidRPr="006B3F59">
              <w:t>Počet dnů jasných</w:t>
            </w:r>
          </w:p>
        </w:tc>
        <w:tc>
          <w:tcPr>
            <w:tcW w:w="605" w:type="pct"/>
            <w:tcBorders>
              <w:bottom w:val="single" w:sz="8" w:space="0" w:color="auto"/>
            </w:tcBorders>
          </w:tcPr>
          <w:p w14:paraId="596B09E2" w14:textId="2C434FC9" w:rsidR="00782CFA" w:rsidRPr="006B3F59" w:rsidRDefault="007F0572" w:rsidP="00782CFA">
            <w:pPr>
              <w:pStyle w:val="Tabulkatext"/>
              <w:spacing w:before="40" w:after="40"/>
              <w:jc w:val="center"/>
            </w:pPr>
            <w:r w:rsidRPr="006B3F59">
              <w:t>40–50</w:t>
            </w:r>
            <w:r w:rsidR="00782CFA" w:rsidRPr="006B3F59">
              <w:t xml:space="preserve"> </w:t>
            </w:r>
          </w:p>
        </w:tc>
      </w:tr>
    </w:tbl>
    <w:p w14:paraId="5E1EE2E8" w14:textId="77777777" w:rsidR="00782CFA" w:rsidRPr="006B3F59" w:rsidRDefault="00782CFA" w:rsidP="00782CFA">
      <w:pPr>
        <w:pStyle w:val="Podnadpis1"/>
      </w:pPr>
      <w:r w:rsidRPr="006B3F59">
        <w:t>Klimatické změny</w:t>
      </w:r>
    </w:p>
    <w:p w14:paraId="61F3D68A" w14:textId="2AD68B0E" w:rsidR="00782CFA" w:rsidRPr="006B3F59" w:rsidRDefault="00782CFA" w:rsidP="00782CFA">
      <w:r w:rsidRPr="006B3F59">
        <w:t>Pozorovaná současná a očekávaná budoucí změna klimatu se dle analýz meteorologických dat a</w:t>
      </w:r>
      <w:r w:rsidR="00A12EAA" w:rsidRPr="006B3F59">
        <w:t> </w:t>
      </w:r>
      <w:r w:rsidRPr="006B3F59">
        <w:t xml:space="preserve">klimatických modelů v České republice projevuje: </w:t>
      </w:r>
    </w:p>
    <w:p w14:paraId="627A5A6D" w14:textId="03A152D5" w:rsidR="00782CFA" w:rsidRPr="006B3F59" w:rsidRDefault="00782CFA">
      <w:pPr>
        <w:pStyle w:val="Odstavecseseznamem"/>
        <w:numPr>
          <w:ilvl w:val="0"/>
          <w:numId w:val="18"/>
        </w:numPr>
        <w:ind w:left="426" w:hanging="426"/>
      </w:pPr>
      <w:r w:rsidRPr="006B3F59">
        <w:t>Zvyšováním průměrných ročních teplot, častějšími krátkodobými výkyvy a četnějšími extrémy (např.</w:t>
      </w:r>
      <w:r w:rsidR="00A12EAA" w:rsidRPr="006B3F59">
        <w:t> </w:t>
      </w:r>
      <w:r w:rsidRPr="006B3F59">
        <w:t xml:space="preserve">nárůst počtu tropických dní a nocí, vlny horka) </w:t>
      </w:r>
    </w:p>
    <w:p w14:paraId="0AEBEFD4" w14:textId="5EF37870" w:rsidR="00782CFA" w:rsidRPr="006B3F59" w:rsidRDefault="00782CFA">
      <w:pPr>
        <w:pStyle w:val="Odstavecseseznamem"/>
        <w:numPr>
          <w:ilvl w:val="0"/>
          <w:numId w:val="18"/>
        </w:numPr>
        <w:ind w:left="426" w:hanging="426"/>
      </w:pPr>
      <w:r w:rsidRPr="006B3F59">
        <w:t>Změnou rozložení srážek v čase a prostoru při zachování jejich průměrných ročních úhrnů (např.</w:t>
      </w:r>
      <w:r w:rsidR="00A12EAA" w:rsidRPr="006B3F59">
        <w:t> </w:t>
      </w:r>
      <w:r w:rsidRPr="006B3F59">
        <w:t xml:space="preserve">intenzivní krátkodobé úhrny a povodně, sucha) </w:t>
      </w:r>
    </w:p>
    <w:p w14:paraId="185C3E88" w14:textId="07575204" w:rsidR="00782CFA" w:rsidRPr="006B3F59" w:rsidRDefault="00782CFA">
      <w:pPr>
        <w:pStyle w:val="Odstavecseseznamem"/>
        <w:numPr>
          <w:ilvl w:val="0"/>
          <w:numId w:val="18"/>
        </w:numPr>
        <w:ind w:left="426" w:hanging="426"/>
      </w:pPr>
      <w:r w:rsidRPr="006B3F59">
        <w:t xml:space="preserve">Vyšší četností a intenzitou dalších extrémních hydrometeorologických jevů (např. bouřky, krupobití, silný </w:t>
      </w:r>
      <w:r w:rsidR="00CF6B6D" w:rsidRPr="006B3F59">
        <w:t>vítr...</w:t>
      </w:r>
      <w:r w:rsidR="00116E25" w:rsidRPr="006B3F59">
        <w:t>).</w:t>
      </w:r>
    </w:p>
    <w:p w14:paraId="0F2BCBCC" w14:textId="3D4696D1" w:rsidR="00C349A2" w:rsidRPr="006B3F59" w:rsidRDefault="00C349A2" w:rsidP="00584F29">
      <w:r w:rsidRPr="006B3F59">
        <w:t>Město Praha schválilo Strate</w:t>
      </w:r>
      <w:r w:rsidR="00584F29" w:rsidRPr="006B3F59">
        <w:t>g</w:t>
      </w:r>
      <w:r w:rsidRPr="006B3F59">
        <w:t>ii adaptace hl. m. Prahy na klimatickou změnu a Akční plán pro adaptaci na klimatickou změnu</w:t>
      </w:r>
      <w:r w:rsidR="00E25773" w:rsidRPr="006B3F59">
        <w:t>, na základě rozsáhlé Analýzy</w:t>
      </w:r>
      <w:r w:rsidR="00584F29" w:rsidRPr="006B3F59">
        <w:t xml:space="preserve"> dopadů klimatické změny v Praze, která</w:t>
      </w:r>
      <w:r w:rsidR="00EC3956" w:rsidRPr="006B3F59">
        <w:t xml:space="preserve"> byla</w:t>
      </w:r>
      <w:r w:rsidR="00584F29" w:rsidRPr="006B3F59">
        <w:t xml:space="preserve"> </w:t>
      </w:r>
      <w:r w:rsidR="00E25773" w:rsidRPr="006B3F59">
        <w:t xml:space="preserve">zpracována v roce 2016 a </w:t>
      </w:r>
      <w:r w:rsidR="00584F29" w:rsidRPr="006B3F59">
        <w:t>sloužila</w:t>
      </w:r>
      <w:r w:rsidR="00E25773" w:rsidRPr="006B3F59">
        <w:t xml:space="preserve"> </w:t>
      </w:r>
      <w:r w:rsidR="00584F29" w:rsidRPr="006B3F59">
        <w:t>jako podklad pro výš</w:t>
      </w:r>
      <w:r w:rsidR="00E25773" w:rsidRPr="006B3F59">
        <w:t>e uvedené strategické dokumenty.</w:t>
      </w:r>
    </w:p>
    <w:p w14:paraId="5D7449B8" w14:textId="644BCFD5" w:rsidR="00782CFA" w:rsidRPr="006B3F59" w:rsidRDefault="00782CFA" w:rsidP="00782CFA">
      <w:r w:rsidRPr="006B3F59">
        <w:t>Níže pak uvádíme některé informace o vývoji klimatu v </w:t>
      </w:r>
      <w:r w:rsidR="00584F29" w:rsidRPr="006B3F59">
        <w:t>Praze</w:t>
      </w:r>
      <w:r w:rsidRPr="006B3F59">
        <w:t>, kter</w:t>
      </w:r>
      <w:r w:rsidR="00352975" w:rsidRPr="006B3F59">
        <w:t>é byly získány z</w:t>
      </w:r>
      <w:r w:rsidR="00E25773" w:rsidRPr="006B3F59">
        <w:t> těchto dokumentů</w:t>
      </w:r>
      <w:r w:rsidR="00352975" w:rsidRPr="006B3F59">
        <w:t>.</w:t>
      </w:r>
    </w:p>
    <w:p w14:paraId="6643D239" w14:textId="074689DA" w:rsidR="00584F29" w:rsidRPr="006B3F59" w:rsidRDefault="00584F29" w:rsidP="00584F29">
      <w:r w:rsidRPr="006B3F59">
        <w:t>Projekce klimatických parametrů vycházejí z nejnovějších klimatických scénářů RCP (Representative Concentration Pathways; Van Vuuren et al. 2011) – RCP8.5 (bez omezení emisí CO</w:t>
      </w:r>
      <w:r w:rsidRPr="006B3F59">
        <w:rPr>
          <w:vertAlign w:val="subscript"/>
        </w:rPr>
        <w:t>2</w:t>
      </w:r>
      <w:r w:rsidRPr="006B3F59">
        <w:t>) a RCP4.5 (stabilizace koncentrací CO</w:t>
      </w:r>
      <w:r w:rsidRPr="006B3F59">
        <w:rPr>
          <w:vertAlign w:val="subscript"/>
        </w:rPr>
        <w:t>2</w:t>
      </w:r>
      <w:r w:rsidRPr="006B3F59">
        <w:t xml:space="preserve"> na nižších hodnotách), které byly korigovány pro Českou republiku, což zajišťuje zachování současných specifik daných míst. Na základě nejnovějších výstupů klimatických modelů (EURO-CORDEX) dojde v letech 2021-2040 k oteplení na území České republiky v průměru o 0,9</w:t>
      </w:r>
      <w:r w:rsidR="00F2784F" w:rsidRPr="006B3F59">
        <w:t xml:space="preserve"> </w:t>
      </w:r>
      <w:r w:rsidRPr="006B3F59">
        <w:t>°C podle RCP4.5 a o 1,0</w:t>
      </w:r>
      <w:r w:rsidR="00F2784F" w:rsidRPr="006B3F59">
        <w:t xml:space="preserve"> </w:t>
      </w:r>
      <w:r w:rsidRPr="006B3F59">
        <w:t xml:space="preserve">°C podle RCP8.5. </w:t>
      </w:r>
      <w:r w:rsidR="006B5E64" w:rsidRPr="006B3F59">
        <w:t xml:space="preserve">Oba emisní scénáře počítají s postupným nárůstem teplot vzduchu a ke konci století se již významně oba možné scénáře rozcházejí. </w:t>
      </w:r>
      <w:r w:rsidRPr="006B3F59">
        <w:t xml:space="preserve">Podle </w:t>
      </w:r>
      <w:r w:rsidR="006B5E64" w:rsidRPr="006B3F59">
        <w:t>umírněnějšího</w:t>
      </w:r>
      <w:r w:rsidRPr="006B3F59">
        <w:t xml:space="preserve"> RCP4.5 vzroste teplota ke konci století (2081-2100) o 2,0</w:t>
      </w:r>
      <w:r w:rsidR="00F2784F" w:rsidRPr="006B3F59">
        <w:t xml:space="preserve"> </w:t>
      </w:r>
      <w:r w:rsidRPr="006B3F59">
        <w:t>°C, ale za předpokladu většího množství CO</w:t>
      </w:r>
      <w:r w:rsidRPr="006B3F59">
        <w:rPr>
          <w:vertAlign w:val="subscript"/>
        </w:rPr>
        <w:t>2</w:t>
      </w:r>
      <w:r w:rsidRPr="006B3F59">
        <w:t xml:space="preserve"> v ovzduší by se teplota zvedla i 4,1</w:t>
      </w:r>
      <w:r w:rsidR="00F2784F" w:rsidRPr="006B3F59">
        <w:t xml:space="preserve"> </w:t>
      </w:r>
      <w:r w:rsidRPr="006B3F59">
        <w:t>°C.</w:t>
      </w:r>
    </w:p>
    <w:p w14:paraId="2550BDFE" w14:textId="311687B7" w:rsidR="000B26C5" w:rsidRPr="006B3F59" w:rsidRDefault="000B26C5" w:rsidP="000B26C5">
      <w:r w:rsidRPr="006B3F59">
        <w:t xml:space="preserve">Klimatická změna v Praze se konkrétně projevuje hlavně zvýšením teploty vzduchu. Předpokládá se, že do roku 2030 dojde ke zvýšení průměrné roční teploty vzduchu zhruba o 1 °C, a dle předpovědí má průměrná roční teplota do roku 2100 dále nárůst o 2-5 °C v závislosti na předpokládaném RCP scénáři. Dále se bude zvyšovat pravděpodobnost výskytu, intenzity i délky trvání episodických vln extrémně vysokých teplot, vzroste počet tropických dní (nad 30 °C) a nocí (nad 20 °C). </w:t>
      </w:r>
      <w:r w:rsidR="006B5E64" w:rsidRPr="006B3F59">
        <w:t>Ve velkých městech se budou prohlubovat negativní dopady fenoménu tepelného ostrova města.</w:t>
      </w:r>
    </w:p>
    <w:p w14:paraId="4292B751" w14:textId="28A356BF" w:rsidR="000B26C5" w:rsidRPr="006B3F59" w:rsidRDefault="000B26C5" w:rsidP="000B26C5">
      <w:r w:rsidRPr="006B3F59">
        <w:t xml:space="preserve">Celkové roční srážkové úhrny mají být podobné jako v současnosti, ale změní se jejich distribuce. Zimní srážkové úhrny se mají zvyšovat, letní srážkové úhrny budou naopak klesat, významně vzroste počet dnů bezesrážkového období a riziko vzniku sucha. Dalšími očekávanými, ale zároveň již probíhajícími změnami prochází hydrologický cyklus a distribuce srážek, Na jedné straně roste riziko přívalových dešťů a následných lokálních povodní, zvyšuje se maximální průtok řek, ale zároveň klesá průměrný a minimální průtok, případně může docházet k úplnému vyschnutí toku, Obecně dochází k nárůstu intenzivních srážek a oproti tomu dlouhých </w:t>
      </w:r>
      <w:r w:rsidR="006B5E64" w:rsidRPr="006B3F59">
        <w:t>bezesrážkových</w:t>
      </w:r>
      <w:r w:rsidRPr="006B3F59">
        <w:t xml:space="preserve"> epizod. Také dojde ke zvýšení četnosti extrémních povětrnostních jevů (vichřice, tornáda, povodně, sucha).</w:t>
      </w:r>
    </w:p>
    <w:p w14:paraId="1D4DF693" w14:textId="1A2B7E3A" w:rsidR="000B26C5" w:rsidRPr="006B3F59" w:rsidRDefault="000B26C5" w:rsidP="000B26C5">
      <w:r w:rsidRPr="006B3F59">
        <w:t>Tyto projevy jsou v podmínkách městského prostředí hlavního města Prahy spojeny zejména s následujícími dopady:</w:t>
      </w:r>
    </w:p>
    <w:p w14:paraId="3BE2A2E4" w14:textId="72D12C7C" w:rsidR="000B26C5" w:rsidRPr="006B3F59" w:rsidRDefault="000B26C5" w:rsidP="000B26C5">
      <w:pPr>
        <w:pStyle w:val="Odrky1"/>
      </w:pPr>
      <w:r w:rsidRPr="006B3F59">
        <w:t>Vyšší četností a delším trváním vln horka, umocněných efektem tepelného ostrova města (tzv. „urban heat island“; UHI);</w:t>
      </w:r>
    </w:p>
    <w:p w14:paraId="28476FD9" w14:textId="5DA476B9" w:rsidR="000B26C5" w:rsidRPr="006B3F59" w:rsidRDefault="000B26C5" w:rsidP="000B26C5">
      <w:pPr>
        <w:pStyle w:val="Odrky1"/>
      </w:pPr>
      <w:r w:rsidRPr="006B3F59">
        <w:t>bleskové povodně na malých urbanizovaných povodích, podpořené vysokým podílem nepropustných povrchů a vysokým povrchovým odtokem srážkových vod;</w:t>
      </w:r>
    </w:p>
    <w:p w14:paraId="6470F2BA" w14:textId="48FED228" w:rsidR="000B26C5" w:rsidRPr="006B3F59" w:rsidRDefault="000B26C5" w:rsidP="000B26C5">
      <w:pPr>
        <w:pStyle w:val="Odrky1"/>
      </w:pPr>
      <w:r w:rsidRPr="006B3F59">
        <w:lastRenderedPageBreak/>
        <w:t>sucho (hydrologické, rostlinné fyziologické (zemědělské), socioekonomické sucho).</w:t>
      </w:r>
    </w:p>
    <w:p w14:paraId="0DC42655" w14:textId="5C1CA6DB" w:rsidR="000B26C5" w:rsidRPr="006B3F59" w:rsidRDefault="000B26C5" w:rsidP="000B26C5">
      <w:r w:rsidRPr="006B3F59">
        <w:t>Hodnocení zranitelnosti bylo pro Prahu provedeno vzhledem ke dvěma projevům klimatické změny ve městech, (1) vlnám horka a (2) extrémním srážkám a nedostatečnému zasakování srážkové vody. Analýzy byly provedeny pro blízkou budoucnost (2021-2040, průměr rok 2030) ve srovnání s referenčním stavem (1981-2010), pro dva emisní scénáře RCP4.5 (stabilizace koncentrací emisí CO</w:t>
      </w:r>
      <w:r w:rsidRPr="006B3F59">
        <w:rPr>
          <w:vertAlign w:val="subscript"/>
        </w:rPr>
        <w:t>2</w:t>
      </w:r>
      <w:r w:rsidRPr="006B3F59">
        <w:t xml:space="preserve"> na nižších hodnotách) a RCP8.5 (vysoko-emisní scénář). Výsledky ukazují, že zranitelnost vůči vlnám horka i nedostatečnému zasakování srážkové vody se bude v blízké budoucnosti zvyšovat, nejvíce v centrálních městských částech. Tento trend může být dále zhoršován demografickými změnami (např. stárnutím populace a následným zvyšováním citlivosti), rostoucí zastavěností městského území a úbytkem zelených ploch.</w:t>
      </w:r>
    </w:p>
    <w:p w14:paraId="4B8A1F58" w14:textId="734D830B" w:rsidR="00782CFA" w:rsidRPr="006B3F59" w:rsidRDefault="000B26C5" w:rsidP="00661BD1">
      <w:pPr>
        <w:jc w:val="center"/>
      </w:pPr>
      <w:r w:rsidRPr="006B3F59">
        <w:rPr>
          <w:noProof/>
          <w:lang w:eastAsia="cs-CZ"/>
        </w:rPr>
        <w:drawing>
          <wp:inline distT="0" distB="0" distL="0" distR="0" wp14:anchorId="7FA9351A" wp14:editId="7DF9A052">
            <wp:extent cx="4189863" cy="2107476"/>
            <wp:effectExtent l="0" t="0" r="1270" b="7620"/>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0" cstate="screen">
                      <a:extLst>
                        <a:ext uri="{28A0092B-C50C-407E-A947-70E740481C1C}">
                          <a14:useLocalDpi xmlns:a14="http://schemas.microsoft.com/office/drawing/2010/main"/>
                        </a:ext>
                      </a:extLst>
                    </a:blip>
                    <a:srcRect/>
                    <a:stretch/>
                  </pic:blipFill>
                  <pic:spPr bwMode="auto">
                    <a:xfrm>
                      <a:off x="0" y="0"/>
                      <a:ext cx="4192973" cy="2109040"/>
                    </a:xfrm>
                    <a:prstGeom prst="rect">
                      <a:avLst/>
                    </a:prstGeom>
                    <a:ln>
                      <a:noFill/>
                    </a:ln>
                    <a:extLst>
                      <a:ext uri="{53640926-AAD7-44D8-BBD7-CCE9431645EC}">
                        <a14:shadowObscured xmlns:a14="http://schemas.microsoft.com/office/drawing/2010/main"/>
                      </a:ext>
                    </a:extLst>
                  </pic:spPr>
                </pic:pic>
              </a:graphicData>
            </a:graphic>
          </wp:inline>
        </w:drawing>
      </w:r>
    </w:p>
    <w:p w14:paraId="292167B5" w14:textId="652B87C1" w:rsidR="00661BD1" w:rsidRPr="006B3F59" w:rsidRDefault="000B26C5" w:rsidP="00254B8A">
      <w:pPr>
        <w:pStyle w:val="Obrnadpis"/>
      </w:pPr>
      <w:bookmarkStart w:id="122" w:name="_Toc29298528"/>
      <w:bookmarkStart w:id="123" w:name="_Toc138848213"/>
      <w:r w:rsidRPr="006B3F59">
        <w:t>Roční chod intenzity tepelného ostrova v Praze</w:t>
      </w:r>
      <w:r w:rsidR="00782CFA" w:rsidRPr="006B3F59">
        <w:t xml:space="preserve"> (zdroj: </w:t>
      </w:r>
      <w:r w:rsidR="008C6CB7" w:rsidRPr="006B3F59">
        <w:t>ČHMÚ</w:t>
      </w:r>
      <w:r w:rsidRPr="006B3F59">
        <w:t xml:space="preserve"> - projekt UHI (2016), in Analytická část Adaptační strategie hl.m. Prahy na změnu klimatu</w:t>
      </w:r>
      <w:r w:rsidR="00782CFA" w:rsidRPr="006B3F59">
        <w:t>)</w:t>
      </w:r>
      <w:bookmarkEnd w:id="122"/>
      <w:bookmarkEnd w:id="123"/>
    </w:p>
    <w:p w14:paraId="3B354865" w14:textId="15411591" w:rsidR="00782CFA" w:rsidRPr="006B3F59" w:rsidRDefault="008C6CB7" w:rsidP="008C6CB7">
      <w:pPr>
        <w:jc w:val="center"/>
      </w:pPr>
      <w:r w:rsidRPr="006B3F59">
        <w:rPr>
          <w:noProof/>
          <w:lang w:eastAsia="cs-CZ"/>
        </w:rPr>
        <w:drawing>
          <wp:inline distT="0" distB="0" distL="0" distR="0" wp14:anchorId="7CE52780" wp14:editId="6C886F62">
            <wp:extent cx="3589362" cy="3984586"/>
            <wp:effectExtent l="0" t="0" r="0" b="0"/>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cstate="screen">
                      <a:extLst>
                        <a:ext uri="{28A0092B-C50C-407E-A947-70E740481C1C}">
                          <a14:useLocalDpi xmlns:a14="http://schemas.microsoft.com/office/drawing/2010/main"/>
                        </a:ext>
                      </a:extLst>
                    </a:blip>
                    <a:srcRect/>
                    <a:stretch/>
                  </pic:blipFill>
                  <pic:spPr bwMode="auto">
                    <a:xfrm>
                      <a:off x="0" y="0"/>
                      <a:ext cx="3595670" cy="3991589"/>
                    </a:xfrm>
                    <a:prstGeom prst="rect">
                      <a:avLst/>
                    </a:prstGeom>
                    <a:ln>
                      <a:noFill/>
                    </a:ln>
                    <a:extLst>
                      <a:ext uri="{53640926-AAD7-44D8-BBD7-CCE9431645EC}">
                        <a14:shadowObscured xmlns:a14="http://schemas.microsoft.com/office/drawing/2010/main"/>
                      </a:ext>
                    </a:extLst>
                  </pic:spPr>
                </pic:pic>
              </a:graphicData>
            </a:graphic>
          </wp:inline>
        </w:drawing>
      </w:r>
    </w:p>
    <w:p w14:paraId="06272F8C" w14:textId="2EE62E56" w:rsidR="00782CFA" w:rsidRPr="006B3F59" w:rsidRDefault="000B26C5" w:rsidP="00254B8A">
      <w:pPr>
        <w:pStyle w:val="Obrnadpis"/>
      </w:pPr>
      <w:bookmarkStart w:id="124" w:name="_Toc29298529"/>
      <w:bookmarkStart w:id="125" w:name="_Toc138848214"/>
      <w:r w:rsidRPr="006B3F59">
        <w:t>Nárůst počtu tropických dní pro scénáře RCP4.5, RCP8.5 pro období blízké (2021-2040) a vzdálené budoucnosti</w:t>
      </w:r>
      <w:r w:rsidR="008C6CB7" w:rsidRPr="006B3F59">
        <w:t xml:space="preserve"> </w:t>
      </w:r>
      <w:r w:rsidRPr="006B3F59">
        <w:t>(2081-2100), v porovnání s referenčním stavem (1981-2010)</w:t>
      </w:r>
      <w:r w:rsidR="008C6CB7" w:rsidRPr="006B3F59">
        <w:t xml:space="preserve"> </w:t>
      </w:r>
      <w:r w:rsidR="00782CFA" w:rsidRPr="006B3F59">
        <w:t>(</w:t>
      </w:r>
      <w:r w:rsidR="008C6CB7" w:rsidRPr="006B3F59">
        <w:t>zdroj: Ústav výzkumu globální změny AV ČR – CzechGlobe (2016), in Analytická část Adaptační strategie hl.m. Prahy na změnu klimatu</w:t>
      </w:r>
      <w:r w:rsidR="00782CFA" w:rsidRPr="006B3F59">
        <w:t>)</w:t>
      </w:r>
      <w:bookmarkEnd w:id="124"/>
      <w:bookmarkEnd w:id="125"/>
    </w:p>
    <w:p w14:paraId="2857D412" w14:textId="21B2A535" w:rsidR="00782CFA" w:rsidRPr="006B3F59" w:rsidRDefault="00782CFA" w:rsidP="00782CFA">
      <w:r w:rsidRPr="006B3F59">
        <w:t xml:space="preserve">Město </w:t>
      </w:r>
      <w:r w:rsidR="00584F29" w:rsidRPr="006B3F59">
        <w:t>Praha</w:t>
      </w:r>
      <w:r w:rsidRPr="006B3F59">
        <w:t xml:space="preserve"> </w:t>
      </w:r>
      <w:r w:rsidR="00352975" w:rsidRPr="006B3F59">
        <w:t>se stalo jedním</w:t>
      </w:r>
      <w:r w:rsidRPr="006B3F59">
        <w:t xml:space="preserve"> ze 3 měst, které bylo začleněno do projektu UrbanAdapt. Tento projekt byl</w:t>
      </w:r>
      <w:r w:rsidR="00A12EAA" w:rsidRPr="006B3F59">
        <w:t> </w:t>
      </w:r>
      <w:r w:rsidRPr="006B3F59">
        <w:t xml:space="preserve">realizován v letech 2015-2016. Cílem projektu UrbanAdapt bylo reagovat na možné dopady změny klimatu </w:t>
      </w:r>
      <w:r w:rsidRPr="006B3F59">
        <w:lastRenderedPageBreak/>
        <w:t>ve městech, spustit a rozvíjet proces přípravy adaptačních strategií měst, navrhnout a vyhodnotit vhodná adaptační opatření ve vybraných urbánních oblastech (Praha, Brno, Plzeň) v České republice za</w:t>
      </w:r>
      <w:r w:rsidR="00A12EAA" w:rsidRPr="006B3F59">
        <w:t> </w:t>
      </w:r>
      <w:r w:rsidRPr="006B3F59">
        <w:t>podpory ekosystémově založených přístupů. Projekt rozvíjí spolupráci akademického sektoru a nevládních organizací s cílovými městy. Významnou součástí projektu je rovněž mezinárodní spolupráce projektového týmu s Institutem pro udržitelný rozvoj Islandské univerzity.</w:t>
      </w:r>
    </w:p>
    <w:p w14:paraId="4C6F7195" w14:textId="3E7FDC60" w:rsidR="00782CFA" w:rsidRPr="006B3F59" w:rsidRDefault="00782CFA" w:rsidP="00782CFA">
      <w:r w:rsidRPr="006B3F59">
        <w:t>Dílčími cíli projektu je provést posouzení rizik a zranitelnosti spojených se změnou klimatu na lokální urbánní úrovni. Dalším cílem ve spolupráci se zainteresovanými subjekty identifikovat relevantní adaptační opatření, kvantifikovat náklady a přínosy preferovaných adaptačních opatření. Navazujícím cílem je připravit a formulovat adaptační strategie měst v návaznosti na připravovaný národní dokument</w:t>
      </w:r>
      <w:r w:rsidR="00E441F6" w:rsidRPr="006B3F59">
        <w:t>:</w:t>
      </w:r>
      <w:r w:rsidRPr="006B3F59">
        <w:t xml:space="preserve"> Strategie přizpůsobení změně klimatu v podmínkách ČR. Poté bude zahájen implementační proces adaptačních strategií.</w:t>
      </w:r>
    </w:p>
    <w:p w14:paraId="6A654010" w14:textId="23A67114" w:rsidR="00782CFA" w:rsidRPr="006B3F59" w:rsidRDefault="00782CFA" w:rsidP="00782CFA">
      <w:r w:rsidRPr="006B3F59">
        <w:t>Významnou součástí projektu UrbanAdapt je začlenění prvků „zelené a</w:t>
      </w:r>
      <w:r w:rsidR="0032418B" w:rsidRPr="006B3F59">
        <w:t xml:space="preserve"> </w:t>
      </w:r>
      <w:r w:rsidRPr="006B3F59">
        <w:t>modré infrastruktury" a ekosystémových služeb do adaptačního cyklu a jednotlivých adaptačních opatření a adaptačních alternativ. Ekosystémově založené přístupy k adaptacím jsou snadno dostupná a nákladově efektivní řešení. Poskytují široké spektrum výhod jako je snížení povodňového rizika, snížení eroze půdy, lepší kvalitu vody a ovzduší a současně snížení efektu městských tepelných ostrovů. Tyto přístupy k adaptacím jsou</w:t>
      </w:r>
      <w:r w:rsidR="00A12EAA" w:rsidRPr="006B3F59">
        <w:t> </w:t>
      </w:r>
      <w:r w:rsidRPr="006B3F59">
        <w:t xml:space="preserve">podporovány ve Strategii EU pro přizpůsobení se změně </w:t>
      </w:r>
      <w:r w:rsidR="003577E4" w:rsidRPr="006B3F59">
        <w:t>klimatu.</w:t>
      </w:r>
    </w:p>
    <w:p w14:paraId="3D951228" w14:textId="68A78146" w:rsidR="00782CFA" w:rsidRPr="006B3F59" w:rsidRDefault="00782CFA" w:rsidP="00782CFA">
      <w:r w:rsidRPr="006B3F59">
        <w:t xml:space="preserve">V rámci tohoto dokumentu byl stanoven přehled ekosystémově založených adaptačních opatření. Ekosystémově založená adaptační opatření jsou často preferována pro jejich </w:t>
      </w:r>
      <w:r w:rsidR="003577E4" w:rsidRPr="006B3F59">
        <w:t>multifunkčnost – schopnost</w:t>
      </w:r>
      <w:r w:rsidRPr="006B3F59">
        <w:t xml:space="preserve"> poskytovat širokou škálu </w:t>
      </w:r>
      <w:r w:rsidR="003577E4" w:rsidRPr="006B3F59">
        <w:t>benefitů – ale</w:t>
      </w:r>
      <w:r w:rsidRPr="006B3F59">
        <w:t xml:space="preserve"> také pro dlouhou životnost. Tato opatření je možné rozdělit dle jejich primárního zaměření na </w:t>
      </w:r>
      <w:r w:rsidR="00352975" w:rsidRPr="006B3F59">
        <w:t xml:space="preserve">konkrétní </w:t>
      </w:r>
      <w:r w:rsidRPr="006B3F59">
        <w:t xml:space="preserve">hrozbu související se změnou klimatu. Některé z nich pomáhají primárně snížit negativní projevy vln horka a městských tepelných ostrovů, jiné jsou zacíleny na protipovodňovou ochranu, případně pomáhají předejít obdobím sucha tím, že maximalizují vsakování a retenci srážkové vody. </w:t>
      </w:r>
      <w:r w:rsidR="00116E25" w:rsidRPr="006B3F59">
        <w:t>Řada z těchto opatření může mít jako vedlejší efekt mitigaci (snižování emisí skleníkových plynů a posilování jejich propadů).</w:t>
      </w:r>
    </w:p>
    <w:p w14:paraId="1AE6703C" w14:textId="21BF9735" w:rsidR="00782CFA" w:rsidRPr="006B3F59" w:rsidRDefault="00782CFA" w:rsidP="00585C9B">
      <w:pPr>
        <w:jc w:val="center"/>
      </w:pPr>
      <w:r w:rsidRPr="006B3F59">
        <w:rPr>
          <w:noProof/>
          <w:lang w:eastAsia="cs-CZ"/>
        </w:rPr>
        <w:drawing>
          <wp:inline distT="0" distB="0" distL="0" distR="0" wp14:anchorId="3D29D8C6" wp14:editId="4925FDB5">
            <wp:extent cx="4562160" cy="3766782"/>
            <wp:effectExtent l="0" t="0" r="0" b="5715"/>
            <wp:docPr id="67"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brázek 6"/>
                    <pic:cNvPicPr>
                      <a:picLocks noChangeAspect="1" noChangeArrowheads="1"/>
                    </pic:cNvPicPr>
                  </pic:nvPicPr>
                  <pic:blipFill>
                    <a:blip r:embed="rId92" cstate="email">
                      <a:extLst>
                        <a:ext uri="{28A0092B-C50C-407E-A947-70E740481C1C}">
                          <a14:useLocalDpi xmlns:a14="http://schemas.microsoft.com/office/drawing/2010/main"/>
                        </a:ext>
                      </a:extLst>
                    </a:blip>
                    <a:srcRect/>
                    <a:stretch>
                      <a:fillRect/>
                    </a:stretch>
                  </pic:blipFill>
                  <pic:spPr bwMode="auto">
                    <a:xfrm>
                      <a:off x="0" y="0"/>
                      <a:ext cx="4569827" cy="3773112"/>
                    </a:xfrm>
                    <a:prstGeom prst="rect">
                      <a:avLst/>
                    </a:prstGeom>
                    <a:noFill/>
                  </pic:spPr>
                </pic:pic>
              </a:graphicData>
            </a:graphic>
          </wp:inline>
        </w:drawing>
      </w:r>
    </w:p>
    <w:p w14:paraId="156C7043" w14:textId="2D2E3452" w:rsidR="00782CFA" w:rsidRPr="006B3F59" w:rsidRDefault="00782CFA" w:rsidP="00254B8A">
      <w:pPr>
        <w:pStyle w:val="Obrnadpis"/>
      </w:pPr>
      <w:bookmarkStart w:id="126" w:name="_Toc29298530"/>
      <w:bookmarkStart w:id="127" w:name="_Toc138848215"/>
      <w:r w:rsidRPr="006B3F59">
        <w:t xml:space="preserve">Ekosystémově založená adaptační opatření (zdroj: </w:t>
      </w:r>
      <w:r w:rsidR="00584F29" w:rsidRPr="006B3F59">
        <w:t>Adaptační strategie hlavního města Prahy na změnu klimatu</w:t>
      </w:r>
      <w:r w:rsidRPr="006B3F59">
        <w:t>)</w:t>
      </w:r>
      <w:bookmarkEnd w:id="126"/>
      <w:bookmarkEnd w:id="127"/>
    </w:p>
    <w:p w14:paraId="425E0484" w14:textId="72738B2D" w:rsidR="00782CFA" w:rsidRPr="006B3F59" w:rsidRDefault="00782CFA" w:rsidP="00782CFA">
      <w:r w:rsidRPr="006B3F59">
        <w:t xml:space="preserve">Více o projektu a jeho podrobnější výstupy je </w:t>
      </w:r>
      <w:r w:rsidR="00E441F6" w:rsidRPr="006B3F59">
        <w:t xml:space="preserve">také </w:t>
      </w:r>
      <w:r w:rsidRPr="006B3F59">
        <w:t>možné nalézt na webových stránkách urbanadapt.cz.</w:t>
      </w:r>
    </w:p>
    <w:p w14:paraId="0F302D40" w14:textId="56E6FCEF" w:rsidR="001D4B49" w:rsidRPr="006B3F59" w:rsidRDefault="001D4B49" w:rsidP="00782CFA">
      <w:r w:rsidRPr="006B3F59">
        <w:rPr>
          <w:noProof/>
        </w:rPr>
        <w:lastRenderedPageBreak/>
        <w:drawing>
          <wp:anchor distT="0" distB="0" distL="114300" distR="114300" simplePos="0" relativeHeight="251656192" behindDoc="0" locked="0" layoutInCell="1" allowOverlap="1" wp14:anchorId="76823DDA" wp14:editId="740B595F">
            <wp:simplePos x="0" y="0"/>
            <wp:positionH relativeFrom="column">
              <wp:posOffset>3919220</wp:posOffset>
            </wp:positionH>
            <wp:positionV relativeFrom="paragraph">
              <wp:posOffset>6430645</wp:posOffset>
            </wp:positionV>
            <wp:extent cx="1764000" cy="1162800"/>
            <wp:effectExtent l="0" t="0" r="8255" b="0"/>
            <wp:wrapNone/>
            <wp:docPr id="91" name="Obrázek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extLst>
                        <a:ext uri="{28A0092B-C50C-407E-A947-70E740481C1C}">
                          <a14:useLocalDpi xmlns:a14="http://schemas.microsoft.com/office/drawing/2010/main" val="0"/>
                        </a:ext>
                      </a:extLst>
                    </a:blip>
                    <a:stretch>
                      <a:fillRect/>
                    </a:stretch>
                  </pic:blipFill>
                  <pic:spPr>
                    <a:xfrm>
                      <a:off x="0" y="0"/>
                      <a:ext cx="1764000" cy="1162800"/>
                    </a:xfrm>
                    <a:prstGeom prst="rect">
                      <a:avLst/>
                    </a:prstGeom>
                  </pic:spPr>
                </pic:pic>
              </a:graphicData>
            </a:graphic>
            <wp14:sizeRelH relativeFrom="margin">
              <wp14:pctWidth>0</wp14:pctWidth>
            </wp14:sizeRelH>
            <wp14:sizeRelV relativeFrom="margin">
              <wp14:pctHeight>0</wp14:pctHeight>
            </wp14:sizeRelV>
          </wp:anchor>
        </w:drawing>
      </w:r>
      <w:r w:rsidRPr="006B3F59">
        <w:rPr>
          <w:noProof/>
        </w:rPr>
        <w:drawing>
          <wp:inline distT="0" distB="0" distL="0" distR="0" wp14:anchorId="57282C27" wp14:editId="65314E5F">
            <wp:extent cx="4063042" cy="5431001"/>
            <wp:effectExtent l="0" t="0" r="0" b="0"/>
            <wp:docPr id="90" name="Obrázek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4074237" cy="5445965"/>
                    </a:xfrm>
                    <a:prstGeom prst="rect">
                      <a:avLst/>
                    </a:prstGeom>
                  </pic:spPr>
                </pic:pic>
              </a:graphicData>
            </a:graphic>
          </wp:inline>
        </w:drawing>
      </w:r>
    </w:p>
    <w:p w14:paraId="4865A4DB" w14:textId="469225AA" w:rsidR="001D4B49" w:rsidRPr="006B3F59" w:rsidRDefault="001D4B49" w:rsidP="001D4B49">
      <w:pPr>
        <w:pStyle w:val="Obrnadpis"/>
      </w:pPr>
      <w:bookmarkStart w:id="128" w:name="_Toc138848216"/>
      <w:r w:rsidRPr="006B3F59">
        <w:t>Mapa bonity klimatu dle Atlasu životního prostředí Prahy, cit.: 11.4.2023</w:t>
      </w:r>
      <w:bookmarkEnd w:id="128"/>
    </w:p>
    <w:p w14:paraId="55C0490D" w14:textId="7A6A3E5F" w:rsidR="00D11F63" w:rsidRPr="006B3F59" w:rsidRDefault="00D11F63" w:rsidP="00AA56ED">
      <w:pPr>
        <w:rPr>
          <w:lang w:eastAsia="cs-CZ"/>
        </w:rPr>
      </w:pPr>
      <w:r w:rsidRPr="006B3F59">
        <w:rPr>
          <w:shd w:val="clear" w:color="auto" w:fill="FFFFFF"/>
        </w:rPr>
        <w:t xml:space="preserve">Porovnání území z hlediska kvality vegetace (NDVI) a povrchové teploty. Aplikace prezentuje rovněž výstup z analýzy zranitelnosti území, umožňuje mapa zranitelnosti klimatu vyjádřená dle indexu zranitelnosti krajiny. </w:t>
      </w:r>
    </w:p>
    <w:p w14:paraId="0AB5B54A" w14:textId="5DC8BD86" w:rsidR="00D11F63" w:rsidRPr="006B3F59" w:rsidRDefault="00D11F63" w:rsidP="00D11F63">
      <w:pPr>
        <w:rPr>
          <w:lang w:eastAsia="cs-CZ"/>
        </w:rPr>
      </w:pPr>
      <w:r w:rsidRPr="006B3F59">
        <w:rPr>
          <w:noProof/>
          <w:lang w:eastAsia="cs-CZ"/>
        </w:rPr>
        <w:drawing>
          <wp:inline distT="0" distB="0" distL="0" distR="0" wp14:anchorId="791B9FE8" wp14:editId="3935D4F1">
            <wp:extent cx="5974080" cy="2601496"/>
            <wp:effectExtent l="0" t="0" r="7620" b="8890"/>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990408" cy="2608606"/>
                    </a:xfrm>
                    <a:prstGeom prst="rect">
                      <a:avLst/>
                    </a:prstGeom>
                  </pic:spPr>
                </pic:pic>
              </a:graphicData>
            </a:graphic>
          </wp:inline>
        </w:drawing>
      </w:r>
    </w:p>
    <w:p w14:paraId="61366636" w14:textId="33E8CD10" w:rsidR="00D11F63" w:rsidRPr="006B3F59" w:rsidRDefault="00D11F63" w:rsidP="00D11F63">
      <w:pPr>
        <w:pStyle w:val="Obrnadpis"/>
      </w:pPr>
      <w:bookmarkStart w:id="129" w:name="_Toc138848217"/>
      <w:r w:rsidRPr="006B3F59">
        <w:t>Index zranitelnosti klimatu dle mapového portálu IPR Praha, cit. 11.4.2023</w:t>
      </w:r>
      <w:bookmarkEnd w:id="129"/>
    </w:p>
    <w:p w14:paraId="4EE30221" w14:textId="67C191B8" w:rsidR="00794578" w:rsidRPr="006B3F59" w:rsidRDefault="00794578" w:rsidP="00A67277">
      <w:pPr>
        <w:pStyle w:val="Nadpis3"/>
      </w:pPr>
      <w:bookmarkStart w:id="130" w:name="_Toc29298333"/>
      <w:bookmarkStart w:id="131" w:name="_Toc138848112"/>
      <w:r w:rsidRPr="006B3F59">
        <w:lastRenderedPageBreak/>
        <w:t>Hluková zátěž</w:t>
      </w:r>
      <w:bookmarkEnd w:id="114"/>
      <w:bookmarkEnd w:id="130"/>
      <w:bookmarkEnd w:id="131"/>
    </w:p>
    <w:p w14:paraId="4756BE7F" w14:textId="77777777" w:rsidR="00782CFA" w:rsidRPr="006B3F59" w:rsidRDefault="00782CFA" w:rsidP="00782CFA">
      <w:pPr>
        <w:pStyle w:val="Podnadpis1"/>
      </w:pPr>
      <w:r w:rsidRPr="006B3F59">
        <w:t>Strategické hlukové mapování</w:t>
      </w:r>
    </w:p>
    <w:p w14:paraId="65D6E1FB" w14:textId="1D5355D3" w:rsidR="00782CFA" w:rsidRPr="006B3F59" w:rsidRDefault="00782CFA" w:rsidP="00782CFA">
      <w:r w:rsidRPr="006B3F59">
        <w:t>V roce 2002 vydala Evropská komise Směrnici Evropského parlamentu a Rady 2002/49/ES, která</w:t>
      </w:r>
      <w:r w:rsidR="00A12EAA" w:rsidRPr="006B3F59">
        <w:t> </w:t>
      </w:r>
      <w:r w:rsidRPr="006B3F59">
        <w:t>se</w:t>
      </w:r>
      <w:r w:rsidR="00A12EAA" w:rsidRPr="006B3F59">
        <w:t> </w:t>
      </w:r>
      <w:r w:rsidRPr="006B3F59">
        <w:t xml:space="preserve">vztahuje na hluk ve venkovním prostředí. Česká legislativa implementovala směrnici novelou zákona 258/2000 Sb., o ochraně veřejného zdraví a o změně některých souvisejících zákonů, </w:t>
      </w:r>
      <w:r w:rsidR="00393B9B" w:rsidRPr="006B3F59">
        <w:t xml:space="preserve">v </w:t>
      </w:r>
      <w:r w:rsidR="00652419" w:rsidRPr="006B3F59">
        <w:t>platném znění</w:t>
      </w:r>
      <w:r w:rsidRPr="006B3F59">
        <w:t>, novelou zákona č. 222/2006 Sb., kterým se mění zákon č. 76/2002 Sb., o integrované prevenci a</w:t>
      </w:r>
      <w:r w:rsidR="00A12EAA" w:rsidRPr="006B3F59">
        <w:t> </w:t>
      </w:r>
      <w:r w:rsidRPr="006B3F59">
        <w:t xml:space="preserve">omezování znečištění, o integrovaném registru znečišťování a o změně některých zákonů, </w:t>
      </w:r>
      <w:r w:rsidR="00393B9B" w:rsidRPr="006B3F59">
        <w:t xml:space="preserve">v </w:t>
      </w:r>
      <w:r w:rsidR="00652419" w:rsidRPr="006B3F59">
        <w:t>platném znění</w:t>
      </w:r>
      <w:r w:rsidRPr="006B3F59">
        <w:t xml:space="preserve"> (zákon o integrované prevenci), a některými dalšími zákony.</w:t>
      </w:r>
    </w:p>
    <w:p w14:paraId="7FA83DD6" w14:textId="7EA34D09" w:rsidR="00782CFA" w:rsidRPr="006B3F59" w:rsidRDefault="00782CFA" w:rsidP="00782CFA">
      <w:r w:rsidRPr="006B3F59">
        <w:t xml:space="preserve">Vlastní strategické hlukové mapování a tvorba akčních plánů jsou zakotveny ve vyhlášce č. 315/2018 Sb., kterou se stanoví mezní hodnoty hlukových ukazatelů, jejich výpočet, základní požadavky na obsah strategických hlukových map. </w:t>
      </w:r>
    </w:p>
    <w:p w14:paraId="74592AE8" w14:textId="7B96C997" w:rsidR="00782CFA" w:rsidRPr="006B3F59" w:rsidRDefault="00782CFA" w:rsidP="00782CFA">
      <w:pPr>
        <w:rPr>
          <w:rFonts w:cs="Arial"/>
          <w:color w:val="000000"/>
          <w:szCs w:val="20"/>
          <w:shd w:val="clear" w:color="auto" w:fill="FFFFFF"/>
        </w:rPr>
      </w:pPr>
      <w:r w:rsidRPr="006B3F59">
        <w:t xml:space="preserve">Vyhláška č. 315/2018 Sb. o strategickém hlukovém mapování </w:t>
      </w:r>
      <w:r w:rsidRPr="006B3F59">
        <w:rPr>
          <w:rFonts w:cs="Arial"/>
          <w:color w:val="000000"/>
          <w:szCs w:val="20"/>
          <w:shd w:val="clear" w:color="auto" w:fill="FFFFFF"/>
        </w:rPr>
        <w:t>upravuje mezní hodnoty hlukových ukazatelů, jejich výpočet pro hluk vytvářený silniční, železniční a leteckou dopravou a hluk pocházející ze zařízení upravených zákonem o integrované prevenci, základní požadavky na obsah strategických hlukových map a</w:t>
      </w:r>
      <w:r w:rsidR="00A12EAA" w:rsidRPr="006B3F59">
        <w:rPr>
          <w:rFonts w:cs="Arial"/>
          <w:color w:val="000000"/>
          <w:szCs w:val="20"/>
          <w:shd w:val="clear" w:color="auto" w:fill="FFFFFF"/>
        </w:rPr>
        <w:t> </w:t>
      </w:r>
      <w:r w:rsidRPr="006B3F59">
        <w:rPr>
          <w:rFonts w:cs="Arial"/>
          <w:color w:val="000000"/>
          <w:szCs w:val="20"/>
          <w:shd w:val="clear" w:color="auto" w:fill="FFFFFF"/>
        </w:rPr>
        <w:t>akčních plánů, podrobnosti ke způsobu informování veřejnosti o strategických hlukových mapách, o</w:t>
      </w:r>
      <w:r w:rsidR="00A12EAA" w:rsidRPr="006B3F59">
        <w:rPr>
          <w:rFonts w:cs="Arial"/>
          <w:color w:val="000000"/>
          <w:szCs w:val="20"/>
          <w:shd w:val="clear" w:color="auto" w:fill="FFFFFF"/>
        </w:rPr>
        <w:t> </w:t>
      </w:r>
      <w:r w:rsidRPr="006B3F59">
        <w:rPr>
          <w:rFonts w:cs="Arial"/>
          <w:color w:val="000000"/>
          <w:szCs w:val="20"/>
          <w:shd w:val="clear" w:color="auto" w:fill="FFFFFF"/>
        </w:rPr>
        <w:t>přípravě návrhů akčních plánů a účasti veřejnosti na ní a o vypracovaných akčních plánech.</w:t>
      </w:r>
    </w:p>
    <w:p w14:paraId="1BD00357" w14:textId="7FF4D8F3" w:rsidR="00782CFA" w:rsidRPr="006B3F59" w:rsidRDefault="00782CFA" w:rsidP="00782CFA">
      <w:r w:rsidRPr="006B3F59">
        <w:t xml:space="preserve">Tato vyhláška stanovuje tzv. hlukové ukazatele a jejich mezní hodnoty. Hlukový ukazatel pro celodenní obtěžování hlukem Ldvn vypovídá o </w:t>
      </w:r>
      <w:r w:rsidR="003577E4" w:rsidRPr="006B3F59">
        <w:t>24hodinové</w:t>
      </w:r>
      <w:r w:rsidRPr="006B3F59">
        <w:t xml:space="preserve"> zátěži a Ln pro celou noční dobu v rozmezí od 22:00 hodin do 6:00 hodin. Hlukový ukazatel Ldvn je definován jako ekvivalentní hladina akustického tlaku A za 24 hodin se zvýšením večerní hladiny akustického tlaku o 5 dB a noční hladiny o 10 dB.</w:t>
      </w:r>
    </w:p>
    <w:p w14:paraId="161CDA3A" w14:textId="77777777" w:rsidR="00782CFA" w:rsidRPr="006B3F59" w:rsidRDefault="00782CFA" w:rsidP="00782CFA">
      <w:pPr>
        <w:rPr>
          <w:rFonts w:cs="Arial"/>
          <w:color w:val="000000"/>
          <w:szCs w:val="20"/>
        </w:rPr>
      </w:pPr>
      <w:r w:rsidRPr="006B3F59">
        <w:t>Pro hlukové ukazatele pro den-večer-noc (Ldvn) a pro noc (Ln</w:t>
      </w:r>
      <w:r w:rsidRPr="006B3F59">
        <w:rPr>
          <w:rFonts w:cs="Arial"/>
          <w:color w:val="000000"/>
          <w:szCs w:val="20"/>
        </w:rPr>
        <w:t>) se dle vyhlášky stanoví tyto mezní hodnoty.</w:t>
      </w:r>
    </w:p>
    <w:p w14:paraId="6BECB0B2" w14:textId="77777777" w:rsidR="00782CFA" w:rsidRPr="006B3F59" w:rsidRDefault="00782CFA" w:rsidP="00BA72D5">
      <w:pPr>
        <w:pStyle w:val="Tabulkanzev"/>
      </w:pPr>
      <w:bookmarkStart w:id="132" w:name="_Toc29298555"/>
      <w:bookmarkStart w:id="133" w:name="_Toc138848173"/>
      <w:r w:rsidRPr="006B3F59">
        <w:t>Mezní hodnoty hlukových ukazatelů stanovené vyhláškou 315/2018 Sb.</w:t>
      </w:r>
      <w:bookmarkEnd w:id="132"/>
      <w:bookmarkEnd w:id="133"/>
    </w:p>
    <w:tbl>
      <w:tblPr>
        <w:tblW w:w="5580" w:type="dxa"/>
        <w:tblInd w:w="65" w:type="dxa"/>
        <w:tblCellMar>
          <w:left w:w="70" w:type="dxa"/>
          <w:right w:w="70" w:type="dxa"/>
        </w:tblCellMar>
        <w:tblLook w:val="04A0" w:firstRow="1" w:lastRow="0" w:firstColumn="1" w:lastColumn="0" w:noHBand="0" w:noVBand="1"/>
      </w:tblPr>
      <w:tblGrid>
        <w:gridCol w:w="2740"/>
        <w:gridCol w:w="1420"/>
        <w:gridCol w:w="1420"/>
      </w:tblGrid>
      <w:tr w:rsidR="005E376D" w:rsidRPr="006B3F59" w14:paraId="1C1C708A" w14:textId="77777777" w:rsidTr="005E376D">
        <w:trPr>
          <w:trHeight w:val="300"/>
          <w:tblHeader/>
        </w:trPr>
        <w:tc>
          <w:tcPr>
            <w:tcW w:w="2740" w:type="dxa"/>
            <w:tcBorders>
              <w:top w:val="single" w:sz="4" w:space="0" w:color="auto"/>
              <w:left w:val="single" w:sz="4" w:space="0" w:color="auto"/>
              <w:bottom w:val="single" w:sz="4" w:space="0" w:color="auto"/>
              <w:right w:val="single" w:sz="4" w:space="0" w:color="auto"/>
            </w:tcBorders>
            <w:shd w:val="clear" w:color="auto" w:fill="595959" w:themeFill="text1" w:themeFillTint="A6"/>
            <w:noWrap/>
            <w:vAlign w:val="bottom"/>
            <w:hideMark/>
          </w:tcPr>
          <w:p w14:paraId="72437D65" w14:textId="77777777" w:rsidR="00782CFA" w:rsidRPr="006B3F59" w:rsidRDefault="00782CFA" w:rsidP="00782CFA">
            <w:pPr>
              <w:spacing w:before="0"/>
              <w:jc w:val="left"/>
              <w:rPr>
                <w:rFonts w:eastAsia="Times New Roman" w:cs="Arial"/>
                <w:b/>
                <w:bCs/>
                <w:color w:val="FFFFFF" w:themeColor="background1"/>
                <w:sz w:val="18"/>
                <w:szCs w:val="18"/>
                <w:lang w:eastAsia="cs-CZ"/>
              </w:rPr>
            </w:pPr>
            <w:r w:rsidRPr="006B3F59">
              <w:rPr>
                <w:rFonts w:eastAsia="Times New Roman" w:cs="Arial"/>
                <w:b/>
                <w:bCs/>
                <w:color w:val="FFFFFF" w:themeColor="background1"/>
                <w:sz w:val="18"/>
                <w:szCs w:val="18"/>
                <w:lang w:eastAsia="cs-CZ"/>
              </w:rPr>
              <w:t> </w:t>
            </w:r>
          </w:p>
        </w:tc>
        <w:tc>
          <w:tcPr>
            <w:tcW w:w="1420" w:type="dxa"/>
            <w:tcBorders>
              <w:top w:val="single" w:sz="4" w:space="0" w:color="auto"/>
              <w:left w:val="nil"/>
              <w:bottom w:val="single" w:sz="4" w:space="0" w:color="auto"/>
              <w:right w:val="single" w:sz="4" w:space="0" w:color="auto"/>
            </w:tcBorders>
            <w:shd w:val="clear" w:color="auto" w:fill="595959" w:themeFill="text1" w:themeFillTint="A6"/>
            <w:noWrap/>
            <w:vAlign w:val="center"/>
            <w:hideMark/>
          </w:tcPr>
          <w:p w14:paraId="222E78B7" w14:textId="77777777" w:rsidR="00782CFA" w:rsidRPr="006B3F59" w:rsidRDefault="00782CFA" w:rsidP="00782CFA">
            <w:pPr>
              <w:spacing w:before="0"/>
              <w:jc w:val="center"/>
              <w:rPr>
                <w:rFonts w:eastAsia="Times New Roman" w:cs="Arial"/>
                <w:b/>
                <w:bCs/>
                <w:color w:val="FFFFFF" w:themeColor="background1"/>
                <w:sz w:val="18"/>
                <w:szCs w:val="18"/>
                <w:lang w:eastAsia="cs-CZ"/>
              </w:rPr>
            </w:pPr>
            <w:r w:rsidRPr="006B3F59">
              <w:rPr>
                <w:rFonts w:eastAsia="Times New Roman" w:cs="Arial"/>
                <w:b/>
                <w:bCs/>
                <w:color w:val="FFFFFF" w:themeColor="background1"/>
                <w:sz w:val="18"/>
                <w:szCs w:val="18"/>
                <w:lang w:eastAsia="cs-CZ"/>
              </w:rPr>
              <w:t>Ldvn (dB)</w:t>
            </w:r>
          </w:p>
        </w:tc>
        <w:tc>
          <w:tcPr>
            <w:tcW w:w="1420" w:type="dxa"/>
            <w:tcBorders>
              <w:top w:val="single" w:sz="4" w:space="0" w:color="auto"/>
              <w:left w:val="nil"/>
              <w:bottom w:val="single" w:sz="4" w:space="0" w:color="auto"/>
              <w:right w:val="single" w:sz="4" w:space="0" w:color="auto"/>
            </w:tcBorders>
            <w:shd w:val="clear" w:color="auto" w:fill="595959" w:themeFill="text1" w:themeFillTint="A6"/>
            <w:noWrap/>
            <w:vAlign w:val="center"/>
            <w:hideMark/>
          </w:tcPr>
          <w:p w14:paraId="6BD9C30B" w14:textId="77777777" w:rsidR="00782CFA" w:rsidRPr="006B3F59" w:rsidRDefault="00782CFA" w:rsidP="00782CFA">
            <w:pPr>
              <w:spacing w:before="0"/>
              <w:jc w:val="center"/>
              <w:rPr>
                <w:rFonts w:eastAsia="Times New Roman" w:cs="Arial"/>
                <w:b/>
                <w:bCs/>
                <w:color w:val="FFFFFF" w:themeColor="background1"/>
                <w:sz w:val="18"/>
                <w:szCs w:val="18"/>
                <w:lang w:eastAsia="cs-CZ"/>
              </w:rPr>
            </w:pPr>
            <w:r w:rsidRPr="006B3F59">
              <w:rPr>
                <w:rFonts w:eastAsia="Times New Roman" w:cs="Arial"/>
                <w:b/>
                <w:bCs/>
                <w:color w:val="FFFFFF" w:themeColor="background1"/>
                <w:sz w:val="18"/>
                <w:szCs w:val="18"/>
                <w:lang w:eastAsia="cs-CZ"/>
              </w:rPr>
              <w:t>Ln (dB)</w:t>
            </w:r>
          </w:p>
        </w:tc>
      </w:tr>
      <w:tr w:rsidR="00782CFA" w:rsidRPr="006B3F59" w14:paraId="31A7DCFA" w14:textId="77777777" w:rsidTr="00782CFA">
        <w:trPr>
          <w:trHeight w:val="300"/>
        </w:trPr>
        <w:tc>
          <w:tcPr>
            <w:tcW w:w="2740" w:type="dxa"/>
            <w:tcBorders>
              <w:top w:val="nil"/>
              <w:left w:val="single" w:sz="4" w:space="0" w:color="auto"/>
              <w:bottom w:val="single" w:sz="4" w:space="0" w:color="auto"/>
              <w:right w:val="single" w:sz="4" w:space="0" w:color="auto"/>
            </w:tcBorders>
            <w:shd w:val="clear" w:color="auto" w:fill="auto"/>
            <w:noWrap/>
            <w:vAlign w:val="bottom"/>
            <w:hideMark/>
          </w:tcPr>
          <w:p w14:paraId="0A16150F" w14:textId="77777777" w:rsidR="00782CFA" w:rsidRPr="006B3F59" w:rsidRDefault="00782CFA" w:rsidP="00782CFA">
            <w:pPr>
              <w:spacing w:before="0"/>
              <w:jc w:val="left"/>
              <w:rPr>
                <w:rFonts w:eastAsia="Times New Roman" w:cs="Arial"/>
                <w:color w:val="000000"/>
                <w:sz w:val="18"/>
                <w:szCs w:val="18"/>
                <w:lang w:eastAsia="cs-CZ"/>
              </w:rPr>
            </w:pPr>
            <w:r w:rsidRPr="006B3F59">
              <w:rPr>
                <w:rFonts w:eastAsia="Times New Roman" w:cs="Arial"/>
                <w:color w:val="000000"/>
                <w:sz w:val="18"/>
                <w:szCs w:val="18"/>
                <w:lang w:eastAsia="cs-CZ"/>
              </w:rPr>
              <w:t>Silniční doprava</w:t>
            </w:r>
          </w:p>
        </w:tc>
        <w:tc>
          <w:tcPr>
            <w:tcW w:w="1420" w:type="dxa"/>
            <w:tcBorders>
              <w:top w:val="nil"/>
              <w:left w:val="nil"/>
              <w:bottom w:val="single" w:sz="4" w:space="0" w:color="auto"/>
              <w:right w:val="single" w:sz="4" w:space="0" w:color="auto"/>
            </w:tcBorders>
            <w:shd w:val="clear" w:color="auto" w:fill="auto"/>
            <w:noWrap/>
            <w:vAlign w:val="center"/>
            <w:hideMark/>
          </w:tcPr>
          <w:p w14:paraId="0C329966" w14:textId="77777777" w:rsidR="00782CFA" w:rsidRPr="006B3F59" w:rsidRDefault="00782CFA" w:rsidP="00782CFA">
            <w:pPr>
              <w:spacing w:before="0"/>
              <w:jc w:val="center"/>
              <w:rPr>
                <w:rFonts w:eastAsia="Times New Roman" w:cs="Arial"/>
                <w:color w:val="000000"/>
                <w:sz w:val="18"/>
                <w:szCs w:val="18"/>
                <w:lang w:eastAsia="cs-CZ"/>
              </w:rPr>
            </w:pPr>
            <w:r w:rsidRPr="006B3F59">
              <w:rPr>
                <w:rFonts w:eastAsia="Times New Roman" w:cs="Arial"/>
                <w:color w:val="000000"/>
                <w:sz w:val="18"/>
                <w:szCs w:val="18"/>
                <w:lang w:eastAsia="cs-CZ"/>
              </w:rPr>
              <w:t>70</w:t>
            </w:r>
          </w:p>
        </w:tc>
        <w:tc>
          <w:tcPr>
            <w:tcW w:w="1420" w:type="dxa"/>
            <w:tcBorders>
              <w:top w:val="nil"/>
              <w:left w:val="nil"/>
              <w:bottom w:val="single" w:sz="4" w:space="0" w:color="auto"/>
              <w:right w:val="single" w:sz="4" w:space="0" w:color="auto"/>
            </w:tcBorders>
            <w:shd w:val="clear" w:color="auto" w:fill="auto"/>
            <w:noWrap/>
            <w:vAlign w:val="center"/>
            <w:hideMark/>
          </w:tcPr>
          <w:p w14:paraId="0C339355" w14:textId="77777777" w:rsidR="00782CFA" w:rsidRPr="006B3F59" w:rsidRDefault="00782CFA" w:rsidP="00782CFA">
            <w:pPr>
              <w:spacing w:before="0"/>
              <w:jc w:val="center"/>
              <w:rPr>
                <w:rFonts w:eastAsia="Times New Roman" w:cs="Arial"/>
                <w:color w:val="000000"/>
                <w:sz w:val="18"/>
                <w:szCs w:val="18"/>
                <w:lang w:eastAsia="cs-CZ"/>
              </w:rPr>
            </w:pPr>
            <w:r w:rsidRPr="006B3F59">
              <w:rPr>
                <w:rFonts w:eastAsia="Times New Roman" w:cs="Arial"/>
                <w:color w:val="000000"/>
                <w:sz w:val="18"/>
                <w:szCs w:val="18"/>
                <w:lang w:eastAsia="cs-CZ"/>
              </w:rPr>
              <w:t>60</w:t>
            </w:r>
          </w:p>
        </w:tc>
      </w:tr>
      <w:tr w:rsidR="00782CFA" w:rsidRPr="006B3F59" w14:paraId="43FFD5BE" w14:textId="77777777" w:rsidTr="00782CFA">
        <w:trPr>
          <w:trHeight w:val="300"/>
        </w:trPr>
        <w:tc>
          <w:tcPr>
            <w:tcW w:w="2740" w:type="dxa"/>
            <w:tcBorders>
              <w:top w:val="nil"/>
              <w:left w:val="single" w:sz="4" w:space="0" w:color="auto"/>
              <w:bottom w:val="single" w:sz="4" w:space="0" w:color="auto"/>
              <w:right w:val="single" w:sz="4" w:space="0" w:color="auto"/>
            </w:tcBorders>
            <w:shd w:val="clear" w:color="auto" w:fill="auto"/>
            <w:noWrap/>
            <w:vAlign w:val="bottom"/>
            <w:hideMark/>
          </w:tcPr>
          <w:p w14:paraId="0FD52609" w14:textId="77777777" w:rsidR="00782CFA" w:rsidRPr="006B3F59" w:rsidRDefault="00782CFA" w:rsidP="00782CFA">
            <w:pPr>
              <w:spacing w:before="0"/>
              <w:jc w:val="left"/>
              <w:rPr>
                <w:rFonts w:eastAsia="Times New Roman" w:cs="Arial"/>
                <w:color w:val="000000"/>
                <w:sz w:val="18"/>
                <w:szCs w:val="18"/>
                <w:lang w:eastAsia="cs-CZ"/>
              </w:rPr>
            </w:pPr>
            <w:r w:rsidRPr="006B3F59">
              <w:rPr>
                <w:rFonts w:eastAsia="Times New Roman" w:cs="Arial"/>
                <w:color w:val="000000"/>
                <w:sz w:val="18"/>
                <w:szCs w:val="18"/>
                <w:lang w:eastAsia="cs-CZ"/>
              </w:rPr>
              <w:t>Železniční doprava</w:t>
            </w:r>
          </w:p>
        </w:tc>
        <w:tc>
          <w:tcPr>
            <w:tcW w:w="1420" w:type="dxa"/>
            <w:tcBorders>
              <w:top w:val="nil"/>
              <w:left w:val="nil"/>
              <w:bottom w:val="single" w:sz="4" w:space="0" w:color="auto"/>
              <w:right w:val="single" w:sz="4" w:space="0" w:color="auto"/>
            </w:tcBorders>
            <w:shd w:val="clear" w:color="auto" w:fill="auto"/>
            <w:noWrap/>
            <w:vAlign w:val="center"/>
            <w:hideMark/>
          </w:tcPr>
          <w:p w14:paraId="7F20D81F" w14:textId="77777777" w:rsidR="00782CFA" w:rsidRPr="006B3F59" w:rsidRDefault="00782CFA" w:rsidP="00782CFA">
            <w:pPr>
              <w:spacing w:before="0"/>
              <w:jc w:val="center"/>
              <w:rPr>
                <w:rFonts w:eastAsia="Times New Roman" w:cs="Arial"/>
                <w:color w:val="000000"/>
                <w:sz w:val="18"/>
                <w:szCs w:val="18"/>
                <w:lang w:eastAsia="cs-CZ"/>
              </w:rPr>
            </w:pPr>
            <w:r w:rsidRPr="006B3F59">
              <w:rPr>
                <w:rFonts w:eastAsia="Times New Roman" w:cs="Arial"/>
                <w:color w:val="000000"/>
                <w:sz w:val="18"/>
                <w:szCs w:val="18"/>
                <w:lang w:eastAsia="cs-CZ"/>
              </w:rPr>
              <w:t>70</w:t>
            </w:r>
          </w:p>
        </w:tc>
        <w:tc>
          <w:tcPr>
            <w:tcW w:w="1420" w:type="dxa"/>
            <w:tcBorders>
              <w:top w:val="nil"/>
              <w:left w:val="nil"/>
              <w:bottom w:val="single" w:sz="4" w:space="0" w:color="auto"/>
              <w:right w:val="single" w:sz="4" w:space="0" w:color="auto"/>
            </w:tcBorders>
            <w:shd w:val="clear" w:color="auto" w:fill="auto"/>
            <w:noWrap/>
            <w:vAlign w:val="center"/>
            <w:hideMark/>
          </w:tcPr>
          <w:p w14:paraId="2A100796" w14:textId="77777777" w:rsidR="00782CFA" w:rsidRPr="006B3F59" w:rsidRDefault="00782CFA" w:rsidP="00782CFA">
            <w:pPr>
              <w:spacing w:before="0"/>
              <w:jc w:val="center"/>
              <w:rPr>
                <w:rFonts w:eastAsia="Times New Roman" w:cs="Arial"/>
                <w:color w:val="000000"/>
                <w:sz w:val="18"/>
                <w:szCs w:val="18"/>
                <w:lang w:eastAsia="cs-CZ"/>
              </w:rPr>
            </w:pPr>
            <w:r w:rsidRPr="006B3F59">
              <w:rPr>
                <w:rFonts w:eastAsia="Times New Roman" w:cs="Arial"/>
                <w:color w:val="000000"/>
                <w:sz w:val="18"/>
                <w:szCs w:val="18"/>
                <w:lang w:eastAsia="cs-CZ"/>
              </w:rPr>
              <w:t>65</w:t>
            </w:r>
          </w:p>
        </w:tc>
      </w:tr>
      <w:tr w:rsidR="00782CFA" w:rsidRPr="006B3F59" w14:paraId="53C926DC" w14:textId="77777777" w:rsidTr="00782CFA">
        <w:trPr>
          <w:trHeight w:val="300"/>
        </w:trPr>
        <w:tc>
          <w:tcPr>
            <w:tcW w:w="2740" w:type="dxa"/>
            <w:tcBorders>
              <w:top w:val="nil"/>
              <w:left w:val="single" w:sz="4" w:space="0" w:color="auto"/>
              <w:bottom w:val="single" w:sz="4" w:space="0" w:color="auto"/>
              <w:right w:val="single" w:sz="4" w:space="0" w:color="auto"/>
            </w:tcBorders>
            <w:shd w:val="clear" w:color="auto" w:fill="auto"/>
            <w:noWrap/>
            <w:vAlign w:val="bottom"/>
            <w:hideMark/>
          </w:tcPr>
          <w:p w14:paraId="48B7A21B" w14:textId="77777777" w:rsidR="00782CFA" w:rsidRPr="006B3F59" w:rsidRDefault="00782CFA" w:rsidP="00782CFA">
            <w:pPr>
              <w:spacing w:before="0"/>
              <w:jc w:val="left"/>
              <w:rPr>
                <w:rFonts w:eastAsia="Times New Roman" w:cs="Arial"/>
                <w:color w:val="000000"/>
                <w:sz w:val="18"/>
                <w:szCs w:val="18"/>
                <w:lang w:eastAsia="cs-CZ"/>
              </w:rPr>
            </w:pPr>
            <w:r w:rsidRPr="006B3F59">
              <w:rPr>
                <w:rFonts w:eastAsia="Times New Roman" w:cs="Arial"/>
                <w:color w:val="000000"/>
                <w:sz w:val="18"/>
                <w:szCs w:val="18"/>
                <w:lang w:eastAsia="cs-CZ"/>
              </w:rPr>
              <w:t>Letecká doprava</w:t>
            </w:r>
          </w:p>
        </w:tc>
        <w:tc>
          <w:tcPr>
            <w:tcW w:w="1420" w:type="dxa"/>
            <w:tcBorders>
              <w:top w:val="nil"/>
              <w:left w:val="nil"/>
              <w:bottom w:val="single" w:sz="4" w:space="0" w:color="auto"/>
              <w:right w:val="single" w:sz="4" w:space="0" w:color="auto"/>
            </w:tcBorders>
            <w:shd w:val="clear" w:color="auto" w:fill="auto"/>
            <w:noWrap/>
            <w:vAlign w:val="center"/>
            <w:hideMark/>
          </w:tcPr>
          <w:p w14:paraId="47D2B59B" w14:textId="77777777" w:rsidR="00782CFA" w:rsidRPr="006B3F59" w:rsidRDefault="00782CFA" w:rsidP="00782CFA">
            <w:pPr>
              <w:spacing w:before="0"/>
              <w:jc w:val="center"/>
              <w:rPr>
                <w:rFonts w:eastAsia="Times New Roman" w:cs="Arial"/>
                <w:color w:val="000000"/>
                <w:sz w:val="18"/>
                <w:szCs w:val="18"/>
                <w:lang w:eastAsia="cs-CZ"/>
              </w:rPr>
            </w:pPr>
            <w:r w:rsidRPr="006B3F59">
              <w:rPr>
                <w:rFonts w:eastAsia="Times New Roman" w:cs="Arial"/>
                <w:color w:val="000000"/>
                <w:sz w:val="18"/>
                <w:szCs w:val="18"/>
                <w:lang w:eastAsia="cs-CZ"/>
              </w:rPr>
              <w:t>60</w:t>
            </w:r>
          </w:p>
        </w:tc>
        <w:tc>
          <w:tcPr>
            <w:tcW w:w="1420" w:type="dxa"/>
            <w:tcBorders>
              <w:top w:val="nil"/>
              <w:left w:val="nil"/>
              <w:bottom w:val="single" w:sz="4" w:space="0" w:color="auto"/>
              <w:right w:val="single" w:sz="4" w:space="0" w:color="auto"/>
            </w:tcBorders>
            <w:shd w:val="clear" w:color="auto" w:fill="auto"/>
            <w:noWrap/>
            <w:vAlign w:val="center"/>
            <w:hideMark/>
          </w:tcPr>
          <w:p w14:paraId="798DE64E" w14:textId="77777777" w:rsidR="00782CFA" w:rsidRPr="006B3F59" w:rsidRDefault="00782CFA" w:rsidP="00782CFA">
            <w:pPr>
              <w:spacing w:before="0"/>
              <w:jc w:val="center"/>
              <w:rPr>
                <w:rFonts w:eastAsia="Times New Roman" w:cs="Arial"/>
                <w:color w:val="000000"/>
                <w:sz w:val="18"/>
                <w:szCs w:val="18"/>
                <w:lang w:eastAsia="cs-CZ"/>
              </w:rPr>
            </w:pPr>
            <w:r w:rsidRPr="006B3F59">
              <w:rPr>
                <w:rFonts w:eastAsia="Times New Roman" w:cs="Arial"/>
                <w:color w:val="000000"/>
                <w:sz w:val="18"/>
                <w:szCs w:val="18"/>
                <w:lang w:eastAsia="cs-CZ"/>
              </w:rPr>
              <w:t>50</w:t>
            </w:r>
          </w:p>
        </w:tc>
      </w:tr>
      <w:tr w:rsidR="00782CFA" w:rsidRPr="006B3F59" w14:paraId="5ACC5B09" w14:textId="77777777" w:rsidTr="00782CFA">
        <w:trPr>
          <w:trHeight w:val="300"/>
        </w:trPr>
        <w:tc>
          <w:tcPr>
            <w:tcW w:w="2740" w:type="dxa"/>
            <w:tcBorders>
              <w:top w:val="nil"/>
              <w:left w:val="single" w:sz="4" w:space="0" w:color="auto"/>
              <w:bottom w:val="single" w:sz="4" w:space="0" w:color="auto"/>
              <w:right w:val="single" w:sz="4" w:space="0" w:color="auto"/>
            </w:tcBorders>
            <w:shd w:val="clear" w:color="auto" w:fill="auto"/>
            <w:noWrap/>
            <w:vAlign w:val="bottom"/>
            <w:hideMark/>
          </w:tcPr>
          <w:p w14:paraId="66E4AEBF" w14:textId="77777777" w:rsidR="00782CFA" w:rsidRPr="006B3F59" w:rsidRDefault="00782CFA" w:rsidP="00782CFA">
            <w:pPr>
              <w:spacing w:before="0"/>
              <w:jc w:val="left"/>
              <w:rPr>
                <w:rFonts w:eastAsia="Times New Roman" w:cs="Arial"/>
                <w:color w:val="000000"/>
                <w:sz w:val="18"/>
                <w:szCs w:val="18"/>
                <w:lang w:eastAsia="cs-CZ"/>
              </w:rPr>
            </w:pPr>
            <w:r w:rsidRPr="006B3F59">
              <w:rPr>
                <w:rFonts w:eastAsia="Times New Roman" w:cs="Arial"/>
                <w:color w:val="000000"/>
                <w:sz w:val="18"/>
                <w:szCs w:val="18"/>
                <w:lang w:eastAsia="cs-CZ"/>
              </w:rPr>
              <w:t>Integrovaná zařízení</w:t>
            </w:r>
          </w:p>
        </w:tc>
        <w:tc>
          <w:tcPr>
            <w:tcW w:w="1420" w:type="dxa"/>
            <w:tcBorders>
              <w:top w:val="nil"/>
              <w:left w:val="nil"/>
              <w:bottom w:val="single" w:sz="4" w:space="0" w:color="auto"/>
              <w:right w:val="single" w:sz="4" w:space="0" w:color="auto"/>
            </w:tcBorders>
            <w:shd w:val="clear" w:color="auto" w:fill="auto"/>
            <w:noWrap/>
            <w:vAlign w:val="center"/>
            <w:hideMark/>
          </w:tcPr>
          <w:p w14:paraId="6E10B3A5" w14:textId="77777777" w:rsidR="00782CFA" w:rsidRPr="006B3F59" w:rsidRDefault="00782CFA" w:rsidP="00782CFA">
            <w:pPr>
              <w:spacing w:before="0"/>
              <w:jc w:val="center"/>
              <w:rPr>
                <w:rFonts w:eastAsia="Times New Roman" w:cs="Arial"/>
                <w:color w:val="000000"/>
                <w:sz w:val="18"/>
                <w:szCs w:val="18"/>
                <w:lang w:eastAsia="cs-CZ"/>
              </w:rPr>
            </w:pPr>
            <w:r w:rsidRPr="006B3F59">
              <w:rPr>
                <w:rFonts w:eastAsia="Times New Roman" w:cs="Arial"/>
                <w:color w:val="000000"/>
                <w:sz w:val="18"/>
                <w:szCs w:val="18"/>
                <w:lang w:eastAsia="cs-CZ"/>
              </w:rPr>
              <w:t>50</w:t>
            </w:r>
          </w:p>
        </w:tc>
        <w:tc>
          <w:tcPr>
            <w:tcW w:w="1420" w:type="dxa"/>
            <w:tcBorders>
              <w:top w:val="nil"/>
              <w:left w:val="nil"/>
              <w:bottom w:val="single" w:sz="4" w:space="0" w:color="auto"/>
              <w:right w:val="single" w:sz="4" w:space="0" w:color="auto"/>
            </w:tcBorders>
            <w:shd w:val="clear" w:color="auto" w:fill="auto"/>
            <w:noWrap/>
            <w:vAlign w:val="center"/>
            <w:hideMark/>
          </w:tcPr>
          <w:p w14:paraId="11C8AE1D" w14:textId="77777777" w:rsidR="00782CFA" w:rsidRPr="006B3F59" w:rsidRDefault="00782CFA" w:rsidP="00782CFA">
            <w:pPr>
              <w:spacing w:before="0"/>
              <w:jc w:val="center"/>
              <w:rPr>
                <w:rFonts w:eastAsia="Times New Roman" w:cs="Arial"/>
                <w:color w:val="000000"/>
                <w:sz w:val="18"/>
                <w:szCs w:val="18"/>
                <w:lang w:eastAsia="cs-CZ"/>
              </w:rPr>
            </w:pPr>
            <w:r w:rsidRPr="006B3F59">
              <w:rPr>
                <w:rFonts w:eastAsia="Times New Roman" w:cs="Arial"/>
                <w:color w:val="000000"/>
                <w:sz w:val="18"/>
                <w:szCs w:val="18"/>
                <w:lang w:eastAsia="cs-CZ"/>
              </w:rPr>
              <w:t>40</w:t>
            </w:r>
          </w:p>
        </w:tc>
      </w:tr>
    </w:tbl>
    <w:p w14:paraId="6CCD5390" w14:textId="62C0A9CD" w:rsidR="00782CFA" w:rsidRPr="006B3F59" w:rsidRDefault="00782CFA" w:rsidP="00782CFA">
      <w:r w:rsidRPr="006B3F59">
        <w:t>Vymezení území aglomerací je stanoveno vyhláškou č. 561/2006 Sb. o stanovení seznamu aglomerací pro</w:t>
      </w:r>
      <w:r w:rsidR="00A12EAA" w:rsidRPr="006B3F59">
        <w:t> </w:t>
      </w:r>
      <w:r w:rsidRPr="006B3F59">
        <w:t>účely hodnocení a snižování hluku.</w:t>
      </w:r>
    </w:p>
    <w:p w14:paraId="1F614544" w14:textId="31F4F7EB" w:rsidR="00782CFA" w:rsidRPr="006B3F59" w:rsidRDefault="00782CFA" w:rsidP="000A6850">
      <w:r w:rsidRPr="006B3F59">
        <w:t xml:space="preserve">V příloze vyhlášky jsou uvedeny aglomerace s počtem obyvatel nad 250 000 </w:t>
      </w:r>
      <w:r w:rsidR="003577E4" w:rsidRPr="006B3F59">
        <w:t>- Praha</w:t>
      </w:r>
      <w:r w:rsidRPr="006B3F59">
        <w:t xml:space="preserve">, Ostrava, Brno. </w:t>
      </w:r>
    </w:p>
    <w:p w14:paraId="1EBB9992" w14:textId="77777777" w:rsidR="00D2510D" w:rsidRPr="006B3F59" w:rsidRDefault="00782CFA" w:rsidP="00782CFA">
      <w:r w:rsidRPr="006B3F59">
        <w:t xml:space="preserve">V roce 2007 proběhlo I. kolo strategického hlukového mapování. V roce 2008 byly na základě výsledků mapování vypracovány akční plány. Součástí akčního plánu je označení kritických míst a pro ně jsou navržena konkrétní protihluková opatření vedoucí ke zlepšení hlukové situace. Ve druhém kole strategického mapování byla pro území aglomerace </w:t>
      </w:r>
      <w:r w:rsidR="000A5125" w:rsidRPr="006B3F59">
        <w:t>Prahy</w:t>
      </w:r>
      <w:r w:rsidRPr="006B3F59">
        <w:t xml:space="preserve"> zpracována „Strategická hluková mapa aglomerace </w:t>
      </w:r>
      <w:r w:rsidR="000A6850" w:rsidRPr="006B3F59">
        <w:t>Praha 2017</w:t>
      </w:r>
      <w:r w:rsidRPr="006B3F59">
        <w:t xml:space="preserve">“ (Zdravotní ústav se sídlem v Ostravě, zadavatel Ministerstvo zdravotnictví). Strategická hluková mapa byla vypracována z liniových dopravních zdrojů (silniční, tramvajová a železniční doprava), z </w:t>
      </w:r>
      <w:r w:rsidR="00667944" w:rsidRPr="006B3F59">
        <w:t>Letiště Václava Havla Praha</w:t>
      </w:r>
      <w:r w:rsidR="00566095" w:rsidRPr="006B3F59">
        <w:t xml:space="preserve"> </w:t>
      </w:r>
      <w:r w:rsidRPr="006B3F59">
        <w:t xml:space="preserve">a stacionárních zdrojů. V roce 2017 pak proběhlo III. kolo strategického hlukového mapování. </w:t>
      </w:r>
    </w:p>
    <w:p w14:paraId="42CB2731" w14:textId="7B7F5DB1" w:rsidR="00FA53C6" w:rsidRPr="006B3F59" w:rsidRDefault="00FA53C6" w:rsidP="00FA53C6">
      <w:r w:rsidRPr="006B3F59">
        <w:t xml:space="preserve">Významným zdrojem hluku v oblasti Nového Sedlce je železniční trať, která je vedena pod hranou řešeného území. V navazujícím řešeném území Sedlec sever, je </w:t>
      </w:r>
      <w:r w:rsidR="005450BF">
        <w:t>trať vedena v úrovni</w:t>
      </w:r>
      <w:r w:rsidRPr="006B3F59">
        <w:t xml:space="preserve"> a jsou zde realizována jednostranná protihluková opatření ze strany stávající obytné zástavby. Dalším stávajícím zdrojem hluku jsou ulice Roztocká a Kamýcká, jako hlavní spojnice obcí ležících severně a severozápadně od hl. m. Prahy. Zvýšení hlukové zátěže se dá předpokládat v okolí nově navrhované tramvajové trati. Lokálním zdrojem hluku je též stávající otevřená střelnice Magnum. Předmětné území je ovlivněno provozem Letiště Václava Havla, oblast Výhledy spadá do ochranného hlukového pásma A tohoto letiště. (Týká se zejména ploch severně od dnešní Dvorské ulice.) V případě realizace paralelní vzletové a přistávací dráhy dojde k novému vymezení ochranného hlukového pásma a k jeho rozšíření směrem ke stávající zástavbě.</w:t>
      </w:r>
    </w:p>
    <w:p w14:paraId="610AFD12" w14:textId="11499921" w:rsidR="00D2510D" w:rsidRPr="006B3F59" w:rsidRDefault="00D2510D" w:rsidP="00782CFA">
      <w:pPr>
        <w:rPr>
          <w:szCs w:val="16"/>
        </w:rPr>
      </w:pPr>
      <w:r w:rsidRPr="006B3F59">
        <w:rPr>
          <w:szCs w:val="16"/>
        </w:rPr>
        <w:t xml:space="preserve">Pro území Prahy jsou na geoportálu Atlas životního prostředí Praha k dispozici hlukové mapy vlivu dopravní sítě, stav 2016, pro denní a noční dobu.  </w:t>
      </w:r>
    </w:p>
    <w:p w14:paraId="0E20FD01" w14:textId="0A771C3B" w:rsidR="00AC5717" w:rsidRPr="006B3F59" w:rsidRDefault="00AC5717" w:rsidP="00AC5717">
      <w:pPr>
        <w:snapToGrid w:val="0"/>
        <w:rPr>
          <w:szCs w:val="16"/>
        </w:rPr>
      </w:pPr>
      <w:r w:rsidRPr="006B3F59">
        <w:rPr>
          <w:szCs w:val="16"/>
        </w:rPr>
        <w:t xml:space="preserve">Dominantní vliv na akustickou situaci v zájmové lokalitě má provoz na stávajících ulicích </w:t>
      </w:r>
      <w:r w:rsidR="00CA339E" w:rsidRPr="006B3F59">
        <w:rPr>
          <w:szCs w:val="16"/>
        </w:rPr>
        <w:t>Kamýcká a Podbabská</w:t>
      </w:r>
      <w:r w:rsidRPr="006B3F59">
        <w:rPr>
          <w:szCs w:val="16"/>
        </w:rPr>
        <w:t xml:space="preserve">. Pro území Prahy jsou na geoportálu Atlas životního prostředí Praha k dispozici hlukové mapy </w:t>
      </w:r>
      <w:r w:rsidRPr="006B3F59">
        <w:rPr>
          <w:szCs w:val="16"/>
        </w:rPr>
        <w:lastRenderedPageBreak/>
        <w:t>vlivu dopravní sítě, stav 2016, pro denní a noční dobu. Hlukové mapy, prezentované v Atlasu životního prostředí Prahy, uvádějí</w:t>
      </w:r>
      <w:r w:rsidR="002E1FD1" w:rsidRPr="006B3F59">
        <w:rPr>
          <w:szCs w:val="16"/>
        </w:rPr>
        <w:t xml:space="preserve"> </w:t>
      </w:r>
      <w:r w:rsidRPr="006B3F59">
        <w:rPr>
          <w:szCs w:val="16"/>
        </w:rPr>
        <w:t xml:space="preserve">pro řešené území jsou typické následující hladiny hluku: </w:t>
      </w:r>
    </w:p>
    <w:p w14:paraId="2296D20D" w14:textId="20AEFCE5" w:rsidR="00AC5717" w:rsidRPr="006B3F59" w:rsidRDefault="00AC5717" w:rsidP="00AC5717">
      <w:pPr>
        <w:pStyle w:val="Odrky2"/>
        <w:spacing w:before="0" w:after="0"/>
      </w:pPr>
      <w:r w:rsidRPr="006B3F59">
        <w:t>denní doba – v profilu zatížených ulic (</w:t>
      </w:r>
      <w:r w:rsidR="00CA339E" w:rsidRPr="006B3F59">
        <w:t xml:space="preserve">Kamýcká, </w:t>
      </w:r>
      <w:r w:rsidR="006D79E0" w:rsidRPr="006B3F59">
        <w:t xml:space="preserve">Roztocká, </w:t>
      </w:r>
      <w:r w:rsidR="00CA339E" w:rsidRPr="006B3F59">
        <w:t>Podbabská, železniční trať</w:t>
      </w:r>
      <w:r w:rsidRPr="006B3F59">
        <w:t xml:space="preserve">) 70-75 dB, v úrovni nejbližší obytné zástavby 60-65 dB, </w:t>
      </w:r>
    </w:p>
    <w:p w14:paraId="0F050987" w14:textId="66FABD9B" w:rsidR="00AC5717" w:rsidRPr="006B3F59" w:rsidRDefault="00AC5717" w:rsidP="00AC5717">
      <w:pPr>
        <w:pStyle w:val="Odrky2"/>
        <w:spacing w:before="0" w:after="0"/>
      </w:pPr>
      <w:r w:rsidRPr="006B3F59">
        <w:t>noční doba – v profilu zatížených ulic 60-65 dB</w:t>
      </w:r>
      <w:r w:rsidR="006D79E0" w:rsidRPr="006B3F59">
        <w:t xml:space="preserve"> (Kamýcká, Podbabská), v profilu ulice Roztocká na úrovni </w:t>
      </w:r>
      <w:r w:rsidR="00DD5C09" w:rsidRPr="006B3F59">
        <w:t>70-75</w:t>
      </w:r>
      <w:r w:rsidR="006D79E0" w:rsidRPr="006B3F59">
        <w:t xml:space="preserve"> dB, v profilu železniční trati nad </w:t>
      </w:r>
      <w:r w:rsidR="00DD5C09" w:rsidRPr="006B3F59">
        <w:t>75-80</w:t>
      </w:r>
      <w:r w:rsidR="006D79E0" w:rsidRPr="006B3F59">
        <w:t xml:space="preserve"> dB</w:t>
      </w:r>
      <w:r w:rsidRPr="006B3F59">
        <w:t>, v úrovni nejbližší obytné zástavby 55-60 dB.</w:t>
      </w:r>
    </w:p>
    <w:tbl>
      <w:tblPr>
        <w:tblW w:w="5084" w:type="pct"/>
        <w:tblInd w:w="-176" w:type="dxa"/>
        <w:tblLayout w:type="fixed"/>
        <w:tblLook w:val="01E0" w:firstRow="1" w:lastRow="1" w:firstColumn="1" w:lastColumn="1" w:noHBand="0" w:noVBand="0"/>
      </w:tblPr>
      <w:tblGrid>
        <w:gridCol w:w="4924"/>
        <w:gridCol w:w="4876"/>
      </w:tblGrid>
      <w:tr w:rsidR="00DD5C09" w:rsidRPr="006B3F59" w14:paraId="6D9AC278" w14:textId="77777777" w:rsidTr="009B4A0C">
        <w:trPr>
          <w:cantSplit/>
          <w:trHeight w:val="639"/>
        </w:trPr>
        <w:tc>
          <w:tcPr>
            <w:tcW w:w="2512" w:type="pct"/>
            <w:shd w:val="clear" w:color="auto" w:fill="auto"/>
            <w:vAlign w:val="center"/>
          </w:tcPr>
          <w:p w14:paraId="4B5AED6E" w14:textId="77777777" w:rsidR="00DD5C09" w:rsidRPr="006B3F59" w:rsidRDefault="00DD5C09" w:rsidP="009B4A0C">
            <w:pPr>
              <w:snapToGrid w:val="0"/>
              <w:rPr>
                <w:noProof/>
                <w:sz w:val="16"/>
                <w:szCs w:val="16"/>
                <w:u w:val="single"/>
              </w:rPr>
            </w:pPr>
            <w:r w:rsidRPr="006B3F59">
              <w:rPr>
                <w:noProof/>
                <w:sz w:val="16"/>
                <w:szCs w:val="16"/>
                <w:lang w:eastAsia="cs-CZ"/>
              </w:rPr>
              <w:drawing>
                <wp:anchor distT="0" distB="0" distL="114300" distR="114300" simplePos="0" relativeHeight="251670528" behindDoc="0" locked="0" layoutInCell="1" allowOverlap="1" wp14:anchorId="1563CA5E" wp14:editId="501899EB">
                  <wp:simplePos x="0" y="0"/>
                  <wp:positionH relativeFrom="column">
                    <wp:posOffset>-15240</wp:posOffset>
                  </wp:positionH>
                  <wp:positionV relativeFrom="paragraph">
                    <wp:posOffset>3930650</wp:posOffset>
                  </wp:positionV>
                  <wp:extent cx="694690" cy="1137285"/>
                  <wp:effectExtent l="0" t="0" r="0" b="5715"/>
                  <wp:wrapNone/>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6" cstate="print">
                            <a:extLst>
                              <a:ext uri="{28A0092B-C50C-407E-A947-70E740481C1C}">
                                <a14:useLocalDpi xmlns:a14="http://schemas.microsoft.com/office/drawing/2010/main" val="0"/>
                              </a:ext>
                            </a:extLst>
                          </a:blip>
                          <a:srcRect l="1436" t="34722" r="91255" b="30556"/>
                          <a:stretch/>
                        </pic:blipFill>
                        <pic:spPr bwMode="auto">
                          <a:xfrm>
                            <a:off x="0" y="0"/>
                            <a:ext cx="694690" cy="11372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B3F59">
              <w:rPr>
                <w:noProof/>
              </w:rPr>
              <w:drawing>
                <wp:inline distT="0" distB="0" distL="0" distR="0" wp14:anchorId="1D0035FA" wp14:editId="2C2385E6">
                  <wp:extent cx="3335201" cy="5002802"/>
                  <wp:effectExtent l="0" t="0" r="0" b="0"/>
                  <wp:docPr id="77647236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472363" name=""/>
                          <pic:cNvPicPr/>
                        </pic:nvPicPr>
                        <pic:blipFill>
                          <a:blip r:embed="rId97"/>
                          <a:stretch>
                            <a:fillRect/>
                          </a:stretch>
                        </pic:blipFill>
                        <pic:spPr>
                          <a:xfrm>
                            <a:off x="0" y="0"/>
                            <a:ext cx="3347261" cy="5020892"/>
                          </a:xfrm>
                          <a:prstGeom prst="rect">
                            <a:avLst/>
                          </a:prstGeom>
                        </pic:spPr>
                      </pic:pic>
                    </a:graphicData>
                  </a:graphic>
                </wp:inline>
              </w:drawing>
            </w:r>
          </w:p>
        </w:tc>
        <w:tc>
          <w:tcPr>
            <w:tcW w:w="2488" w:type="pct"/>
            <w:shd w:val="clear" w:color="auto" w:fill="auto"/>
            <w:vAlign w:val="center"/>
          </w:tcPr>
          <w:p w14:paraId="7A536D73" w14:textId="77777777" w:rsidR="00DD5C09" w:rsidRPr="006B3F59" w:rsidRDefault="00DD5C09" w:rsidP="009B4A0C">
            <w:pPr>
              <w:snapToGrid w:val="0"/>
              <w:rPr>
                <w:noProof/>
                <w:sz w:val="16"/>
                <w:szCs w:val="16"/>
                <w:u w:val="single"/>
              </w:rPr>
            </w:pPr>
            <w:r w:rsidRPr="006B3F59">
              <w:rPr>
                <w:noProof/>
                <w:lang w:eastAsia="cs-CZ"/>
              </w:rPr>
              <w:drawing>
                <wp:anchor distT="0" distB="0" distL="114300" distR="114300" simplePos="0" relativeHeight="251673600" behindDoc="0" locked="0" layoutInCell="1" allowOverlap="1" wp14:anchorId="69D4865E" wp14:editId="5AD59AF8">
                  <wp:simplePos x="0" y="0"/>
                  <wp:positionH relativeFrom="column">
                    <wp:posOffset>10160</wp:posOffset>
                  </wp:positionH>
                  <wp:positionV relativeFrom="paragraph">
                    <wp:posOffset>3927475</wp:posOffset>
                  </wp:positionV>
                  <wp:extent cx="675640" cy="1136650"/>
                  <wp:effectExtent l="0" t="0" r="0" b="0"/>
                  <wp:wrapNone/>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8" cstate="print">
                            <a:extLst>
                              <a:ext uri="{28A0092B-C50C-407E-A947-70E740481C1C}">
                                <a14:useLocalDpi xmlns:a14="http://schemas.microsoft.com/office/drawing/2010/main" val="0"/>
                              </a:ext>
                            </a:extLst>
                          </a:blip>
                          <a:srcRect l="1862" t="33333" r="91470" b="29333"/>
                          <a:stretch/>
                        </pic:blipFill>
                        <pic:spPr bwMode="auto">
                          <a:xfrm>
                            <a:off x="0" y="0"/>
                            <a:ext cx="675640" cy="11366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B3F59">
              <w:rPr>
                <w:noProof/>
                <w:sz w:val="16"/>
                <w:szCs w:val="16"/>
                <w:u w:val="single"/>
              </w:rPr>
              <w:drawing>
                <wp:inline distT="0" distB="0" distL="0" distR="0" wp14:anchorId="7128EC10" wp14:editId="49F523BD">
                  <wp:extent cx="3076307" cy="4991100"/>
                  <wp:effectExtent l="0" t="0" r="0" b="0"/>
                  <wp:docPr id="25716706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167066" name=""/>
                          <pic:cNvPicPr/>
                        </pic:nvPicPr>
                        <pic:blipFill>
                          <a:blip r:embed="rId99"/>
                          <a:stretch>
                            <a:fillRect/>
                          </a:stretch>
                        </pic:blipFill>
                        <pic:spPr>
                          <a:xfrm>
                            <a:off x="0" y="0"/>
                            <a:ext cx="3086888" cy="5008267"/>
                          </a:xfrm>
                          <a:prstGeom prst="rect">
                            <a:avLst/>
                          </a:prstGeom>
                        </pic:spPr>
                      </pic:pic>
                    </a:graphicData>
                  </a:graphic>
                </wp:inline>
              </w:drawing>
            </w:r>
          </w:p>
        </w:tc>
      </w:tr>
      <w:tr w:rsidR="00DD5C09" w:rsidRPr="006B3F59" w14:paraId="10D9FA4B" w14:textId="77777777" w:rsidTr="009B4A0C">
        <w:trPr>
          <w:cantSplit/>
          <w:trHeight w:val="459"/>
        </w:trPr>
        <w:tc>
          <w:tcPr>
            <w:tcW w:w="2512" w:type="pct"/>
            <w:shd w:val="clear" w:color="auto" w:fill="auto"/>
            <w:vAlign w:val="center"/>
          </w:tcPr>
          <w:p w14:paraId="652372CC" w14:textId="77777777" w:rsidR="00DD5C09" w:rsidRPr="006B3F59" w:rsidRDefault="00DD5C09" w:rsidP="009B4A0C">
            <w:pPr>
              <w:pStyle w:val="Obrnadpis"/>
              <w:rPr>
                <w:u w:val="single"/>
              </w:rPr>
            </w:pPr>
            <w:bookmarkStart w:id="134" w:name="_Toc138848218"/>
            <w:r w:rsidRPr="006B3F59">
              <w:t>Atlas životního prostředí Praha – Hluková mapa – akustický vliv dopravní sítě – stav 2016, hladina hluku – den, zdroj: IPR</w:t>
            </w:r>
            <w:bookmarkEnd w:id="134"/>
          </w:p>
        </w:tc>
        <w:tc>
          <w:tcPr>
            <w:tcW w:w="2488" w:type="pct"/>
            <w:shd w:val="clear" w:color="auto" w:fill="auto"/>
            <w:vAlign w:val="center"/>
          </w:tcPr>
          <w:p w14:paraId="1BF7EA08" w14:textId="77777777" w:rsidR="00DD5C09" w:rsidRPr="006B3F59" w:rsidRDefault="00DD5C09" w:rsidP="009B4A0C">
            <w:pPr>
              <w:pStyle w:val="Obrnadpis"/>
              <w:rPr>
                <w:u w:val="single"/>
              </w:rPr>
            </w:pPr>
            <w:bookmarkStart w:id="135" w:name="_Toc138848219"/>
            <w:r w:rsidRPr="006B3F59">
              <w:t>Atlas životního prostředí Praha – Hluková mapa – akustický vliv dopravní sítě – stav 2016, hladina hluku – noc, zdroj: IPR</w:t>
            </w:r>
            <w:bookmarkEnd w:id="135"/>
          </w:p>
        </w:tc>
      </w:tr>
    </w:tbl>
    <w:p w14:paraId="4E8603EE" w14:textId="77777777" w:rsidR="006D79E0" w:rsidRPr="006B3F59" w:rsidRDefault="00AC5717" w:rsidP="006D79E0">
      <w:pPr>
        <w:snapToGrid w:val="0"/>
        <w:rPr>
          <w:szCs w:val="16"/>
        </w:rPr>
      </w:pPr>
      <w:r w:rsidRPr="006B3F59">
        <w:rPr>
          <w:szCs w:val="16"/>
        </w:rPr>
        <w:t xml:space="preserve">V rámci strategického mapování byla pro území aglomerace Prahy zpracována „Strategická hluková mapa aglomerace Praha 2017“ (Zdravotní ústav se sídlem v Ostravě, zadavatel Ministerstvo zdravotnictví). Strategická hluková mapa byla vypracována z liniových dopravních zdrojů (silniční, tramvajová a železniční doprava), z Letiště Václava Havla Praha a stacionárních zdrojů. Níže uvádíme data pro aglomeraci Praha 2017, a to pro všechny zdroje. Dle Strategického hlukového mapování (SHM) 2017 pro Aglomeraci Praha je lokalita zatížena hlukem ze stávajícího provozu po stávajících ulicích </w:t>
      </w:r>
      <w:r w:rsidR="006D79E0" w:rsidRPr="006B3F59">
        <w:rPr>
          <w:szCs w:val="16"/>
        </w:rPr>
        <w:t>Kamýcká, Roztocká, Podbabská a železniční trati</w:t>
      </w:r>
      <w:r w:rsidRPr="006B3F59">
        <w:rPr>
          <w:szCs w:val="16"/>
        </w:rPr>
        <w:t>.</w:t>
      </w:r>
    </w:p>
    <w:p w14:paraId="1325E5BC" w14:textId="2A9FC645" w:rsidR="006D79E0" w:rsidRPr="006B3F59" w:rsidRDefault="00AC5717" w:rsidP="006D79E0">
      <w:pPr>
        <w:pStyle w:val="Odrky2"/>
      </w:pPr>
      <w:r w:rsidRPr="006B3F59">
        <w:rPr>
          <w:szCs w:val="16"/>
        </w:rPr>
        <w:t xml:space="preserve"> </w:t>
      </w:r>
      <w:r w:rsidR="006D79E0" w:rsidRPr="006B3F59">
        <w:t xml:space="preserve">denní doba – v profilu zatížených ulic (Kamýcká, Roztocká, Podbabská, železniční trať) 70-75 dB, v úrovni nejbližší obytné zástavby 60-65 dB, </w:t>
      </w:r>
    </w:p>
    <w:p w14:paraId="2FEB08AF" w14:textId="77777777" w:rsidR="006D79E0" w:rsidRPr="006B3F59" w:rsidRDefault="006D79E0" w:rsidP="006D79E0">
      <w:pPr>
        <w:pStyle w:val="Odrky2"/>
        <w:spacing w:before="0" w:after="0"/>
      </w:pPr>
      <w:r w:rsidRPr="006B3F59">
        <w:t>noční doba – v profilu zatížených ulic 60-65 dB (Kamýcká, Podbabská), v profilu ulice Roztocká na úrovni 65-70 dB, v profilu železniční trati nad 70 dB, v úrovni nejbližší obytné zástavby 55-60 dB.</w:t>
      </w:r>
    </w:p>
    <w:tbl>
      <w:tblPr>
        <w:tblW w:w="5084" w:type="pct"/>
        <w:tblInd w:w="-176" w:type="dxa"/>
        <w:tblLayout w:type="fixed"/>
        <w:tblLook w:val="01E0" w:firstRow="1" w:lastRow="1" w:firstColumn="1" w:lastColumn="1" w:noHBand="0" w:noVBand="0"/>
      </w:tblPr>
      <w:tblGrid>
        <w:gridCol w:w="4924"/>
        <w:gridCol w:w="4876"/>
      </w:tblGrid>
      <w:tr w:rsidR="00AC5717" w:rsidRPr="006B3F59" w14:paraId="57CCECAB" w14:textId="77777777" w:rsidTr="00FA5D94">
        <w:trPr>
          <w:cantSplit/>
          <w:trHeight w:val="639"/>
        </w:trPr>
        <w:tc>
          <w:tcPr>
            <w:tcW w:w="2512" w:type="pct"/>
            <w:shd w:val="clear" w:color="auto" w:fill="auto"/>
            <w:vAlign w:val="center"/>
          </w:tcPr>
          <w:p w14:paraId="1AB5542D" w14:textId="737865C1" w:rsidR="00AC5717" w:rsidRPr="006B3F59" w:rsidRDefault="00230D32" w:rsidP="00617A2C">
            <w:pPr>
              <w:snapToGrid w:val="0"/>
              <w:rPr>
                <w:noProof/>
                <w:sz w:val="16"/>
                <w:szCs w:val="16"/>
                <w:u w:val="single"/>
              </w:rPr>
            </w:pPr>
            <w:r w:rsidRPr="006B3F59">
              <w:rPr>
                <w:noProof/>
                <w:sz w:val="16"/>
                <w:szCs w:val="16"/>
                <w:lang w:eastAsia="cs-CZ"/>
              </w:rPr>
              <w:lastRenderedPageBreak/>
              <w:drawing>
                <wp:anchor distT="0" distB="0" distL="114300" distR="114300" simplePos="0" relativeHeight="251641856" behindDoc="0" locked="0" layoutInCell="1" allowOverlap="1" wp14:anchorId="0D569961" wp14:editId="27F3094D">
                  <wp:simplePos x="0" y="0"/>
                  <wp:positionH relativeFrom="column">
                    <wp:posOffset>2237740</wp:posOffset>
                  </wp:positionH>
                  <wp:positionV relativeFrom="paragraph">
                    <wp:posOffset>3458210</wp:posOffset>
                  </wp:positionV>
                  <wp:extent cx="834390" cy="784860"/>
                  <wp:effectExtent l="0" t="0" r="3810" b="0"/>
                  <wp:wrapNone/>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0" cstate="print">
                            <a:extLst>
                              <a:ext uri="{28A0092B-C50C-407E-A947-70E740481C1C}">
                                <a14:useLocalDpi xmlns:a14="http://schemas.microsoft.com/office/drawing/2010/main"/>
                              </a:ext>
                            </a:extLst>
                          </a:blip>
                          <a:srcRect/>
                          <a:stretch>
                            <a:fillRect/>
                          </a:stretch>
                        </pic:blipFill>
                        <pic:spPr bwMode="auto">
                          <a:xfrm>
                            <a:off x="0" y="0"/>
                            <a:ext cx="834390" cy="784860"/>
                          </a:xfrm>
                          <a:prstGeom prst="rect">
                            <a:avLst/>
                          </a:prstGeom>
                          <a:noFill/>
                        </pic:spPr>
                      </pic:pic>
                    </a:graphicData>
                  </a:graphic>
                  <wp14:sizeRelH relativeFrom="margin">
                    <wp14:pctWidth>0</wp14:pctWidth>
                  </wp14:sizeRelH>
                  <wp14:sizeRelV relativeFrom="margin">
                    <wp14:pctHeight>0</wp14:pctHeight>
                  </wp14:sizeRelV>
                </wp:anchor>
              </w:drawing>
            </w:r>
            <w:r w:rsidR="00CA339E" w:rsidRPr="006B3F59">
              <w:rPr>
                <w:noProof/>
              </w:rPr>
              <w:t xml:space="preserve"> </w:t>
            </w:r>
            <w:r w:rsidR="00CA339E" w:rsidRPr="006B3F59">
              <w:rPr>
                <w:noProof/>
                <w:sz w:val="16"/>
                <w:szCs w:val="16"/>
                <w:u w:val="single"/>
              </w:rPr>
              <w:drawing>
                <wp:inline distT="0" distB="0" distL="0" distR="0" wp14:anchorId="20000EDF" wp14:editId="3D474D97">
                  <wp:extent cx="3059430" cy="4001770"/>
                  <wp:effectExtent l="0" t="0" r="7620" b="0"/>
                  <wp:docPr id="124852385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523851" name=""/>
                          <pic:cNvPicPr/>
                        </pic:nvPicPr>
                        <pic:blipFill>
                          <a:blip r:embed="rId101"/>
                          <a:stretch>
                            <a:fillRect/>
                          </a:stretch>
                        </pic:blipFill>
                        <pic:spPr>
                          <a:xfrm>
                            <a:off x="0" y="0"/>
                            <a:ext cx="3059430" cy="4001770"/>
                          </a:xfrm>
                          <a:prstGeom prst="rect">
                            <a:avLst/>
                          </a:prstGeom>
                        </pic:spPr>
                      </pic:pic>
                    </a:graphicData>
                  </a:graphic>
                </wp:inline>
              </w:drawing>
            </w:r>
          </w:p>
        </w:tc>
        <w:tc>
          <w:tcPr>
            <w:tcW w:w="2488" w:type="pct"/>
            <w:shd w:val="clear" w:color="auto" w:fill="auto"/>
            <w:vAlign w:val="center"/>
          </w:tcPr>
          <w:p w14:paraId="396AF886" w14:textId="79764401" w:rsidR="00AC5717" w:rsidRPr="006B3F59" w:rsidRDefault="00230D32" w:rsidP="00230D32">
            <w:pPr>
              <w:snapToGrid w:val="0"/>
              <w:rPr>
                <w:noProof/>
                <w:sz w:val="16"/>
                <w:szCs w:val="16"/>
                <w:u w:val="single"/>
              </w:rPr>
            </w:pPr>
            <w:r w:rsidRPr="006B3F59">
              <w:rPr>
                <w:noProof/>
                <w:lang w:eastAsia="cs-CZ"/>
              </w:rPr>
              <w:drawing>
                <wp:anchor distT="0" distB="0" distL="114300" distR="114300" simplePos="0" relativeHeight="251644928" behindDoc="0" locked="0" layoutInCell="1" allowOverlap="1" wp14:anchorId="269F5D27" wp14:editId="31B89003">
                  <wp:simplePos x="0" y="0"/>
                  <wp:positionH relativeFrom="column">
                    <wp:posOffset>2253615</wp:posOffset>
                  </wp:positionH>
                  <wp:positionV relativeFrom="paragraph">
                    <wp:posOffset>3390265</wp:posOffset>
                  </wp:positionV>
                  <wp:extent cx="836295" cy="819150"/>
                  <wp:effectExtent l="0" t="0" r="1905" b="0"/>
                  <wp:wrapNone/>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2" cstate="print">
                            <a:extLst>
                              <a:ext uri="{28A0092B-C50C-407E-A947-70E740481C1C}">
                                <a14:useLocalDpi xmlns:a14="http://schemas.microsoft.com/office/drawing/2010/main"/>
                              </a:ext>
                            </a:extLst>
                          </a:blip>
                          <a:srcRect/>
                          <a:stretch>
                            <a:fillRect/>
                          </a:stretch>
                        </pic:blipFill>
                        <pic:spPr bwMode="auto">
                          <a:xfrm>
                            <a:off x="0" y="0"/>
                            <a:ext cx="836295" cy="819150"/>
                          </a:xfrm>
                          <a:prstGeom prst="rect">
                            <a:avLst/>
                          </a:prstGeom>
                          <a:noFill/>
                        </pic:spPr>
                      </pic:pic>
                    </a:graphicData>
                  </a:graphic>
                  <wp14:sizeRelH relativeFrom="margin">
                    <wp14:pctWidth>0</wp14:pctWidth>
                  </wp14:sizeRelH>
                  <wp14:sizeRelV relativeFrom="margin">
                    <wp14:pctHeight>0</wp14:pctHeight>
                  </wp14:sizeRelV>
                </wp:anchor>
              </w:drawing>
            </w:r>
            <w:r w:rsidR="00CA339E" w:rsidRPr="006B3F59">
              <w:rPr>
                <w:noProof/>
              </w:rPr>
              <w:t xml:space="preserve"> </w:t>
            </w:r>
            <w:r w:rsidR="00CA339E" w:rsidRPr="006B3F59">
              <w:rPr>
                <w:noProof/>
                <w:sz w:val="16"/>
                <w:szCs w:val="16"/>
                <w:u w:val="single"/>
              </w:rPr>
              <w:drawing>
                <wp:inline distT="0" distB="0" distL="0" distR="0" wp14:anchorId="4EB71021" wp14:editId="5E93BD08">
                  <wp:extent cx="3170487" cy="3978729"/>
                  <wp:effectExtent l="0" t="0" r="0" b="0"/>
                  <wp:docPr id="129376565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765659" name=""/>
                          <pic:cNvPicPr/>
                        </pic:nvPicPr>
                        <pic:blipFill>
                          <a:blip r:embed="rId103"/>
                          <a:stretch>
                            <a:fillRect/>
                          </a:stretch>
                        </pic:blipFill>
                        <pic:spPr>
                          <a:xfrm>
                            <a:off x="0" y="0"/>
                            <a:ext cx="3179936" cy="3990586"/>
                          </a:xfrm>
                          <a:prstGeom prst="rect">
                            <a:avLst/>
                          </a:prstGeom>
                        </pic:spPr>
                      </pic:pic>
                    </a:graphicData>
                  </a:graphic>
                </wp:inline>
              </w:drawing>
            </w:r>
          </w:p>
        </w:tc>
      </w:tr>
      <w:tr w:rsidR="00AC5717" w:rsidRPr="006B3F59" w14:paraId="640D2E3E" w14:textId="77777777" w:rsidTr="00FA5D94">
        <w:trPr>
          <w:cantSplit/>
          <w:trHeight w:val="277"/>
        </w:trPr>
        <w:tc>
          <w:tcPr>
            <w:tcW w:w="2512" w:type="pct"/>
            <w:shd w:val="clear" w:color="auto" w:fill="auto"/>
            <w:vAlign w:val="center"/>
          </w:tcPr>
          <w:p w14:paraId="6BA03A9A" w14:textId="27C43138" w:rsidR="00AC5717" w:rsidRPr="006B3F59" w:rsidRDefault="00AC5717" w:rsidP="00CC4168">
            <w:pPr>
              <w:pStyle w:val="Obrnadpis"/>
              <w:rPr>
                <w:u w:val="single"/>
              </w:rPr>
            </w:pPr>
            <w:bookmarkStart w:id="136" w:name="_Toc138848220"/>
            <w:r w:rsidRPr="006B3F59">
              <w:t>Strategická hluková mapa - Aglomerace Praha 2017 pro hlukový ukazatel Ldvn pro Aglomerace celek (den), zdroj geoportal.mzcr</w:t>
            </w:r>
            <w:r w:rsidR="00FF193E" w:rsidRPr="006B3F59">
              <w:t>.cz</w:t>
            </w:r>
            <w:bookmarkEnd w:id="136"/>
          </w:p>
        </w:tc>
        <w:tc>
          <w:tcPr>
            <w:tcW w:w="2488" w:type="pct"/>
            <w:shd w:val="clear" w:color="auto" w:fill="auto"/>
            <w:vAlign w:val="center"/>
          </w:tcPr>
          <w:p w14:paraId="7CF52804" w14:textId="6A40F766" w:rsidR="00AC5717" w:rsidRPr="006B3F59" w:rsidRDefault="00AC5717" w:rsidP="00CC4168">
            <w:pPr>
              <w:pStyle w:val="Obrnadpis"/>
              <w:rPr>
                <w:u w:val="single"/>
              </w:rPr>
            </w:pPr>
            <w:bookmarkStart w:id="137" w:name="_Toc138848221"/>
            <w:r w:rsidRPr="006B3F59">
              <w:t>Strategická hluková mapa - Aglomerace Praha 2017 pro hlukový ukazatel Ln pro Aglomerace celek (</w:t>
            </w:r>
            <w:r w:rsidR="0049376C" w:rsidRPr="006B3F59">
              <w:t>noc</w:t>
            </w:r>
            <w:r w:rsidRPr="006B3F59">
              <w:t>), zdroj geoportal.mzcr</w:t>
            </w:r>
            <w:r w:rsidR="00FF193E" w:rsidRPr="006B3F59">
              <w:t>.cz</w:t>
            </w:r>
            <w:bookmarkEnd w:id="137"/>
          </w:p>
        </w:tc>
      </w:tr>
    </w:tbl>
    <w:p w14:paraId="67040C1F" w14:textId="77777777" w:rsidR="00205335" w:rsidRDefault="00205335" w:rsidP="00205335">
      <w:bookmarkStart w:id="138" w:name="_Toc138848113"/>
      <w:bookmarkStart w:id="139" w:name="_Toc13424581"/>
      <w:bookmarkStart w:id="140" w:name="_Toc29298334"/>
      <w:bookmarkStart w:id="141" w:name="_Toc40694318"/>
      <w:bookmarkStart w:id="142" w:name="_Toc13424580"/>
      <w:r>
        <w:t xml:space="preserve">Pro účely Vyhodnocení vlivů změny Z 327/00 na udržitelný rozvoj území byla jako podklad zpracována orientační akustická studie, včetně měření hluku a sčítání dopravy. Podrobněji viz příloha č. 2 tohoto dokumentu. </w:t>
      </w:r>
    </w:p>
    <w:p w14:paraId="1A20C69C" w14:textId="639BDBBE" w:rsidR="00262DF6" w:rsidRDefault="00205335" w:rsidP="00205335">
      <w:r>
        <w:t>Z výše uvedené akustické studie vyplývá že v současné době jsou u většiny chráněných objektů podél komunikací Roztocká a Kamýcká dodrženy hygienické limity v denní i noční době</w:t>
      </w:r>
      <w:r w:rsidR="00B13A4B">
        <w:t>,</w:t>
      </w:r>
      <w:r>
        <w:t xml:space="preserve"> s výjimkou těchto </w:t>
      </w:r>
      <w:r w:rsidR="00B13A4B">
        <w:t xml:space="preserve">stávajících </w:t>
      </w:r>
      <w:r>
        <w:t>objektů:</w:t>
      </w:r>
    </w:p>
    <w:p w14:paraId="6A41EE7F" w14:textId="53A56044" w:rsidR="00205335" w:rsidRDefault="00205335" w:rsidP="00205335">
      <w:r>
        <w:t xml:space="preserve">Objekt k bydlení – Kamýcká č.p. 228, </w:t>
      </w:r>
      <w:r w:rsidR="00CF6B6D">
        <w:t>Praha – Sedlec</w:t>
      </w:r>
      <w:r>
        <w:t xml:space="preserve">; severní fasáda, </w:t>
      </w:r>
    </w:p>
    <w:p w14:paraId="408C72DF" w14:textId="459A46CD" w:rsidR="00205335" w:rsidRDefault="00205335" w:rsidP="00205335">
      <w:r>
        <w:t xml:space="preserve">Objekt k bydlení – Kamýcká č.p. 34/19, </w:t>
      </w:r>
      <w:r w:rsidR="00CF6B6D">
        <w:t>Praha – Sedlec</w:t>
      </w:r>
      <w:r>
        <w:t>; severní fasáda,</w:t>
      </w:r>
    </w:p>
    <w:p w14:paraId="7BC06794" w14:textId="38FA3CA1" w:rsidR="00205335" w:rsidRDefault="00205335" w:rsidP="00205335">
      <w:pPr>
        <w:rPr>
          <w:szCs w:val="20"/>
        </w:rPr>
      </w:pPr>
      <w:r w:rsidRPr="00262DF6">
        <w:rPr>
          <w:szCs w:val="20"/>
        </w:rPr>
        <w:t>Objekt k bydlení – Kamýcká č.p. 64/</w:t>
      </w:r>
      <w:proofErr w:type="gramStart"/>
      <w:r w:rsidRPr="00262DF6">
        <w:rPr>
          <w:szCs w:val="20"/>
        </w:rPr>
        <w:t>151a</w:t>
      </w:r>
      <w:proofErr w:type="gramEnd"/>
      <w:r w:rsidRPr="00262DF6">
        <w:rPr>
          <w:szCs w:val="20"/>
        </w:rPr>
        <w:t xml:space="preserve">, </w:t>
      </w:r>
      <w:r w:rsidR="00CF6B6D" w:rsidRPr="00262DF6">
        <w:rPr>
          <w:szCs w:val="20"/>
        </w:rPr>
        <w:t>Praha – Suchdol</w:t>
      </w:r>
      <w:r w:rsidRPr="00262DF6">
        <w:rPr>
          <w:szCs w:val="20"/>
        </w:rPr>
        <w:t>; severovýchodní fasáda</w:t>
      </w:r>
      <w:r w:rsidR="00262DF6" w:rsidRPr="00262DF6">
        <w:rPr>
          <w:szCs w:val="20"/>
        </w:rPr>
        <w:t>.</w:t>
      </w:r>
    </w:p>
    <w:p w14:paraId="3F274141" w14:textId="7716F902" w:rsidR="00262DF6" w:rsidRPr="00262DF6" w:rsidRDefault="00262DF6" w:rsidP="00205335">
      <w:pPr>
        <w:rPr>
          <w:szCs w:val="20"/>
        </w:rPr>
      </w:pPr>
      <w:r>
        <w:t xml:space="preserve">Ve výhledovém stavu (rok 2033) dojde i přes realizaci uvažovaných projektů, kterým dává rámec platný územní plán i jeho posuzovaná změna, k mírnému zlepšení hlukové zátěže u všech stávajících hlukově chráněných objektů podél komunikací Roztocká a Kamýcká. Hlavním důvodem je realizace </w:t>
      </w:r>
      <w:r w:rsidRPr="00FF783D">
        <w:t>přivaděč</w:t>
      </w:r>
      <w:r>
        <w:t>e</w:t>
      </w:r>
      <w:r w:rsidRPr="00FF783D">
        <w:t xml:space="preserve"> Rybářka</w:t>
      </w:r>
      <w:r>
        <w:t>,</w:t>
      </w:r>
      <w:r w:rsidRPr="00FF783D">
        <w:t xml:space="preserve"> </w:t>
      </w:r>
      <w:r>
        <w:t>který propojí</w:t>
      </w:r>
      <w:r w:rsidRPr="00FF783D">
        <w:t xml:space="preserve"> Pražský okruh</w:t>
      </w:r>
      <w:r>
        <w:t xml:space="preserve"> 518 mimoúrovňovou křižovatkou</w:t>
      </w:r>
      <w:r w:rsidRPr="00FF783D">
        <w:t xml:space="preserve"> Rybářka s ulicí Kamýcká</w:t>
      </w:r>
      <w:r>
        <w:t>, a to</w:t>
      </w:r>
      <w:r w:rsidRPr="00FF783D">
        <w:t xml:space="preserve"> napojením na úrovni ulice K</w:t>
      </w:r>
      <w:r>
        <w:t> </w:t>
      </w:r>
      <w:r w:rsidRPr="00FF783D">
        <w:t>Vinici</w:t>
      </w:r>
      <w:r>
        <w:t>,</w:t>
      </w:r>
    </w:p>
    <w:p w14:paraId="7EC00212" w14:textId="75545D4E" w:rsidR="003D1043" w:rsidRPr="006B3F59" w:rsidRDefault="003D1043" w:rsidP="003D1043">
      <w:pPr>
        <w:pStyle w:val="Nadpis3"/>
      </w:pPr>
      <w:r w:rsidRPr="006B3F59">
        <w:t>Krajina</w:t>
      </w:r>
      <w:r w:rsidR="004A5172" w:rsidRPr="006B3F59">
        <w:t>, sídla</w:t>
      </w:r>
      <w:r w:rsidRPr="006B3F59">
        <w:t xml:space="preserve"> a urbanismus</w:t>
      </w:r>
      <w:bookmarkEnd w:id="138"/>
    </w:p>
    <w:p w14:paraId="34C8879D" w14:textId="77777777" w:rsidR="00F73442" w:rsidRPr="006B3F59" w:rsidRDefault="00F73442" w:rsidP="00F73442">
      <w:pPr>
        <w:pStyle w:val="Podnadpis1"/>
      </w:pPr>
      <w:r w:rsidRPr="006B3F59">
        <w:t>Krajina</w:t>
      </w:r>
    </w:p>
    <w:p w14:paraId="677137CB" w14:textId="3CB7B4C0" w:rsidR="00CD2263" w:rsidRPr="006B3F59" w:rsidRDefault="00F73442" w:rsidP="00CD2263">
      <w:r w:rsidRPr="006B3F59">
        <w:t>Zájmové území</w:t>
      </w:r>
      <w:r w:rsidR="00701BE6" w:rsidRPr="006B3F59">
        <w:t xml:space="preserve"> leží v městské nebo příměstské krajině </w:t>
      </w:r>
      <w:r w:rsidRPr="006B3F59">
        <w:t>hlavního města Prahy, kde převažují urbanistické složky území nad kraji</w:t>
      </w:r>
      <w:r w:rsidR="00AA56ED" w:rsidRPr="006B3F59">
        <w:t>n</w:t>
      </w:r>
      <w:r w:rsidRPr="006B3F59">
        <w:t>nými.</w:t>
      </w:r>
      <w:r w:rsidR="00AA56ED" w:rsidRPr="006B3F59">
        <w:t xml:space="preserve"> </w:t>
      </w:r>
      <w:r w:rsidR="00CD2263" w:rsidRPr="006B3F59">
        <w:t xml:space="preserve">Řešené území zahrnuje oblast tzv. Nového Sedlce a Výhledů, okrajové části MČ </w:t>
      </w:r>
      <w:r w:rsidR="007F0572" w:rsidRPr="006B3F59">
        <w:t>Praha – Suchdol</w:t>
      </w:r>
      <w:r w:rsidR="00CD2263" w:rsidRPr="006B3F59">
        <w:t xml:space="preserve">. Obě tyto oblasti jsou vzájemně provázány Kamýckou ulicí, </w:t>
      </w:r>
      <w:r w:rsidR="00AA56ED" w:rsidRPr="006B3F59">
        <w:t>ve které jsou změnou vytvářeny územní předpoklady pro</w:t>
      </w:r>
      <w:r w:rsidR="00CD2263" w:rsidRPr="006B3F59">
        <w:t xml:space="preserve"> vedení budoucí tramvajové tr</w:t>
      </w:r>
      <w:r w:rsidR="00AA56ED" w:rsidRPr="006B3F59">
        <w:t>at</w:t>
      </w:r>
      <w:r w:rsidR="00CD2263" w:rsidRPr="006B3F59">
        <w:t>i z Podbaby do Suchdola.</w:t>
      </w:r>
      <w:r w:rsidR="006B62C8" w:rsidRPr="006B3F59">
        <w:t xml:space="preserve"> </w:t>
      </w:r>
    </w:p>
    <w:p w14:paraId="61B3499D" w14:textId="77777777" w:rsidR="00306E4A" w:rsidRPr="006B3F59" w:rsidRDefault="00306E4A" w:rsidP="00306E4A">
      <w:pPr>
        <w:autoSpaceDE w:val="0"/>
        <w:autoSpaceDN w:val="0"/>
        <w:adjustRightInd w:val="0"/>
        <w:rPr>
          <w:bCs/>
        </w:rPr>
      </w:pPr>
      <w:r w:rsidRPr="006B3F59">
        <w:rPr>
          <w:bCs/>
        </w:rPr>
        <w:t xml:space="preserve">Úsek z Podbaby po křižovatku Roztocká x Kamýcká </w:t>
      </w:r>
    </w:p>
    <w:p w14:paraId="361BE653" w14:textId="5FAF48E5" w:rsidR="00306E4A" w:rsidRPr="006B3F59" w:rsidRDefault="00306E4A" w:rsidP="00306E4A">
      <w:pPr>
        <w:autoSpaceDE w:val="0"/>
        <w:autoSpaceDN w:val="0"/>
        <w:adjustRightInd w:val="0"/>
        <w:rPr>
          <w:bCs/>
        </w:rPr>
      </w:pPr>
      <w:r w:rsidRPr="006B3F59">
        <w:rPr>
          <w:bCs/>
        </w:rPr>
        <w:lastRenderedPageBreak/>
        <w:t>První úsek navrhované tramvajové trati prochází heterogenní strukturou s výrobními areály, ukončující městskou zástavbu lemující ulici Jugoslávských partyzánů a pozvolna přecházející v extravilán v podobě ulice sevřené mezi skalní masiv Přírodní památky Baba a koryto Vltavy. K této části Podbabské ulice vymezené skalami, resp. tělesem železniční trati Praha – Ústí nad Labem a řekou, se přibližně v polovině připojuje za západu hlavní ulice obsluhující Šárecké a Lysolajské údolí, která podjezdem pod viaduktem umožňuje propojení údolí s Vltavou a městem. Tramvajová trať je zde vedena v prodloužení stávajícího směrování Podbabskou ul</w:t>
      </w:r>
      <w:r w:rsidR="006B62C8" w:rsidRPr="006B3F59">
        <w:rPr>
          <w:bCs/>
        </w:rPr>
        <w:t>i</w:t>
      </w:r>
      <w:r w:rsidRPr="006B3F59">
        <w:rPr>
          <w:bCs/>
        </w:rPr>
        <w:t>cí podjezdem pod železniční tratí a dále pokračuje touto ulicí až k Hydrologickému ústavu. Zde je navržena obousměrná zastávka, za níž tramvaj přechází do bočního vedení mezi železniční tratí a hlavním dopravním prostorem ulice Podbabská. Po převedení tramvaje do boční pozice tramvajová trať postupně vystoupá do úrovně železniční trati, kde je dále vedena k mostu přes ulici V Podbabě, kde je navržena obousměrná zastávka, a dále podél Roztocké ulice směrem k Sedlci, kde postupně opět přejde na úroveň terénu.</w:t>
      </w:r>
      <w:r w:rsidR="00FD09AA" w:rsidRPr="006B3F59">
        <w:rPr>
          <w:bCs/>
        </w:rPr>
        <w:t xml:space="preserve"> V tomto prostoru sousedí ze západní strany se stávající železniční tratí hranice přírodního parku Šárka-Lysolaje. Předmětem ochrany v tomto prostoru je především východní hrana Podbabských skal, v tomto prostoru chráněná jako jeden PP Baba a jeden ze segmentů EVL Kaňon Vltavy u Sedlce. Bez přímého dotčení, vizuálně spolupůsobit bude nová tramvajová trať spolu s existujícími dopravními stavbami v tomto prostoru</w:t>
      </w:r>
      <w:r w:rsidR="00AF5F0C" w:rsidRPr="006B3F59">
        <w:rPr>
          <w:bCs/>
        </w:rPr>
        <w:t>,</w:t>
      </w:r>
      <w:r w:rsidR="00FD09AA" w:rsidRPr="006B3F59">
        <w:rPr>
          <w:bCs/>
        </w:rPr>
        <w:t xml:space="preserve"> tj. ulicí Podbabská a železniční tratí, přičemž návrh počítá s přimknutím tramvajové trati výškově i směrově k trati železniční. </w:t>
      </w:r>
      <w:r w:rsidR="00AA56ED" w:rsidRPr="006B3F59">
        <w:rPr>
          <w:bCs/>
        </w:rPr>
        <w:t>Územní plán</w:t>
      </w:r>
      <w:r w:rsidR="00AF5F0C" w:rsidRPr="006B3F59">
        <w:rPr>
          <w:bCs/>
        </w:rPr>
        <w:t>,</w:t>
      </w:r>
      <w:r w:rsidR="00AA56ED" w:rsidRPr="006B3F59">
        <w:rPr>
          <w:bCs/>
        </w:rPr>
        <w:t xml:space="preserve"> a tedy ani jeho posouzení vlivů na životní prostředí sice neřeší konkrétní stavby v řešených plochách, v této souvislosti je však třeba upozornit na existenci nemovité kulturní památky Viaduktu stávající železniční dráhy v ulici V Podbabě, jejíž vizuální působení bude případným mostem přimknutým k tomuto viaduktu dotčeno. </w:t>
      </w:r>
      <w:r w:rsidRPr="006B3F59">
        <w:rPr>
          <w:bCs/>
        </w:rPr>
        <w:t>Navržené trasování i výškové uspořádání bylo prověřeno</w:t>
      </w:r>
      <w:r w:rsidR="006B62C8" w:rsidRPr="006B3F59">
        <w:rPr>
          <w:bCs/>
        </w:rPr>
        <w:t xml:space="preserve"> </w:t>
      </w:r>
      <w:r w:rsidRPr="006B3F59">
        <w:rPr>
          <w:bCs/>
        </w:rPr>
        <w:t xml:space="preserve">s ohledem na realizaci tramvajového mostu směrem k druhému břehu Vltavy a vedení tramvajové trasy směrem do Bohnic. Z pohledu platného územního plánu hl. m. Prahy </w:t>
      </w:r>
      <w:r w:rsidR="00FD09AA" w:rsidRPr="006B3F59">
        <w:rPr>
          <w:bCs/>
        </w:rPr>
        <w:t>změna v Podbabě</w:t>
      </w:r>
      <w:r w:rsidRPr="006B3F59">
        <w:rPr>
          <w:bCs/>
        </w:rPr>
        <w:t xml:space="preserve"> navrhuje změnu stávající plochy se způsobem využití IZ (izolační zeleň), která dnes slouží jako parkoviště. Tuto plochu </w:t>
      </w:r>
      <w:r w:rsidR="006B62C8" w:rsidRPr="006B3F59">
        <w:rPr>
          <w:bCs/>
        </w:rPr>
        <w:t>změna</w:t>
      </w:r>
      <w:r w:rsidRPr="006B3F59">
        <w:rPr>
          <w:bCs/>
        </w:rPr>
        <w:t xml:space="preserve"> navrhuje připojit k sousední ploše VN (nerušící výroba). Studie dále upravuje dopravní režim a uliční profil ulice Podbabská, která dále pokračuje jako Roztocká, tak aby bylo možné zde tramvajovou trať realizovat. Zároveň </w:t>
      </w:r>
      <w:r w:rsidR="006B62C8" w:rsidRPr="006B3F59">
        <w:rPr>
          <w:bCs/>
        </w:rPr>
        <w:t>změna</w:t>
      </w:r>
      <w:r w:rsidRPr="006B3F59">
        <w:rPr>
          <w:bCs/>
        </w:rPr>
        <w:t xml:space="preserve"> navrhuje drobné úpravy v šířkovém uspořádání uličního profilu, které by umožnily takový dopravní model, který by minimalizoval tvorbu kolon při příjezdu do Prahy.</w:t>
      </w:r>
      <w:r w:rsidR="00FD09AA" w:rsidRPr="006B3F59">
        <w:rPr>
          <w:bCs/>
        </w:rPr>
        <w:t xml:space="preserve"> </w:t>
      </w:r>
    </w:p>
    <w:p w14:paraId="675FD345" w14:textId="77777777" w:rsidR="00306E4A" w:rsidRPr="006B3F59" w:rsidRDefault="00306E4A" w:rsidP="00306E4A">
      <w:pPr>
        <w:autoSpaceDE w:val="0"/>
        <w:autoSpaceDN w:val="0"/>
        <w:adjustRightInd w:val="0"/>
        <w:rPr>
          <w:bCs/>
        </w:rPr>
      </w:pPr>
      <w:r w:rsidRPr="006B3F59">
        <w:rPr>
          <w:bCs/>
        </w:rPr>
        <w:t xml:space="preserve">Nový Sedlec </w:t>
      </w:r>
    </w:p>
    <w:p w14:paraId="6238E517" w14:textId="77777777" w:rsidR="00306E4A" w:rsidRPr="006B3F59" w:rsidRDefault="00306E4A" w:rsidP="00306E4A">
      <w:pPr>
        <w:autoSpaceDE w:val="0"/>
        <w:autoSpaceDN w:val="0"/>
        <w:adjustRightInd w:val="0"/>
        <w:rPr>
          <w:bCs/>
        </w:rPr>
      </w:pPr>
      <w:r w:rsidRPr="006B3F59">
        <w:rPr>
          <w:bCs/>
        </w:rPr>
        <w:t>Oblast Nového Sedlce, dnes využívaná jako deponie stavebního materiálu, spolu s areály severně od Kamýcké ulice (určenými k transformaci na obytnou zástavbu) navazuje na zástavbu převážně vesnického typu, která tvoří velkou část stávající obytné zástavby Sedlce. Studie v této oblasti navrhuje zástavbu převážně městského typu v otevřených blocích, jejíž intenzita směrem k přírodním okrajům území postupně klesá. Navrženou zástavbu protíná hlavní severojižní urbanistická osa směřující z hlavní křižovatky s Kamýckou ulicí přes náměstí a tramvajovou trať až k okraji zástavby a dále s výhledem ve směru Pražského hradu. Dále jsou zde navrženy dvě přibližně paralelní ulice vůči tramvajové trati, kde ta vzdálenější tvoří zároveň jakýsi zklidněný okraj, jenž tvoří přechod mezi městskou strukturou a stavbami pro individuální bydlení v návaznosti na krajinu.</w:t>
      </w:r>
    </w:p>
    <w:p w14:paraId="085ADAC9" w14:textId="4D002DFE" w:rsidR="00306E4A" w:rsidRPr="006B3F59" w:rsidRDefault="007F3D29" w:rsidP="00306E4A">
      <w:pPr>
        <w:rPr>
          <w:bCs/>
        </w:rPr>
      </w:pPr>
      <w:r w:rsidRPr="006B3F59">
        <w:rPr>
          <w:bCs/>
        </w:rPr>
        <w:t>Kamýcká</w:t>
      </w:r>
      <w:r w:rsidR="00306E4A" w:rsidRPr="006B3F59">
        <w:rPr>
          <w:bCs/>
        </w:rPr>
        <w:t xml:space="preserve"> </w:t>
      </w:r>
    </w:p>
    <w:p w14:paraId="06A421DA" w14:textId="6D9F039F" w:rsidR="00306E4A" w:rsidRPr="006B3F59" w:rsidRDefault="00306E4A" w:rsidP="00306E4A">
      <w:pPr>
        <w:rPr>
          <w:bCs/>
        </w:rPr>
      </w:pPr>
      <w:r w:rsidRPr="006B3F59">
        <w:rPr>
          <w:bCs/>
        </w:rPr>
        <w:t>Při výjezdu z území Nového Sedlce se tramvajová trať line okolo zástavby solitérních rodinných domů spadajících do katastrálního území Lysolaje a dostává se na území stávajícího Suchdola, které je v těchto místech tvořeno heterogenní strukturou kombinovanou z bytových domů, rodinných domů a areálů občanské vybavenosti. Poté, co tramvajová trať opustí geometricky založené Brandejsovo náměstí, které tvoří mimo jiné vstupní bránu do České zemědělské univerzity, začíná okolní urbanistická struktura nabývat charakteru zahradního města, který se zejména na západní straně udrží až téměř k hraně sídla. Východní strana od Kamýcké ulice je celkem záhy tvořena nezastavěnými pozemky využívanými jako pastviny pro nedaleký Brandejsův statek. V této části území studie pouze upravuje a navrhuje vhodný uliční profil s ohledem na navrhovanou tramvajovou trať a okolní zástavbu. Je zohledněn charakter zástavby a potřeba vjezdů v návaznosti na novou tramvajovou trať a její případné vedení vedle komunikace pro individuální automobilovou dopravu.</w:t>
      </w:r>
    </w:p>
    <w:p w14:paraId="35A575D4" w14:textId="2BE1F60E" w:rsidR="007F3D29" w:rsidRPr="006B3F59" w:rsidRDefault="007F3D29" w:rsidP="00306E4A">
      <w:r w:rsidRPr="006B3F59">
        <w:t>Výhledy</w:t>
      </w:r>
    </w:p>
    <w:p w14:paraId="2F0C04EE" w14:textId="1FE75BE4" w:rsidR="007F3D29" w:rsidRPr="006B3F59" w:rsidRDefault="007F3D29" w:rsidP="00026ACC">
      <w:pPr>
        <w:autoSpaceDE w:val="0"/>
        <w:autoSpaceDN w:val="0"/>
        <w:adjustRightInd w:val="0"/>
        <w:ind w:left="-9"/>
        <w:rPr>
          <w:rFonts w:cs="Arial"/>
          <w:bCs/>
        </w:rPr>
      </w:pPr>
      <w:r w:rsidRPr="006B3F59">
        <w:rPr>
          <w:rFonts w:cs="Arial"/>
          <w:bCs/>
        </w:rPr>
        <w:t>Oblast Výhledů je momentálně nezastavěnou prolukou v rámci struktury městské části Praha – Suchdol, která bude do značné míry ovlivněna trasováním Pražského okruhu. Zpracovaný návrh změny si klade za cíl dotvořit okolí plánované tramvajové trati. Využití území je navrženo pro převážně rezidenční zástavbu s nižší intenzitou využití v návaznosti na dopravní terminál</w:t>
      </w:r>
      <w:r w:rsidR="00026ACC" w:rsidRPr="006B3F59">
        <w:rPr>
          <w:rFonts w:cs="Arial"/>
          <w:bCs/>
        </w:rPr>
        <w:t xml:space="preserve"> a parkoviště P+R. Ú</w:t>
      </w:r>
      <w:r w:rsidRPr="006B3F59">
        <w:rPr>
          <w:rFonts w:cs="Arial"/>
          <w:bCs/>
        </w:rPr>
        <w:t xml:space="preserve">zemí navazuje západním směrem na historické jádro původní obce Suchdol, tvořené vesnickou zástavbou s dominantou Brandejsova statku; míra využití území </w:t>
      </w:r>
      <w:r w:rsidR="00026ACC" w:rsidRPr="006B3F59">
        <w:rPr>
          <w:rFonts w:cs="Arial"/>
          <w:bCs/>
        </w:rPr>
        <w:t xml:space="preserve">se </w:t>
      </w:r>
      <w:r w:rsidRPr="006B3F59">
        <w:rPr>
          <w:rFonts w:cs="Arial"/>
          <w:bCs/>
        </w:rPr>
        <w:t>směrem k historické zástavbě se snižuje.</w:t>
      </w:r>
      <w:r w:rsidR="00026ACC" w:rsidRPr="006B3F59">
        <w:rPr>
          <w:rFonts w:cs="Arial"/>
          <w:bCs/>
        </w:rPr>
        <w:t xml:space="preserve"> Zastavitelné plochy jsou doplněny plochami zeleně pro parkové využití, izolační zeleň a krajinnou zeleň při přechodu do volné krajiny. </w:t>
      </w:r>
      <w:r w:rsidRPr="006B3F59">
        <w:rPr>
          <w:rFonts w:cs="Arial"/>
          <w:bCs/>
        </w:rPr>
        <w:t xml:space="preserve">Spolu s parkem, který je </w:t>
      </w:r>
      <w:r w:rsidRPr="006B3F59">
        <w:rPr>
          <w:rFonts w:cs="Arial"/>
          <w:bCs/>
        </w:rPr>
        <w:lastRenderedPageBreak/>
        <w:t xml:space="preserve">tvořen pásem vymezeným pro trasování tunelu Pražského okruhu, vytváří zelené propojení Suchdola s plochami okolní krajiny. </w:t>
      </w:r>
    </w:p>
    <w:p w14:paraId="2B119176" w14:textId="136A6FB9" w:rsidR="00026ACC" w:rsidRPr="006B3F59" w:rsidRDefault="00026ACC" w:rsidP="00026ACC">
      <w:pPr>
        <w:autoSpaceDE w:val="0"/>
        <w:autoSpaceDN w:val="0"/>
        <w:adjustRightInd w:val="0"/>
        <w:ind w:left="-9"/>
        <w:rPr>
          <w:rFonts w:cs="Arial"/>
          <w:bCs/>
          <w:u w:val="single"/>
        </w:rPr>
      </w:pPr>
      <w:r w:rsidRPr="006B3F59">
        <w:rPr>
          <w:rFonts w:cs="Arial"/>
          <w:bCs/>
          <w:u w:val="single"/>
        </w:rPr>
        <w:t>Charakteristiky krajinného rázu:</w:t>
      </w:r>
    </w:p>
    <w:p w14:paraId="310F2A6F" w14:textId="331E998D" w:rsidR="004E0975" w:rsidRPr="006B3F59" w:rsidRDefault="004E0975" w:rsidP="00CD2263">
      <w:r w:rsidRPr="006B3F59">
        <w:t xml:space="preserve">Řešené území leží v okrajové oblasti krajinného rázu 17 Bohnicko-únětické planiny (dle Hodnocení krajinného rázu zpracovaného jako součást ÚAP HMP LÖW &amp; SPOL., s.r.o., Brno, 2008), která je vymezena a charakterizována následovně. Zarovnané planiny nad Únětickým a Bohnickým potokem mírně se svažující k údolí Vltavy. Rozkládají se nad </w:t>
      </w:r>
      <w:proofErr w:type="spellStart"/>
      <w:r w:rsidRPr="006B3F59">
        <w:t>krajinně</w:t>
      </w:r>
      <w:proofErr w:type="spellEnd"/>
      <w:r w:rsidR="00CF6B6D">
        <w:t>-</w:t>
      </w:r>
      <w:r w:rsidRPr="006B3F59">
        <w:t>suterénními údolími Vltavy, Únětického, Kopaninského potoka a ústím Šáreckého (s Lysolajským údolím). Ohraničení je na všechny strany nuanční se sporadickými dominantami Čimického Háje, Na Vrškách nad Úněticemi, při sestupu k Vltavě se uplatňují ostrohy Baba a Na Farkách s kopcem ZOO v Tróji. Matrice: na Vltavském pravobřeží převažují zastavěné plochy Bohnického sídliště, na levobřeží, mimo areál zemědělské univerzity, nízkopodlažní zástavba, dále na západ venkovská krajina s významnými stopami suburbanizace, zcela na západ areál letiště; osy: údolí Únětického potoka, řeka Vltava, staré cesty i dnes stvrzené silnicemi ve směru JV – SZ a Pražský okruh; póly: kopec Čimický háj, Bohnický ostroh, ostrohy Baba, Budovec se Suchdolskou výspou a Na Farkách, Kozí hřbety, vrch Na Vrškách, Na Skalce, celá Trójská krajina za ZOO, historická jádra sídel Přední Kopanina, Horoměřice, Suchdol a Bohnice, archeologické naleziště Únětice, dálniční křižovatka u letiště.</w:t>
      </w:r>
      <w:r w:rsidR="002805A6" w:rsidRPr="006B3F59">
        <w:t xml:space="preserve"> Zvlášť cenné a PPr Draháň –Trója chráněné území, je území za ZOO, vlastní údolí Vltavy, venkovská krajina okolo Přední Kopaniny a všechny historické a přírodní póly. Pravobřežní planina je obsazena mimořádně dominantním sídlištěm Bohnice, neorganicky rozšiřována jsou i sídla mimo Prahu a v Suchdole. Kapacitně i polohově nevhodná je chatová výstavba, zejména na dnech a horních okrajích údolí. Zásadním narušením jsou i terénní úpravy na Suchdolské výspě. Bezpodmínečně krajinářsky chránit je nutno krajinu okolo Tróje a údolí Vltavy, zvýšenou ochranu zasluhuje krajina V od Přední Kopaniny a horních hran údolí, kde je třeba chatovou i jinou zástavbu omezovat.</w:t>
      </w:r>
      <w:r w:rsidR="002805A6" w:rsidRPr="00CC1516">
        <w:t xml:space="preserve"> </w:t>
      </w:r>
      <w:r w:rsidR="002805A6" w:rsidRPr="0081641E">
        <w:t>Vltavský</w:t>
      </w:r>
      <w:r w:rsidR="002805A6" w:rsidRPr="006B3F59">
        <w:t xml:space="preserve"> svah Suchdolské výspy je třeba zbavit násypů a ozelenit.</w:t>
      </w:r>
    </w:p>
    <w:p w14:paraId="55855382" w14:textId="01513E89" w:rsidR="00287E37" w:rsidRPr="006B3F59" w:rsidRDefault="00287E37" w:rsidP="00CD2263">
      <w:r w:rsidRPr="006B3F59">
        <w:t>V území se střídají místa zastavěná a intenzivně využívaná s přírodě blízkými plochami. Nejvýznamnějším krajinným fenoménem jsou zde mohutná defilé skalnatých nárazových břehů kaňonu Vltavy, na která jsou vázána významná xerotermní skalní společenstva. Převažují svahy jihovýchodní a jihozápadní až západní expozice.</w:t>
      </w:r>
    </w:p>
    <w:p w14:paraId="3413550E" w14:textId="616295F8" w:rsidR="004F37D2" w:rsidRPr="006B3F59" w:rsidRDefault="004F37D2" w:rsidP="00CD2263">
      <w:r w:rsidRPr="006B3F59">
        <w:t xml:space="preserve">Území na severním konci dnešní Prahy patří k nejdéle osídleným oblastem v ČR. Okolí Bubenče, Podbaby a Dejvic bylo hustě osídleno již v mladší či pozdní době kamenné a lidé zde sídlili prakticky kontinuálně. Výšinná osada z pozdní doby kamenné se nacházela v lokalitách Baba, Podhoří a Zámky. Na tato stará sídla pak navazovalo osídlení i v dalších obdobích. Ještě po příchodu Slovanů byla na některých místech budována rozsáhlá hradiště. V raném středověku postupně docházelo k přesouvání těžiště osídlení na nová místa okolo rozvíjejících se pražských měst a také do okolních sídel, jejichž pozice již byla dána spíše podmínkami pro </w:t>
      </w:r>
      <w:r w:rsidR="00CF6B6D" w:rsidRPr="006B3F59">
        <w:t>hospodaření</w:t>
      </w:r>
      <w:r w:rsidRPr="006B3F59">
        <w:t xml:space="preserve"> než požadavkem obrany. Sídla na území EVL byla opouštěna. V blízkém okolí existovalo nadále několik osad i solitérních usedlostí. Stanoviště se tak neocitla zcela mimo dosah a mohla být nadále využívána. Pro účely hospodaření zde byly umisťovány některé drobné stavby, z nichž se dodnes zachovaly romanticky upravené zbytky stavby, která byla od 17. století součástí zázemí vinice. Další výrazná proměna sídelního uspořádání okolí přišla pak až ve 20. století, spolu s rozšiřováním pražské aglomerace. Hustě obydlená souvislá zástavba se postupně místy přiblížila až k hranici lokality. Historické osídlení mělo </w:t>
      </w:r>
      <w:r w:rsidR="0058101B" w:rsidRPr="006B3F59">
        <w:t>významný – formující – vliv</w:t>
      </w:r>
      <w:r w:rsidRPr="006B3F59">
        <w:t xml:space="preserve"> na podobu vegetace. Vytvářelo totiž zázemí pro zemědělské hospodaření, do ekosystému vnášelo živiny a zvýhodňovalo některé rostlinné druhy. Ještě dnes lze nalézt na místě někdejších sídlišť poněkud odlišnou vegetaci. </w:t>
      </w:r>
    </w:p>
    <w:p w14:paraId="391D57EE" w14:textId="77777777" w:rsidR="004F37D2" w:rsidRPr="006B3F59" w:rsidRDefault="004F37D2" w:rsidP="00CD2263">
      <w:r w:rsidRPr="006B3F59">
        <w:t>Velká většina xerotermních stanovišť byla nějakým způsobem lidmi obhospodařována již od prehistorických dob, v souvislosti se zdejším osídlením lze pravděpodobný počátek klást do období eneolitu. Hospodaření mělo zásadní vliv na podobu vegetace. Na mnoha místech se díky němu podařilo udržet kontinuální (nebo alespoň dlouhodobé) bezlesí a druhy na něj vázané, z nichž je pravděpodobně nejvýraznější křivatec český. Místy však měla pastva i negativní vliv. Některé partie byly údajně spásány natolik intenzivně, že docházelo k nadměrné disturbanci až erozi svahů a pravděpodobně i k degradaci vegetace. V novověku byla lokalita využívána především jako pastvina, vyskytovaly se zde však také vinice a výsadby ovocných dřevin. Na řadě míst v EVL i jejím blízkém okolí se zachovaly zbytky starých teras jako stopy po někdejších vinicích. Nejvýraznější památkou na vinohradnictví je potom zřícenina věže na Babě, která je údajně pozůstatkem někdejšího lisu na víno nebo (podle jiné verze) viničního letohrádku.</w:t>
      </w:r>
    </w:p>
    <w:p w14:paraId="24D8B2F0" w14:textId="7FF4BDFB" w:rsidR="004F37D2" w:rsidRPr="006B3F59" w:rsidRDefault="004F37D2" w:rsidP="00CD2263">
      <w:r w:rsidRPr="006B3F59">
        <w:t xml:space="preserve">Extenzivní pěstování ovoce a vína neznamenalo prakticky žádné poškození xerotermní vegetace, sady a vinice naopak skýtaly řadu míst, kde se daná vegetace mohla dochovat či přímo prosperovat. Jako mnohde jinde přinesla 2. polovina 20. století postupný </w:t>
      </w:r>
      <w:r w:rsidR="0058101B" w:rsidRPr="006B3F59">
        <w:t>úpadek,</w:t>
      </w:r>
      <w:r w:rsidRPr="006B3F59">
        <w:t xml:space="preserve"> a nakonec i zánik hospodaření. Drobné usedlosti s pastvinami přežívaly ještě do 50. let, poté však byly pohlceny rozlézající se aglomerací a pozbyly svého původního účelu. Díky absenci hospodaření a zvýšenému přísunu imisního dusíku začala řada míst zarůstat </w:t>
      </w:r>
      <w:r w:rsidRPr="006B3F59">
        <w:lastRenderedPageBreak/>
        <w:t>náletovými dřevinami či mezofilní vegetací. Teprve na počátku 21. století byla alespoň místy obnovena extenzivní pastva ovcí a koz jako součást managementu chráněných území.</w:t>
      </w:r>
    </w:p>
    <w:p w14:paraId="0C07662F" w14:textId="0CE31F26" w:rsidR="00F73442" w:rsidRPr="006B3F59" w:rsidRDefault="00CD2263" w:rsidP="00F73442">
      <w:r w:rsidRPr="006B3F59">
        <w:t>Suchdol, Sedlec i Lysolaje si ponechávají charakter drobnější zástavby (struktura zahradního města nebo vesnická). Pouze areál České zemědělské univerzity a Akademie věd přináší do území pro sebe specifický typ zástavby. Jádro historické obce Sedlec tvoří tzv. Zámeček, bývalý velkostatek, kolem kterého jsou zbytky původní vesnické zástavby. Do struktury Sedlce se propisuje také industriální zástavba soustředěná kolem Hergetovy cihelny. Obdobně v oblasti Starého Suchdola je zachováno historické jádro obce v okolí Brandejsova statku.</w:t>
      </w:r>
    </w:p>
    <w:p w14:paraId="002EB3D3" w14:textId="1B2AACC3" w:rsidR="00CD2263" w:rsidRPr="006B3F59" w:rsidRDefault="00CD2263" w:rsidP="00F73442">
      <w:r w:rsidRPr="006B3F59">
        <w:t>Lokalita Sedlec je v části svého historického jádra a východně od železniční trati obytná s vesnickou zástavbou drobného měřítka. Západně od železniční trati se nacházejí rušící výrobní areály a sklady a několik dnes již opuštěných areálů. Východně od trati se nachází areál soukromé základní školy Riverside. Směrem na západ, od Suchdola, je území odděleno lesními a křovinatými plochami. V části Nového Sedlce se nacházejí především deponie stavebního odpadu, které jsou stále využívány a jejich objem každým dnem roste. V nejnižší části této oblasti, s přímým napojením na Kamýckou ulici, se nachází opět rušící výrobní areál. U jižní hrany směrem k Podbabským skalám se nachází sportovní střelnice, areál policie a dnes již nevyužívaný areál vodárny. Směrem do Lysolajského údolí se rozkládají louky a křovinaté plochy. MČ Praha — Suchdol je především obytná lokalita tvořená převážně rodinnými domy. Její důležitou součástí je i areál Vysoké školy zemědělské, který se nachází na jejím jihozápadním kraji. Severní a jižní část Suchdola oddělují zahrádkářské osady, louky a pastviny. V severní části se nachází historické jádro s Brandejsovým statkem</w:t>
      </w:r>
    </w:p>
    <w:p w14:paraId="77C4C138" w14:textId="4E6BDDD8" w:rsidR="00CD2263" w:rsidRPr="006B3F59" w:rsidRDefault="00CD2263" w:rsidP="00FA5D94">
      <w:r w:rsidRPr="006B3F59">
        <w:t>V současnosti je starý Sedlec klidnou periferní částí města, která slouží především k bydlení. Díky železniční zastávce je tato lokalita rychle a pohodlně dostupná z centra Prahy. Západně od železniční trati se nacházejí skladovací areály odkazující na průmyslovou minulost této lokality. V oblasti jižně od Kamýcké ulice, v části nového Sedlce, dochází k divokému skládkování stavebního odpadu, které výrazně dynamicky formuje morfologii místa a dosahuje téměř až na hranici Podbabských skal. Skály spolu s</w:t>
      </w:r>
      <w:r w:rsidR="00CF6B6D">
        <w:t> </w:t>
      </w:r>
      <w:r w:rsidRPr="006B3F59">
        <w:t>vegetací</w:t>
      </w:r>
      <w:r w:rsidR="00CF6B6D">
        <w:t xml:space="preserve"> brownfields</w:t>
      </w:r>
      <w:r w:rsidRPr="006B3F59">
        <w:t xml:space="preserve"> dodávají území specifický charakter městské divočiny. </w:t>
      </w:r>
    </w:p>
    <w:p w14:paraId="36FB2BB9" w14:textId="777C548E" w:rsidR="00FA5D94" w:rsidRPr="006B3F59" w:rsidRDefault="00FA5D94" w:rsidP="00FA5D94">
      <w:r w:rsidRPr="006B3F59">
        <w:t>V souvisejícím území dále dojde k dokončení městského okruhu, intenzivnější využití železničních tratí pro příměstskou dopravu, krajinné úpravy vltavských břehů.</w:t>
      </w:r>
    </w:p>
    <w:p w14:paraId="09E76E29" w14:textId="0363B4FC" w:rsidR="00CD2263" w:rsidRPr="006B3F59" w:rsidRDefault="00CD2263" w:rsidP="00FA5D94">
      <w:pPr>
        <w:rPr>
          <w:u w:val="single"/>
        </w:rPr>
      </w:pPr>
      <w:r w:rsidRPr="006B3F59">
        <w:rPr>
          <w:u w:val="single"/>
        </w:rPr>
        <w:t>Historický vývoj</w:t>
      </w:r>
    </w:p>
    <w:p w14:paraId="2322E451" w14:textId="1F752C5B" w:rsidR="00CD2263" w:rsidRPr="006B3F59" w:rsidRDefault="00CD2263" w:rsidP="00FA5D94">
      <w:r w:rsidRPr="006B3F59">
        <w:t xml:space="preserve">Podle archeologických nálezů bylo území Sedlce obýváno již od doby kamenné (6000–2000 př. n. l.). Na konci 10. století Přemyslovci věnovali Sedlec ostrovskému klášteru. Ve 14. století patřil Sedlec pražskému proboštství, pak, do husitské revoluce, strahovskému klášteru, než jej převzalo Staré Město pražské. Trvalejší osídlení dokládají nálezy z 15.–16. století. Původní sedlecké hospodářství pozvedli nájemci F.J. </w:t>
      </w:r>
      <w:proofErr w:type="spellStart"/>
      <w:r w:rsidRPr="006B3F59">
        <w:t>Maser</w:t>
      </w:r>
      <w:proofErr w:type="spellEnd"/>
      <w:r w:rsidRPr="006B3F59">
        <w:t xml:space="preserve">, J.B. </w:t>
      </w:r>
      <w:proofErr w:type="spellStart"/>
      <w:r w:rsidRPr="006B3F59">
        <w:t>Labler</w:t>
      </w:r>
      <w:proofErr w:type="spellEnd"/>
      <w:r w:rsidRPr="006B3F59">
        <w:t xml:space="preserve"> a kronikář F.V. </w:t>
      </w:r>
      <w:proofErr w:type="spellStart"/>
      <w:r w:rsidRPr="006B3F59">
        <w:t>Pštross</w:t>
      </w:r>
      <w:proofErr w:type="spellEnd"/>
      <w:r w:rsidRPr="006B3F59">
        <w:t xml:space="preserve">. Klasicistní venkovský zámeček pochází z poloviny 19. století. Koncem 19. století se rozvíjí cihlářský průmysl. Původní Pštrossovu cihelnu koupil A. </w:t>
      </w:r>
      <w:proofErr w:type="spellStart"/>
      <w:r w:rsidRPr="006B3F59">
        <w:t>Herget</w:t>
      </w:r>
      <w:proofErr w:type="spellEnd"/>
      <w:r w:rsidRPr="006B3F59">
        <w:t xml:space="preserve"> a založil cihelny, které </w:t>
      </w:r>
      <w:r w:rsidR="00C71201" w:rsidRPr="006B3F59">
        <w:t>významně</w:t>
      </w:r>
      <w:r w:rsidRPr="006B3F59">
        <w:t xml:space="preserve"> ovlivnily podobu celé lokality. Cihly se zde vyráběly i během 2. světové války, po roce 1948 byl ale provoz znárodněn a v 60. letech 20. století prostory sloužily jako sklad stavebního materiálu. Od r. 1922 se stal Sedlec součástí Prahy. Suchdol se připojil až v roce 1968. Atrakcí Sedlce byl v první polovině 20. století slon s restaurací ve svých útrobách, který byl zakoupen z pražské Jubilejní výstavy v roce 1908. V druhé polovině 20. století byly postaveny Sedlecké mrazírny, největší výrobní podnik v obci.</w:t>
      </w:r>
    </w:p>
    <w:p w14:paraId="3E13167F" w14:textId="77777777" w:rsidR="00026ACC" w:rsidRPr="006B3F59" w:rsidRDefault="00026ACC" w:rsidP="00026ACC">
      <w:pPr>
        <w:rPr>
          <w:u w:val="single"/>
        </w:rPr>
      </w:pPr>
      <w:r w:rsidRPr="006B3F59">
        <w:rPr>
          <w:u w:val="single"/>
        </w:rPr>
        <w:t>Místo krajinného rázu:</w:t>
      </w:r>
    </w:p>
    <w:p w14:paraId="7D52E3CB" w14:textId="2AA34886" w:rsidR="00026ACC" w:rsidRPr="006B3F59" w:rsidRDefault="00026ACC" w:rsidP="00026ACC">
      <w:r w:rsidRPr="006B3F59">
        <w:t xml:space="preserve">Řešené území se nachází na levém břehu Vltavy na severním okraji Prahy cca 5 km vzdušnou čarou od centra města. Území tvoří pomyslnou bránu do Prahy při vstupu ze </w:t>
      </w:r>
      <w:r w:rsidR="0058101B" w:rsidRPr="006B3F59">
        <w:t>severu – krajina</w:t>
      </w:r>
      <w:r w:rsidRPr="006B3F59">
        <w:t xml:space="preserve"> se z úzkého kaňonu rozšiřuje a umožňuje dálkové pohledy do okolí. Dominantním prvkem je zde stále příroda, jejíž rozsáhlá chráněná území se nacházejí po obou stranách řeky. V řešeném území je vymezena přírodní památka Podbabské skály, evropsky významná oblast (EVL) Kaňon Vltavy u Sedlce, celoměstský systém zeleně a územní systém ekologické stability (ÚSES).</w:t>
      </w:r>
    </w:p>
    <w:p w14:paraId="51671552" w14:textId="1B4142DE" w:rsidR="004A5172" w:rsidRPr="006B3F59" w:rsidRDefault="004A5172" w:rsidP="004A5172">
      <w:pPr>
        <w:pStyle w:val="Podnadpis1"/>
      </w:pPr>
      <w:r w:rsidRPr="006B3F59">
        <w:t>Dopravní infrastruktura</w:t>
      </w:r>
    </w:p>
    <w:p w14:paraId="2B6CB479" w14:textId="4EFFF1D4" w:rsidR="00FD316F" w:rsidRPr="006B3F59" w:rsidRDefault="00FD316F" w:rsidP="000A2B7B">
      <w:r w:rsidRPr="006B3F59">
        <w:t>Významnou součástí změny je vytvoření rozvojových lokalit v okolí nové tramvajové trati do Suchdola. Výchozím bodem obou rozvojových lokalit (Nový Sedlec a Výhledy) je stabilizace vedení tramvajové trati a polohy zastávek. Na tuto trať je pak navázán dopravní skelet, tvořící hlavní kostru lokalit</w:t>
      </w:r>
      <w:r w:rsidR="00FB743F" w:rsidRPr="006B3F59">
        <w:t>.</w:t>
      </w:r>
    </w:p>
    <w:p w14:paraId="31AF114C" w14:textId="0E2B18F0" w:rsidR="000A2B7B" w:rsidRPr="006B3F59" w:rsidRDefault="000A2B7B" w:rsidP="000A2B7B">
      <w:r w:rsidRPr="006B3F59">
        <w:t xml:space="preserve">Pro Suchdol bude zásadní reorganizace MHD, kdy bude nutné obsloužit území novými autobusovými linkami navážejícími cestující k novému tramvajovému terminálu. Současně s terminálem </w:t>
      </w:r>
      <w:r w:rsidR="00B22643">
        <w:t xml:space="preserve">jsou vytvářeny územní předpoklady pro </w:t>
      </w:r>
      <w:r w:rsidRPr="006B3F59">
        <w:t>kapacitní P+R.</w:t>
      </w:r>
    </w:p>
    <w:p w14:paraId="0505A094" w14:textId="1184275D" w:rsidR="00B0445D" w:rsidRDefault="006B3F59" w:rsidP="000A2B7B">
      <w:r>
        <w:lastRenderedPageBreak/>
        <w:t>Na základě podkladové studie j</w:t>
      </w:r>
      <w:r w:rsidR="00B0445D" w:rsidRPr="006B3F59">
        <w:t>e navržena základní síť veřejných prostranství, která bude slo</w:t>
      </w:r>
      <w:r w:rsidR="00E53B7A">
        <w:t>u</w:t>
      </w:r>
      <w:r w:rsidR="00B0445D" w:rsidRPr="006B3F59">
        <w:t xml:space="preserve">žit jako páteř rozvoje lokality Na Mírách a současně jako základní síť pro vedení MHD z oblasti Nového a Starého Suchdola k novému Terminálu na Výhledech. </w:t>
      </w:r>
    </w:p>
    <w:p w14:paraId="7AA9BFC1" w14:textId="7F351664" w:rsidR="004A5172" w:rsidRPr="006B3F59" w:rsidRDefault="004A5172" w:rsidP="00BD7256">
      <w:pPr>
        <w:pStyle w:val="Podnadpis2"/>
      </w:pPr>
      <w:r w:rsidRPr="006B3F59">
        <w:t>Silniční komunikace</w:t>
      </w:r>
    </w:p>
    <w:p w14:paraId="096CCA82" w14:textId="77777777" w:rsidR="002A2BCE" w:rsidRPr="006B3F59" w:rsidRDefault="002A2BCE" w:rsidP="002A2BCE">
      <w:r w:rsidRPr="006B3F59">
        <w:t xml:space="preserve">Nový Sedlec </w:t>
      </w:r>
    </w:p>
    <w:p w14:paraId="7B34404E" w14:textId="40CE29CE" w:rsidR="002A2BCE" w:rsidRPr="006B3F59" w:rsidRDefault="002A2BCE" w:rsidP="00B22643">
      <w:r w:rsidRPr="006B3F59">
        <w:t xml:space="preserve">Území je dopravně napojeno primárně na Kamýckou ulici, zároveň doplňuje propojení směrem do stávající zástavby a ulice Nad Podbabskou skálou. </w:t>
      </w:r>
    </w:p>
    <w:p w14:paraId="59844D2A" w14:textId="53777545" w:rsidR="002A2BCE" w:rsidRPr="006B3F59" w:rsidRDefault="00B22643" w:rsidP="002A2BCE">
      <w:r>
        <w:t>Změna v souladu s podkladovou studií upravuje vyústění</w:t>
      </w:r>
      <w:r w:rsidR="002A2BCE" w:rsidRPr="006B3F59">
        <w:t xml:space="preserve"> tunelu Rybářka</w:t>
      </w:r>
      <w:r>
        <w:t xml:space="preserve"> v oddálené poloze</w:t>
      </w:r>
      <w:r w:rsidR="002A2BCE" w:rsidRPr="006B3F59">
        <w:t xml:space="preserve"> od stávající zástavby</w:t>
      </w:r>
      <w:r>
        <w:t>,</w:t>
      </w:r>
      <w:r w:rsidR="002A2BCE" w:rsidRPr="006B3F59">
        <w:t xml:space="preserve"> </w:t>
      </w:r>
      <w:r>
        <w:t xml:space="preserve">zároveň </w:t>
      </w:r>
      <w:r w:rsidR="002A2BCE" w:rsidRPr="006B3F59">
        <w:t xml:space="preserve">respektuje koridor stavby přivaděče Rybářka vymezený v platných Zásadách územního rozvoje hl. m. Prahy (ZÚR). </w:t>
      </w:r>
    </w:p>
    <w:p w14:paraId="3050C15C" w14:textId="77777777" w:rsidR="002A2BCE" w:rsidRPr="006B3F59" w:rsidRDefault="002A2BCE" w:rsidP="002A2BCE">
      <w:r w:rsidRPr="006B3F59">
        <w:t xml:space="preserve">Výhledy </w:t>
      </w:r>
    </w:p>
    <w:p w14:paraId="4500A581" w14:textId="1FDBDF03" w:rsidR="00586473" w:rsidRPr="006B3F59" w:rsidRDefault="002A2BCE" w:rsidP="002A2BCE">
      <w:r w:rsidRPr="006B3F59">
        <w:t xml:space="preserve">Z dopravního hlediska je oblast nejvíce ovlivněna plánovanou stavbou SOKP. Západně od řešeného území je plánována MÚK Výhledy, samotný okruh má být v oblasti Suchdola řešen v tunelu, který protíná jižní cíp oblasti Výhledy. </w:t>
      </w:r>
      <w:r w:rsidR="00C71178">
        <w:t>Trasa ani MÚK Výhledy se změnou nemění. Změna m</w:t>
      </w:r>
      <w:r w:rsidR="00C71178" w:rsidRPr="00655B11">
        <w:rPr>
          <w:rFonts w:cs="Arial"/>
        </w:rPr>
        <w:t>ění podmínky oproti řešení dle podkladu investora stavby ŘSD</w:t>
      </w:r>
      <w:r w:rsidR="00C71178">
        <w:rPr>
          <w:rFonts w:cs="Arial"/>
        </w:rPr>
        <w:t> </w:t>
      </w:r>
      <w:r w:rsidR="00C71178" w:rsidRPr="00655B11">
        <w:rPr>
          <w:rFonts w:cs="Arial"/>
        </w:rPr>
        <w:t>v</w:t>
      </w:r>
      <w:r w:rsidR="00C71178">
        <w:rPr>
          <w:rFonts w:cs="Arial"/>
        </w:rPr>
        <w:t> </w:t>
      </w:r>
      <w:r w:rsidR="00C71178" w:rsidRPr="00655B11">
        <w:rPr>
          <w:rFonts w:cs="Arial"/>
        </w:rPr>
        <w:t xml:space="preserve">dokumentu </w:t>
      </w:r>
      <w:r w:rsidR="00C71178">
        <w:rPr>
          <w:rFonts w:cs="Arial"/>
        </w:rPr>
        <w:t>dostupném v době zpracování</w:t>
      </w:r>
      <w:r w:rsidR="00C71178">
        <w:rPr>
          <w:rFonts w:cs="Arial"/>
        </w:rPr>
        <w:t xml:space="preserve"> (</w:t>
      </w:r>
      <w:r w:rsidR="00C71178" w:rsidRPr="00655B11">
        <w:rPr>
          <w:rFonts w:cs="Arial"/>
        </w:rPr>
        <w:t>D0 518 SOKP 518+519, Technicko-ekonomická studie</w:t>
      </w:r>
      <w:r w:rsidR="00C71178">
        <w:rPr>
          <w:rFonts w:cs="Arial"/>
        </w:rPr>
        <w:t>“</w:t>
      </w:r>
      <w:r w:rsidR="00C71178" w:rsidRPr="00655B11">
        <w:rPr>
          <w:rFonts w:cs="Arial"/>
        </w:rPr>
        <w:t xml:space="preserve">, </w:t>
      </w:r>
      <w:r w:rsidR="00C71178">
        <w:rPr>
          <w:rFonts w:cs="Arial"/>
        </w:rPr>
        <w:t>zprac</w:t>
      </w:r>
      <w:r w:rsidR="00C71178">
        <w:rPr>
          <w:rFonts w:cs="Arial"/>
        </w:rPr>
        <w:t xml:space="preserve">ovatel </w:t>
      </w:r>
      <w:proofErr w:type="spellStart"/>
      <w:r w:rsidR="00C71178" w:rsidRPr="00655B11">
        <w:rPr>
          <w:rFonts w:cs="Arial"/>
        </w:rPr>
        <w:t>Pragoprojekt</w:t>
      </w:r>
      <w:proofErr w:type="spellEnd"/>
      <w:r w:rsidR="00C71178">
        <w:rPr>
          <w:rFonts w:cs="Arial"/>
        </w:rPr>
        <w:t xml:space="preserve"> v</w:t>
      </w:r>
      <w:r w:rsidR="00C71178" w:rsidRPr="00655B11">
        <w:rPr>
          <w:rFonts w:cs="Arial"/>
        </w:rPr>
        <w:t xml:space="preserve"> 11/2020</w:t>
      </w:r>
      <w:r w:rsidR="00C71178">
        <w:rPr>
          <w:rFonts w:cs="Arial"/>
        </w:rPr>
        <w:t xml:space="preserve">), </w:t>
      </w:r>
      <w:r w:rsidRPr="006B3F59">
        <w:t xml:space="preserve">viz např. doporučení pro úpravu napojení MÚK Výhledy k silnici II/241, resp. ulici Kamýcká a dílčí přeložky IS v souvislosti s vedením tramvajové trati k terminálu Výhledy, umístění P+R apod. </w:t>
      </w:r>
    </w:p>
    <w:p w14:paraId="32A8E627" w14:textId="11835880" w:rsidR="002A2BCE" w:rsidRPr="006B3F59" w:rsidRDefault="00B22643" w:rsidP="002A2BCE">
      <w:pPr>
        <w:rPr>
          <w:lang w:eastAsia="cs-CZ"/>
        </w:rPr>
      </w:pPr>
      <w:r>
        <w:t xml:space="preserve">Změna vymezuje upravenou trasu přivaděče Rybářka </w:t>
      </w:r>
      <w:r w:rsidR="002A2BCE" w:rsidRPr="006B3F59">
        <w:t>dle Dopravní studie k USNS tak, aby umožnil plnohodnotnou obsluhu Suchdola a nezatěžoval stávající i výhledové plochy určené pro bydlení.</w:t>
      </w:r>
    </w:p>
    <w:p w14:paraId="4F1A580B" w14:textId="1240AC66" w:rsidR="004A5172" w:rsidRPr="006B3F59" w:rsidRDefault="004A5172" w:rsidP="004A5172">
      <w:pPr>
        <w:rPr>
          <w:rFonts w:cs="Arial"/>
          <w:bCs/>
          <w:color w:val="000000"/>
          <w:szCs w:val="20"/>
          <w:u w:val="single"/>
          <w:lang w:eastAsia="cs-CZ"/>
        </w:rPr>
      </w:pPr>
      <w:r w:rsidRPr="006B3F59">
        <w:rPr>
          <w:rFonts w:cs="Arial"/>
          <w:bCs/>
          <w:color w:val="000000"/>
          <w:szCs w:val="20"/>
          <w:u w:val="single"/>
          <w:lang w:eastAsia="cs-CZ"/>
        </w:rPr>
        <w:t xml:space="preserve">Intenzity </w:t>
      </w:r>
      <w:r w:rsidR="003577E4" w:rsidRPr="006B3F59">
        <w:rPr>
          <w:rFonts w:cs="Arial"/>
          <w:bCs/>
          <w:color w:val="000000"/>
          <w:szCs w:val="20"/>
          <w:u w:val="single"/>
          <w:lang w:eastAsia="cs-CZ"/>
        </w:rPr>
        <w:t>dopravy – stávající</w:t>
      </w:r>
      <w:r w:rsidRPr="006B3F59">
        <w:rPr>
          <w:rFonts w:cs="Arial"/>
          <w:bCs/>
          <w:color w:val="000000"/>
          <w:szCs w:val="20"/>
          <w:u w:val="single"/>
          <w:lang w:eastAsia="cs-CZ"/>
        </w:rPr>
        <w:t xml:space="preserve"> stav</w:t>
      </w:r>
    </w:p>
    <w:p w14:paraId="7494D07E" w14:textId="759572A4" w:rsidR="00B22643" w:rsidRPr="006B3F59" w:rsidRDefault="004A5172" w:rsidP="00B22643">
      <w:r w:rsidRPr="006B3F59">
        <w:rPr>
          <w:rFonts w:cs="Arial"/>
          <w:color w:val="000000"/>
          <w:szCs w:val="20"/>
          <w:lang w:eastAsia="cs-CZ"/>
        </w:rPr>
        <w:t>Dopravně inženýrsk</w:t>
      </w:r>
      <w:r w:rsidR="002E1222">
        <w:rPr>
          <w:rFonts w:cs="Arial"/>
          <w:color w:val="000000"/>
          <w:szCs w:val="20"/>
          <w:lang w:eastAsia="cs-CZ"/>
        </w:rPr>
        <w:t xml:space="preserve">é podklady (DIP) </w:t>
      </w:r>
      <w:r w:rsidRPr="006B3F59">
        <w:rPr>
          <w:rFonts w:cs="Arial"/>
          <w:color w:val="000000"/>
          <w:szCs w:val="20"/>
          <w:lang w:eastAsia="cs-CZ"/>
        </w:rPr>
        <w:t>pro změnu Z3</w:t>
      </w:r>
      <w:r w:rsidR="00E75BED" w:rsidRPr="006B3F59">
        <w:rPr>
          <w:rFonts w:cs="Arial"/>
          <w:color w:val="000000"/>
          <w:szCs w:val="20"/>
          <w:lang w:eastAsia="cs-CZ"/>
        </w:rPr>
        <w:t>827</w:t>
      </w:r>
      <w:r w:rsidRPr="006B3F59">
        <w:rPr>
          <w:rFonts w:cs="Arial"/>
          <w:color w:val="000000"/>
          <w:szCs w:val="20"/>
          <w:lang w:eastAsia="cs-CZ"/>
        </w:rPr>
        <w:t>/00</w:t>
      </w:r>
      <w:r w:rsidR="002E1222">
        <w:rPr>
          <w:rFonts w:cs="Arial"/>
          <w:color w:val="000000"/>
          <w:szCs w:val="20"/>
          <w:lang w:eastAsia="cs-CZ"/>
        </w:rPr>
        <w:t xml:space="preserve"> (IPR, duben 2023)</w:t>
      </w:r>
      <w:r w:rsidRPr="006B3F59">
        <w:rPr>
          <w:rFonts w:cs="Arial"/>
          <w:color w:val="000000"/>
          <w:szCs w:val="20"/>
          <w:lang w:eastAsia="cs-CZ"/>
        </w:rPr>
        <w:t xml:space="preserve"> byl</w:t>
      </w:r>
      <w:r w:rsidR="002E1222">
        <w:rPr>
          <w:rFonts w:cs="Arial"/>
          <w:color w:val="000000"/>
          <w:szCs w:val="20"/>
          <w:lang w:eastAsia="cs-CZ"/>
        </w:rPr>
        <w:t>y</w:t>
      </w:r>
      <w:r w:rsidRPr="006B3F59">
        <w:rPr>
          <w:rFonts w:cs="Arial"/>
          <w:color w:val="000000"/>
          <w:szCs w:val="20"/>
          <w:lang w:eastAsia="cs-CZ"/>
        </w:rPr>
        <w:t xml:space="preserve"> zpracován</w:t>
      </w:r>
      <w:r w:rsidR="002E1222">
        <w:rPr>
          <w:rFonts w:cs="Arial"/>
          <w:color w:val="000000"/>
          <w:szCs w:val="20"/>
          <w:lang w:eastAsia="cs-CZ"/>
        </w:rPr>
        <w:t>y</w:t>
      </w:r>
      <w:r w:rsidRPr="006B3F59">
        <w:rPr>
          <w:rFonts w:cs="Arial"/>
          <w:color w:val="000000"/>
          <w:szCs w:val="20"/>
          <w:lang w:eastAsia="cs-CZ"/>
        </w:rPr>
        <w:t xml:space="preserve"> na základě dat z „Technická studie </w:t>
      </w:r>
      <w:r w:rsidR="00E75BED" w:rsidRPr="006B3F59">
        <w:rPr>
          <w:rFonts w:cs="Arial"/>
          <w:color w:val="000000"/>
          <w:szCs w:val="20"/>
          <w:lang w:eastAsia="cs-CZ"/>
        </w:rPr>
        <w:t>Nový Sedlec</w:t>
      </w:r>
      <w:r w:rsidRPr="006B3F59">
        <w:rPr>
          <w:rFonts w:cs="Arial"/>
          <w:color w:val="000000"/>
          <w:szCs w:val="20"/>
          <w:lang w:eastAsia="cs-CZ"/>
        </w:rPr>
        <w:t>“</w:t>
      </w:r>
      <w:r w:rsidR="00E75BED" w:rsidRPr="006B3F59">
        <w:rPr>
          <w:rFonts w:cs="Arial"/>
          <w:color w:val="000000"/>
          <w:szCs w:val="20"/>
          <w:lang w:eastAsia="cs-CZ"/>
        </w:rPr>
        <w:t xml:space="preserve"> (USNS)</w:t>
      </w:r>
      <w:r w:rsidRPr="006B3F59">
        <w:rPr>
          <w:rFonts w:cs="Arial"/>
          <w:color w:val="000000"/>
          <w:szCs w:val="20"/>
          <w:lang w:eastAsia="cs-CZ"/>
        </w:rPr>
        <w:t>.</w:t>
      </w:r>
      <w:r w:rsidRPr="006B3F59">
        <w:rPr>
          <w:rFonts w:cs="Arial"/>
          <w:szCs w:val="20"/>
          <w:lang w:eastAsia="cs-CZ"/>
        </w:rPr>
        <w:t xml:space="preserve"> Níže uvádíme kartogramy stávajícího stavu a dopravní prognózy výhledu územního plánu bez zapracování posuzované změny</w:t>
      </w:r>
      <w:r w:rsidR="00B72FE8" w:rsidRPr="006B3F59">
        <w:rPr>
          <w:rFonts w:cs="Arial"/>
          <w:szCs w:val="20"/>
          <w:lang w:eastAsia="cs-CZ"/>
        </w:rPr>
        <w:t xml:space="preserve">, tj. stávající stav a stav </w:t>
      </w:r>
      <w:r w:rsidRPr="006B3F59">
        <w:rPr>
          <w:rFonts w:cs="Arial"/>
          <w:szCs w:val="20"/>
          <w:lang w:eastAsia="cs-CZ"/>
        </w:rPr>
        <w:t xml:space="preserve">se zapracováním posuzované změny územního plánu. </w:t>
      </w:r>
      <w:r w:rsidR="00E75BED" w:rsidRPr="006B3F59">
        <w:t>- návrhový modelový kartogram intenzit zatížení automobilovou dopravou na komunikacích v Praze Suchdol – Sedlec, Suchdol pro návrhové období platného ÚP hl. m. Prahy, který počítá s dostavbou komunikační sítě a s naplněním rozvojových ploch podle tohoto plánu</w:t>
      </w:r>
      <w:r w:rsidR="002805A6" w:rsidRPr="006B3F59">
        <w:t>.</w:t>
      </w:r>
      <w:r w:rsidR="00B22643">
        <w:t xml:space="preserve"> </w:t>
      </w:r>
    </w:p>
    <w:p w14:paraId="40B08D57" w14:textId="0C0F6D1C" w:rsidR="004A5172" w:rsidRPr="006B3F59" w:rsidRDefault="004A5172" w:rsidP="004A5172"/>
    <w:p w14:paraId="09510738" w14:textId="44FDC1E4" w:rsidR="008006D7" w:rsidRPr="006B3F59" w:rsidRDefault="008006D7" w:rsidP="004A5172">
      <w:r w:rsidRPr="006B3F59">
        <w:rPr>
          <w:noProof/>
        </w:rPr>
        <w:lastRenderedPageBreak/>
        <w:drawing>
          <wp:inline distT="0" distB="0" distL="0" distR="0" wp14:anchorId="56042B7B" wp14:editId="7904FDD9">
            <wp:extent cx="6001588" cy="8554644"/>
            <wp:effectExtent l="0" t="0" r="0" b="0"/>
            <wp:docPr id="114749127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491279" name=""/>
                    <pic:cNvPicPr/>
                  </pic:nvPicPr>
                  <pic:blipFill>
                    <a:blip r:embed="rId104"/>
                    <a:stretch>
                      <a:fillRect/>
                    </a:stretch>
                  </pic:blipFill>
                  <pic:spPr>
                    <a:xfrm>
                      <a:off x="0" y="0"/>
                      <a:ext cx="6001588" cy="8554644"/>
                    </a:xfrm>
                    <a:prstGeom prst="rect">
                      <a:avLst/>
                    </a:prstGeom>
                  </pic:spPr>
                </pic:pic>
              </a:graphicData>
            </a:graphic>
          </wp:inline>
        </w:drawing>
      </w:r>
    </w:p>
    <w:p w14:paraId="7ABAF25E" w14:textId="21A4D4E5" w:rsidR="002805A6" w:rsidRPr="006B3F59" w:rsidRDefault="002805A6" w:rsidP="00CC1516">
      <w:pPr>
        <w:pStyle w:val="Styl4"/>
        <w:rPr>
          <w:rFonts w:cs="Arial"/>
        </w:rPr>
      </w:pPr>
      <w:r w:rsidRPr="006B3F59">
        <w:t>Kartogram stávajícího stavu dle dopravního průzkumu z roku 2021, Zdroj IPR Praha, duben 2023</w:t>
      </w:r>
    </w:p>
    <w:p w14:paraId="77314C62" w14:textId="3825E08E" w:rsidR="00FB743F" w:rsidRDefault="00FB743F" w:rsidP="004A5172">
      <w:r w:rsidRPr="006B3F59">
        <w:lastRenderedPageBreak/>
        <w:t>V rámci urbanistické studie Nový Sedlec sloužící jako podklad pro zde posuzovanou změnu územního pl</w:t>
      </w:r>
      <w:r w:rsidR="002E1222">
        <w:t>á</w:t>
      </w:r>
      <w:r w:rsidRPr="006B3F59">
        <w:t xml:space="preserve">nu byla pořízena dopravní studie založená na modelech intenzit dopravy pro střednědobý výhled bez SOKP (TSK hl. m. Prahy) a dlouhodobý výhled s SOKP (IPR Praha), na </w:t>
      </w:r>
      <w:r w:rsidR="002E61F7" w:rsidRPr="006B3F59">
        <w:t xml:space="preserve">jejichž </w:t>
      </w:r>
      <w:r w:rsidRPr="006B3F59">
        <w:t>základě</w:t>
      </w:r>
      <w:r w:rsidR="002E61F7" w:rsidRPr="006B3F59">
        <w:t xml:space="preserve"> </w:t>
      </w:r>
      <w:r w:rsidRPr="006B3F59">
        <w:t xml:space="preserve">byl připraven návrh napojení území Nového Sedlce. Byla provedena kompletní analýza a posouzení dopadu provozu záměru na širší komunikační síť a případně navržena opatření pro kompenzaci dopadu záměru (vč. dopadu tramvajové trati). </w:t>
      </w:r>
      <w:r w:rsidR="002E1222">
        <w:t xml:space="preserve"> </w:t>
      </w:r>
    </w:p>
    <w:p w14:paraId="56FDEC5B" w14:textId="22F18C63" w:rsidR="002E1222" w:rsidRPr="006B3F59" w:rsidRDefault="002E1222" w:rsidP="004A5172">
      <w:r w:rsidRPr="006B3F59">
        <w:t>Zapracované dopravní vstupy zohledňují nejenom rozvoj spádového (řešeného) území, ale také přilehlé záměry v oblasti Sedlce a Suchdola (zejména projekty „</w:t>
      </w:r>
      <w:proofErr w:type="spellStart"/>
      <w:r w:rsidRPr="006B3F59">
        <w:t>Sofil</w:t>
      </w:r>
      <w:proofErr w:type="spellEnd"/>
      <w:r w:rsidRPr="006B3F59">
        <w:t>“,</w:t>
      </w:r>
      <w:r>
        <w:t xml:space="preserve"> </w:t>
      </w:r>
      <w:r w:rsidRPr="006B3F59">
        <w:t>„</w:t>
      </w:r>
      <w:proofErr w:type="spellStart"/>
      <w:r w:rsidRPr="006B3F59">
        <w:t>Stavomontáže</w:t>
      </w:r>
      <w:proofErr w:type="spellEnd"/>
      <w:r w:rsidRPr="006B3F59">
        <w:t>“ a „EL-TI“, rozvojové území Výhledy apod. – tzv. širší řešené území). Obdobně pak je uvažován rovněž dlouhodobý rozvoj severozápadního segmentu metropolitní oblasti na území Středočeského kraje; např. rozvoj příměstských oblastí Roztok, Horoměřic, Statenic a dalších, které budou ve výsledku využívat stejnou komunikační síť.</w:t>
      </w:r>
    </w:p>
    <w:p w14:paraId="24798062" w14:textId="0B91863B" w:rsidR="00E75BED" w:rsidRPr="006B3F59" w:rsidRDefault="00E75BED" w:rsidP="004A5172">
      <w:r w:rsidRPr="006B3F59">
        <w:t xml:space="preserve">Objemy předpokládané zdrojové a cílové dopravy (počet vyvolaných jízd) pro USNS byly předány objednatelem. Nový Sedlec (NS) - předpokládaný počet jízd osobních automobilů (dále jen OA) v jednom směru za 24 hodin průměrného pracovního dne (pro příjezd a odjezd se předpokládá stejný počet) je ve výši 4 101; předpokládaný počet jízd vozidel nad 3,5 t byl uvažován ve výši 46 vozidel (příjezd a odjezd). Generovaná doprava z NS je pak ve výši 4 147 jízd všech vozidel celkem v každém směru (z toho 46 vozidel nad 3,5 t). Nový </w:t>
      </w:r>
      <w:r w:rsidR="00C51945" w:rsidRPr="006B3F59">
        <w:t>Sedlec – Sever</w:t>
      </w:r>
      <w:r w:rsidRPr="006B3F59">
        <w:t xml:space="preserve"> (NSS) - předpokládaný počet jízd osobních automobilů (dále jen OA) v jednom směru za 24 hodin průměrného pracovního dne (pro příjezd a odjezd se předpokládá stejný počet) je ve výši 1 535; předpokládaný počet jízd vozidel nad 3,5 t byl uvažován ve výši 20 vozidel (příjezd a odjezd). V oblasti je uvažováno s P+R u kterého je generovaná doprava ve výši 70 OA v jednom směru za 24 hodin průměrného pracovního dne. Generovaná doprava z NSS je pak ve výši 1555 jízd všech vozidel celkem v každém směru (z toho 20 vozidel nad 3,5 t). Terminál Výhledy (TV) - předpokládaný počet jízd osobních automobilů (dále jen OA) v jednom směru za 24 hodin průměrného pracovního dne (pro příjezd a odjezd se předpokládá stejný počet) je ve výši 2 520; předpokládaný počet jízd vozidel nad 3,5 t byl uvažován ve výši 29 vozidel (příjezd a odjezd). Generovaná doprava z TV je pak ve výši 2 549 jízd všech vozidel celkem v každém směru (z toho 29 vozidel nad 3,5 t). V oblasti je uvažováno s P+R u kterého je generovaná doprava ve výši 500 OA v jednom směru za 24 hodin průměrného pracovního dne.</w:t>
      </w:r>
    </w:p>
    <w:p w14:paraId="328D8681" w14:textId="07E052DB" w:rsidR="008006D7" w:rsidRPr="006B3F59" w:rsidRDefault="008006D7" w:rsidP="004A5172">
      <w:r w:rsidRPr="006B3F59">
        <w:t xml:space="preserve">Návrhový počet spojů PID (TRAM) v úseku Nádraží Podbaba – Suchdol je ve výši 429/45. Jedná se o jednosměrné, celodenní počty spojů PID v období </w:t>
      </w:r>
      <w:proofErr w:type="gramStart"/>
      <w:r w:rsidRPr="006B3F59">
        <w:t>0-24h</w:t>
      </w:r>
      <w:proofErr w:type="gramEnd"/>
      <w:r w:rsidRPr="006B3F59">
        <w:t>/22-06 h v průměrný pracovní den.</w:t>
      </w:r>
    </w:p>
    <w:p w14:paraId="300BEE08" w14:textId="5E33829F" w:rsidR="00E75BED" w:rsidRPr="006B3F59" w:rsidRDefault="00E75BED" w:rsidP="004A5172">
      <w:pPr>
        <w:rPr>
          <w:rFonts w:cs="Arial"/>
          <w:szCs w:val="20"/>
          <w:lang w:eastAsia="cs-CZ"/>
        </w:rPr>
      </w:pPr>
      <w:r w:rsidRPr="006B3F59">
        <w:rPr>
          <w:rFonts w:cs="Arial"/>
          <w:noProof/>
          <w:szCs w:val="20"/>
          <w:lang w:eastAsia="cs-CZ"/>
        </w:rPr>
        <w:lastRenderedPageBreak/>
        <w:drawing>
          <wp:inline distT="0" distB="0" distL="0" distR="0" wp14:anchorId="7926EBB8" wp14:editId="70B6F9EC">
            <wp:extent cx="5676065" cy="5064760"/>
            <wp:effectExtent l="0" t="0" r="1270" b="2540"/>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678295" cy="5066750"/>
                    </a:xfrm>
                    <a:prstGeom prst="rect">
                      <a:avLst/>
                    </a:prstGeom>
                  </pic:spPr>
                </pic:pic>
              </a:graphicData>
            </a:graphic>
          </wp:inline>
        </w:drawing>
      </w:r>
    </w:p>
    <w:p w14:paraId="20765885" w14:textId="492978C2" w:rsidR="004A5172" w:rsidRPr="006B3F59" w:rsidRDefault="004A5172" w:rsidP="004A5172">
      <w:pPr>
        <w:pStyle w:val="Obrnadpis"/>
      </w:pPr>
      <w:bookmarkStart w:id="143" w:name="_Toc138848222"/>
      <w:r w:rsidRPr="006B3F59">
        <w:t>Kartogram zatížení AD z</w:t>
      </w:r>
      <w:r w:rsidR="00E75BED" w:rsidRPr="006B3F59">
        <w:t> modelového výpočtu, Sedlec</w:t>
      </w:r>
      <w:r w:rsidRPr="006B3F59">
        <w:t xml:space="preserve"> TSK Praha, oblast Praha 8 – Libeň, zdroj: DPI, IPR</w:t>
      </w:r>
      <w:r w:rsidR="00E75BED" w:rsidRPr="006B3F59">
        <w:t>, duben 2021</w:t>
      </w:r>
      <w:bookmarkEnd w:id="143"/>
    </w:p>
    <w:p w14:paraId="772EACF9" w14:textId="77777777" w:rsidR="004A5172" w:rsidRPr="006B3F59" w:rsidRDefault="004A5172" w:rsidP="004A5172">
      <w:pPr>
        <w:rPr>
          <w:rFonts w:cs="Arial"/>
          <w:szCs w:val="20"/>
        </w:rPr>
      </w:pPr>
      <w:r w:rsidRPr="006B3F59">
        <w:rPr>
          <w:rFonts w:cs="Arial"/>
          <w:szCs w:val="20"/>
        </w:rPr>
        <w:t>Hodnoty zatížení představují jednosměrné, celodenní zatížení všech vozidel / z toho vozidel nad 3,5 t v období 0–24 h, v průměrný pracovní den, bez vozidel pravidelné HD osob (PID).</w:t>
      </w:r>
    </w:p>
    <w:p w14:paraId="54AEB14F" w14:textId="61860A4F" w:rsidR="004A5172" w:rsidRPr="006B3F59" w:rsidRDefault="004A5172" w:rsidP="004A5172">
      <w:pPr>
        <w:rPr>
          <w:rFonts w:cs="Arial"/>
          <w:i/>
          <w:iCs/>
          <w:color w:val="000000"/>
          <w:sz w:val="18"/>
          <w:szCs w:val="18"/>
          <w:lang w:eastAsia="cs-CZ"/>
        </w:rPr>
      </w:pPr>
      <w:r w:rsidRPr="006B3F59">
        <w:rPr>
          <w:rFonts w:cs="Arial"/>
          <w:i/>
          <w:iCs/>
          <w:color w:val="000000"/>
          <w:sz w:val="18"/>
          <w:szCs w:val="18"/>
          <w:lang w:eastAsia="cs-CZ"/>
        </w:rPr>
        <w:t>Poznámka</w:t>
      </w:r>
      <w:r w:rsidR="00BD7256" w:rsidRPr="006B3F59">
        <w:rPr>
          <w:rFonts w:cs="Arial"/>
          <w:i/>
          <w:iCs/>
          <w:color w:val="000000"/>
          <w:sz w:val="18"/>
          <w:szCs w:val="18"/>
          <w:lang w:eastAsia="cs-CZ"/>
        </w:rPr>
        <w:t xml:space="preserve"> k druhům dopravy v dopravním průzkumu</w:t>
      </w:r>
      <w:r w:rsidRPr="006B3F59">
        <w:rPr>
          <w:rFonts w:cs="Arial"/>
          <w:i/>
          <w:iCs/>
          <w:color w:val="000000"/>
          <w:sz w:val="18"/>
          <w:szCs w:val="18"/>
          <w:lang w:eastAsia="cs-CZ"/>
        </w:rPr>
        <w:t xml:space="preserve">: </w:t>
      </w:r>
    </w:p>
    <w:p w14:paraId="4CD5106B" w14:textId="77777777" w:rsidR="004A5172" w:rsidRPr="006B3F59" w:rsidRDefault="004A5172" w:rsidP="00CC1516">
      <w:pPr>
        <w:spacing w:before="0"/>
        <w:rPr>
          <w:rFonts w:cs="Arial"/>
          <w:i/>
          <w:iCs/>
          <w:color w:val="000000"/>
          <w:sz w:val="18"/>
          <w:szCs w:val="18"/>
          <w:lang w:eastAsia="cs-CZ"/>
        </w:rPr>
      </w:pPr>
      <w:r w:rsidRPr="006B3F59">
        <w:rPr>
          <w:rFonts w:cs="Arial"/>
          <w:i/>
          <w:iCs/>
          <w:color w:val="000000"/>
          <w:sz w:val="18"/>
          <w:szCs w:val="18"/>
          <w:lang w:eastAsia="cs-CZ"/>
        </w:rPr>
        <w:t xml:space="preserve">OA osobní automobily </w:t>
      </w:r>
    </w:p>
    <w:p w14:paraId="24E3C837" w14:textId="77777777" w:rsidR="004A5172" w:rsidRPr="006B3F59" w:rsidRDefault="004A5172" w:rsidP="00CC1516">
      <w:pPr>
        <w:spacing w:before="0"/>
        <w:rPr>
          <w:rFonts w:cs="Arial"/>
          <w:i/>
          <w:iCs/>
          <w:color w:val="000000"/>
          <w:sz w:val="18"/>
          <w:szCs w:val="18"/>
          <w:lang w:eastAsia="cs-CZ"/>
        </w:rPr>
      </w:pPr>
      <w:r w:rsidRPr="006B3F59">
        <w:rPr>
          <w:rFonts w:cs="Arial"/>
          <w:i/>
          <w:iCs/>
          <w:color w:val="000000"/>
          <w:sz w:val="18"/>
          <w:szCs w:val="18"/>
          <w:lang w:eastAsia="cs-CZ"/>
        </w:rPr>
        <w:t xml:space="preserve">DA dodávkové automobily vč. lehkých užitkových vozidel do 3,5 t NPH (největší povolená hmotnost (jízdní soupravy) </w:t>
      </w:r>
    </w:p>
    <w:p w14:paraId="5184BCAC" w14:textId="77777777" w:rsidR="004A5172" w:rsidRPr="006B3F59" w:rsidRDefault="004A5172" w:rsidP="00CC1516">
      <w:pPr>
        <w:spacing w:before="0"/>
        <w:rPr>
          <w:rFonts w:cs="Arial"/>
          <w:i/>
          <w:iCs/>
          <w:color w:val="000000"/>
          <w:sz w:val="18"/>
          <w:szCs w:val="18"/>
          <w:lang w:eastAsia="cs-CZ"/>
        </w:rPr>
      </w:pPr>
      <w:r w:rsidRPr="006B3F59">
        <w:rPr>
          <w:rFonts w:cs="Arial"/>
          <w:i/>
          <w:iCs/>
          <w:color w:val="000000"/>
          <w:sz w:val="18"/>
          <w:szCs w:val="18"/>
          <w:lang w:eastAsia="cs-CZ"/>
        </w:rPr>
        <w:t xml:space="preserve">SNA střední nákladní automobily (dvounápravové) 3,5 – 18 t NPH </w:t>
      </w:r>
    </w:p>
    <w:p w14:paraId="6C46F264" w14:textId="77777777" w:rsidR="004A5172" w:rsidRPr="006B3F59" w:rsidRDefault="004A5172" w:rsidP="00CC1516">
      <w:pPr>
        <w:spacing w:before="0"/>
        <w:rPr>
          <w:rFonts w:cs="Arial"/>
          <w:i/>
          <w:iCs/>
          <w:color w:val="000000"/>
          <w:sz w:val="18"/>
          <w:szCs w:val="18"/>
          <w:lang w:eastAsia="cs-CZ"/>
        </w:rPr>
      </w:pPr>
      <w:r w:rsidRPr="006B3F59">
        <w:rPr>
          <w:rFonts w:cs="Arial"/>
          <w:i/>
          <w:iCs/>
          <w:color w:val="000000"/>
          <w:sz w:val="18"/>
          <w:szCs w:val="18"/>
          <w:lang w:eastAsia="cs-CZ"/>
        </w:rPr>
        <w:t xml:space="preserve">TNA těžké nákladní automobily (tří – a vícenápravové, speciální – jeřáby, bagry, traktory) typicky cca 20–32 t NPH </w:t>
      </w:r>
    </w:p>
    <w:p w14:paraId="78CDD358" w14:textId="77777777" w:rsidR="004A5172" w:rsidRPr="006B3F59" w:rsidRDefault="004A5172" w:rsidP="00CC1516">
      <w:pPr>
        <w:spacing w:before="0"/>
        <w:rPr>
          <w:rFonts w:cs="Arial"/>
          <w:i/>
          <w:iCs/>
          <w:color w:val="000000"/>
          <w:sz w:val="18"/>
          <w:szCs w:val="18"/>
          <w:lang w:eastAsia="cs-CZ"/>
        </w:rPr>
      </w:pPr>
      <w:r w:rsidRPr="006B3F59">
        <w:rPr>
          <w:rFonts w:cs="Arial"/>
          <w:i/>
          <w:iCs/>
          <w:color w:val="000000"/>
          <w:sz w:val="18"/>
          <w:szCs w:val="18"/>
          <w:lang w:eastAsia="cs-CZ"/>
        </w:rPr>
        <w:t xml:space="preserve">NAV návěsové a přívěsové soupravy, typicky kolem 40 t NPH </w:t>
      </w:r>
    </w:p>
    <w:p w14:paraId="0B31E244" w14:textId="77777777" w:rsidR="004A5172" w:rsidRPr="006B3F59" w:rsidRDefault="004A5172" w:rsidP="00CC1516">
      <w:pPr>
        <w:spacing w:before="0"/>
        <w:rPr>
          <w:rFonts w:cs="Arial"/>
          <w:i/>
          <w:iCs/>
          <w:color w:val="000000"/>
          <w:sz w:val="18"/>
          <w:szCs w:val="18"/>
          <w:lang w:eastAsia="cs-CZ"/>
        </w:rPr>
      </w:pPr>
      <w:r w:rsidRPr="006B3F59">
        <w:rPr>
          <w:rFonts w:cs="Arial"/>
          <w:i/>
          <w:iCs/>
          <w:color w:val="000000"/>
          <w:sz w:val="18"/>
          <w:szCs w:val="18"/>
          <w:lang w:eastAsia="cs-CZ"/>
        </w:rPr>
        <w:t xml:space="preserve">BUS autobusy mimo MHD </w:t>
      </w:r>
    </w:p>
    <w:p w14:paraId="13C1F198" w14:textId="77777777" w:rsidR="004A5172" w:rsidRPr="006B3F59" w:rsidRDefault="004A5172" w:rsidP="004A5172">
      <w:pPr>
        <w:rPr>
          <w:rFonts w:cs="Arial"/>
          <w:i/>
          <w:iCs/>
          <w:color w:val="000000"/>
          <w:sz w:val="18"/>
          <w:szCs w:val="18"/>
          <w:lang w:eastAsia="cs-CZ"/>
        </w:rPr>
      </w:pPr>
      <w:r w:rsidRPr="006B3F59">
        <w:rPr>
          <w:rFonts w:cs="Arial"/>
          <w:i/>
          <w:iCs/>
          <w:color w:val="000000"/>
          <w:sz w:val="18"/>
          <w:szCs w:val="18"/>
          <w:lang w:eastAsia="cs-CZ"/>
        </w:rPr>
        <w:t xml:space="preserve">Používané agregace: </w:t>
      </w:r>
    </w:p>
    <w:p w14:paraId="125E121D" w14:textId="77777777" w:rsidR="004A5172" w:rsidRPr="006B3F59" w:rsidRDefault="004A5172" w:rsidP="00CC1516">
      <w:pPr>
        <w:spacing w:before="0"/>
        <w:rPr>
          <w:rFonts w:cs="Arial"/>
          <w:i/>
          <w:iCs/>
          <w:color w:val="000000"/>
          <w:sz w:val="18"/>
          <w:szCs w:val="18"/>
          <w:lang w:eastAsia="cs-CZ"/>
        </w:rPr>
      </w:pPr>
      <w:r w:rsidRPr="006B3F59">
        <w:rPr>
          <w:rFonts w:cs="Arial"/>
          <w:i/>
          <w:iCs/>
          <w:color w:val="000000"/>
          <w:sz w:val="18"/>
          <w:szCs w:val="18"/>
          <w:lang w:eastAsia="cs-CZ"/>
        </w:rPr>
        <w:t xml:space="preserve">do 3,5 t = OA + DA vozidla do 3,5 t NPH </w:t>
      </w:r>
    </w:p>
    <w:p w14:paraId="3DE9975C" w14:textId="77777777" w:rsidR="004A5172" w:rsidRPr="006B3F59" w:rsidRDefault="004A5172" w:rsidP="00CC1516">
      <w:pPr>
        <w:spacing w:before="0"/>
        <w:rPr>
          <w:rFonts w:cs="Arial"/>
          <w:i/>
          <w:iCs/>
          <w:color w:val="000000"/>
          <w:sz w:val="18"/>
          <w:szCs w:val="18"/>
          <w:lang w:eastAsia="cs-CZ"/>
        </w:rPr>
      </w:pPr>
      <w:r w:rsidRPr="006B3F59">
        <w:rPr>
          <w:rFonts w:cs="Arial"/>
          <w:i/>
          <w:iCs/>
          <w:color w:val="000000"/>
          <w:sz w:val="18"/>
          <w:szCs w:val="18"/>
          <w:lang w:eastAsia="cs-CZ"/>
        </w:rPr>
        <w:t>nad 3,5 t = SNA + TNA + NAV + BUS vozidla nad 3,5 t NPH bez MHD</w:t>
      </w:r>
    </w:p>
    <w:p w14:paraId="2F17CCD3" w14:textId="77777777" w:rsidR="004A5172" w:rsidRPr="006B3F59" w:rsidRDefault="004A5172" w:rsidP="00CC1516">
      <w:pPr>
        <w:keepNext/>
        <w:rPr>
          <w:rFonts w:cs="Arial"/>
          <w:bCs/>
          <w:color w:val="000000"/>
          <w:szCs w:val="20"/>
          <w:u w:val="single"/>
          <w:lang w:eastAsia="cs-CZ"/>
        </w:rPr>
      </w:pPr>
      <w:r w:rsidRPr="006B3F59">
        <w:rPr>
          <w:rFonts w:cs="Arial"/>
          <w:bCs/>
          <w:color w:val="000000"/>
          <w:szCs w:val="20"/>
          <w:u w:val="single"/>
          <w:lang w:eastAsia="cs-CZ"/>
        </w:rPr>
        <w:t>Dopravní prognóza</w:t>
      </w:r>
    </w:p>
    <w:p w14:paraId="3F197C71" w14:textId="77777777" w:rsidR="004A5172" w:rsidRPr="006B3F59" w:rsidRDefault="004A5172" w:rsidP="004A5172">
      <w:pPr>
        <w:spacing w:before="0"/>
        <w:rPr>
          <w:rFonts w:cs="Arial"/>
          <w:b/>
          <w:color w:val="000000"/>
          <w:szCs w:val="20"/>
          <w:u w:val="single"/>
          <w:lang w:eastAsia="cs-CZ"/>
        </w:rPr>
      </w:pPr>
    </w:p>
    <w:p w14:paraId="4FC7C0F5" w14:textId="5D403AB0" w:rsidR="004A5172" w:rsidRPr="006B3F59" w:rsidRDefault="00C86F4E" w:rsidP="004A5172">
      <w:pPr>
        <w:spacing w:before="0"/>
        <w:rPr>
          <w:rFonts w:cs="Arial"/>
          <w:b/>
          <w:color w:val="000000"/>
          <w:szCs w:val="20"/>
          <w:u w:val="single"/>
          <w:lang w:eastAsia="cs-CZ"/>
        </w:rPr>
      </w:pPr>
      <w:r w:rsidRPr="006B3F59">
        <w:rPr>
          <w:rFonts w:cs="Arial"/>
          <w:b/>
          <w:noProof/>
          <w:color w:val="000000"/>
          <w:szCs w:val="20"/>
          <w:u w:val="single"/>
          <w:lang w:eastAsia="cs-CZ"/>
        </w:rPr>
        <w:lastRenderedPageBreak/>
        <w:drawing>
          <wp:inline distT="0" distB="0" distL="0" distR="0" wp14:anchorId="04186256" wp14:editId="06C06642">
            <wp:extent cx="6120130" cy="5323840"/>
            <wp:effectExtent l="0" t="0" r="0" b="0"/>
            <wp:docPr id="35" name="Obráze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6120130" cy="5323840"/>
                    </a:xfrm>
                    <a:prstGeom prst="rect">
                      <a:avLst/>
                    </a:prstGeom>
                  </pic:spPr>
                </pic:pic>
              </a:graphicData>
            </a:graphic>
          </wp:inline>
        </w:drawing>
      </w:r>
    </w:p>
    <w:p w14:paraId="3D4262E7" w14:textId="1A53E444" w:rsidR="004A5172" w:rsidRPr="006B3F59" w:rsidRDefault="004A5172" w:rsidP="004A5172">
      <w:pPr>
        <w:pStyle w:val="Obrnadpis"/>
        <w:spacing w:before="0" w:after="0"/>
      </w:pPr>
      <w:bookmarkStart w:id="144" w:name="_Toc138848223"/>
      <w:r w:rsidRPr="006B3F59">
        <w:t>Kartogram návrhového modelového zatížení vybraných komunikací AD</w:t>
      </w:r>
      <w:r w:rsidR="00E75BED" w:rsidRPr="006B3F59">
        <w:t xml:space="preserve">, Nový Sedlec + Výhledy, </w:t>
      </w:r>
      <w:r w:rsidRPr="006B3F59">
        <w:t>pro návrhové období ÚP hl. m. Prahy</w:t>
      </w:r>
      <w:r w:rsidRPr="006B3F59">
        <w:rPr>
          <w:rStyle w:val="Znakapoznpodarou"/>
        </w:rPr>
        <w:footnoteReference w:id="3"/>
      </w:r>
      <w:r w:rsidRPr="006B3F59">
        <w:t>, zdroj: DPI, IPR</w:t>
      </w:r>
      <w:r w:rsidR="00E75BED" w:rsidRPr="006B3F59">
        <w:t>, duben 2021</w:t>
      </w:r>
      <w:r w:rsidRPr="006B3F59">
        <w:t>.</w:t>
      </w:r>
      <w:bookmarkEnd w:id="144"/>
    </w:p>
    <w:p w14:paraId="36D900F9" w14:textId="46F6134F" w:rsidR="004A5172" w:rsidRPr="006B3F59" w:rsidRDefault="00C86F4E" w:rsidP="004A5172">
      <w:pPr>
        <w:spacing w:before="0"/>
        <w:rPr>
          <w:rFonts w:cs="Arial"/>
          <w:color w:val="000000"/>
          <w:szCs w:val="20"/>
          <w:lang w:eastAsia="cs-CZ"/>
        </w:rPr>
      </w:pPr>
      <w:r w:rsidRPr="006B3F59">
        <w:rPr>
          <w:rFonts w:cs="Arial"/>
          <w:noProof/>
          <w:color w:val="000000"/>
          <w:szCs w:val="20"/>
          <w:lang w:eastAsia="cs-CZ"/>
        </w:rPr>
        <w:lastRenderedPageBreak/>
        <w:drawing>
          <wp:inline distT="0" distB="0" distL="0" distR="0" wp14:anchorId="694F942A" wp14:editId="1C41B0C2">
            <wp:extent cx="6120130" cy="5617845"/>
            <wp:effectExtent l="0" t="0" r="0" b="1905"/>
            <wp:docPr id="36" name="Obráze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6120130" cy="5617845"/>
                    </a:xfrm>
                    <a:prstGeom prst="rect">
                      <a:avLst/>
                    </a:prstGeom>
                  </pic:spPr>
                </pic:pic>
              </a:graphicData>
            </a:graphic>
          </wp:inline>
        </w:drawing>
      </w:r>
    </w:p>
    <w:p w14:paraId="50570A78" w14:textId="2134639C" w:rsidR="00E325AE" w:rsidRPr="006B3F59" w:rsidRDefault="00C86F4E" w:rsidP="00C86F4E">
      <w:pPr>
        <w:pStyle w:val="Obrnadpis"/>
        <w:spacing w:before="0"/>
      </w:pPr>
      <w:bookmarkStart w:id="145" w:name="_Toc138848224"/>
      <w:r w:rsidRPr="006B3F59">
        <w:t>Rozdílový k</w:t>
      </w:r>
      <w:r w:rsidR="004A5172" w:rsidRPr="006B3F59">
        <w:t xml:space="preserve">artogram návrhového modelového zatížení vybraných komunikací AD v oblasti </w:t>
      </w:r>
      <w:r w:rsidRPr="006B3F59">
        <w:t>Nový Sedlec + výhledy</w:t>
      </w:r>
      <w:r w:rsidR="004A5172" w:rsidRPr="006B3F59">
        <w:t>, zdroj: DPI, IPR</w:t>
      </w:r>
      <w:r w:rsidRPr="006B3F59">
        <w:t>, duben 2021</w:t>
      </w:r>
      <w:bookmarkEnd w:id="145"/>
    </w:p>
    <w:p w14:paraId="348110B0" w14:textId="77777777" w:rsidR="004A5172" w:rsidRPr="006B3F59" w:rsidRDefault="004A5172" w:rsidP="004A5172">
      <w:pPr>
        <w:rPr>
          <w:rFonts w:cs="Arial"/>
          <w:color w:val="000000"/>
          <w:szCs w:val="20"/>
          <w:lang w:eastAsia="cs-CZ"/>
        </w:rPr>
      </w:pPr>
      <w:r w:rsidRPr="006B3F59">
        <w:rPr>
          <w:rFonts w:cs="Arial"/>
          <w:color w:val="000000"/>
          <w:szCs w:val="20"/>
          <w:lang w:eastAsia="cs-CZ"/>
        </w:rPr>
        <w:t xml:space="preserve">Hodnoty návrhového modelového zatížení jsou zaokrouhlené u všech vozidel na 100 a u vozidel nad 3,5 t na 10. Jízdní souprava se uvažuje jako jedno vozidlo. </w:t>
      </w:r>
    </w:p>
    <w:p w14:paraId="5669F6F8" w14:textId="77777777" w:rsidR="004A5172" w:rsidRPr="006B3F59" w:rsidRDefault="004A5172" w:rsidP="004A5172">
      <w:pPr>
        <w:rPr>
          <w:rFonts w:cs="Arial"/>
          <w:color w:val="000000"/>
          <w:szCs w:val="20"/>
          <w:lang w:eastAsia="cs-CZ"/>
        </w:rPr>
      </w:pPr>
      <w:r w:rsidRPr="006B3F59">
        <w:rPr>
          <w:rFonts w:cs="Arial"/>
          <w:color w:val="000000"/>
          <w:szCs w:val="20"/>
          <w:lang w:eastAsia="cs-CZ"/>
        </w:rPr>
        <w:t xml:space="preserve">Dopravní prognóza zahrnuje nejen poptávku po dopravě, ale i kapacitní možnosti dopravního systému jako takového. Dopravní model není územně ohraničen hranicemi hlavního města Prahy, ale zahrnuje i část Středočeského kraje (Pražský region). V modelu tak jsou důležité komunikační vstupy do Prahy, a to jak dálniční, tak i silnic I., II. a III. třídy. V dopravních vazbách je tak zachycena silná vazba mezi Prahou a Středočeským krajem. </w:t>
      </w:r>
    </w:p>
    <w:p w14:paraId="3A34696D" w14:textId="77777777" w:rsidR="004A5172" w:rsidRPr="006B3F59" w:rsidRDefault="004A5172" w:rsidP="004A5172">
      <w:pPr>
        <w:rPr>
          <w:rFonts w:cs="Arial"/>
          <w:color w:val="000000"/>
          <w:szCs w:val="20"/>
          <w:lang w:eastAsia="cs-CZ"/>
        </w:rPr>
      </w:pPr>
      <w:r w:rsidRPr="006B3F59">
        <w:rPr>
          <w:rFonts w:cs="Arial"/>
          <w:color w:val="000000"/>
          <w:szCs w:val="20"/>
          <w:lang w:eastAsia="cs-CZ"/>
        </w:rPr>
        <w:t xml:space="preserve">V návrhovém modelu odvozeném z platného ÚP hl. m. Prahy jsou zaneseny takové předpoklady urbanistického rozvoje, které se na základě posledního vývoje ukazují být jako obtížně naplnitelné (extenzivní rozvoj města a z toho vyplývající nárůst výkonů automobilové dopravy). </w:t>
      </w:r>
    </w:p>
    <w:p w14:paraId="07BD5291" w14:textId="77777777" w:rsidR="004A5172" w:rsidRPr="006B3F59" w:rsidRDefault="004A5172" w:rsidP="004A5172">
      <w:pPr>
        <w:rPr>
          <w:rFonts w:cs="Arial"/>
          <w:color w:val="000000"/>
          <w:szCs w:val="20"/>
          <w:lang w:eastAsia="cs-CZ"/>
        </w:rPr>
      </w:pPr>
      <w:r w:rsidRPr="006B3F59">
        <w:rPr>
          <w:rFonts w:cs="Arial"/>
          <w:color w:val="000000"/>
          <w:szCs w:val="20"/>
          <w:lang w:eastAsia="cs-CZ"/>
        </w:rPr>
        <w:t>Z pohledu vyhodnocení vlivu na udržitelný rozvoj se sice jedná o výsledky na straně bezpečnosti, protože jde o scénář maximálního rozvoje, ale pro přípravu staveb, etapizaci, dimenzování a modelování křižovatek se ukazují být tyto podklady v kontextu výše popsaného a s postupujícím časem pravděpodobně nadhodnocené.</w:t>
      </w:r>
    </w:p>
    <w:p w14:paraId="1B82318C" w14:textId="47C64091" w:rsidR="004A5172" w:rsidRPr="006B3F59" w:rsidRDefault="004A5172" w:rsidP="00BD7256">
      <w:pPr>
        <w:pStyle w:val="Podnadpis2"/>
      </w:pPr>
      <w:r w:rsidRPr="006B3F59">
        <w:t>Železniční doprava</w:t>
      </w:r>
    </w:p>
    <w:p w14:paraId="6CB38CB7" w14:textId="77777777" w:rsidR="004A5172" w:rsidRPr="006B3F59" w:rsidRDefault="004A5172" w:rsidP="004A5172">
      <w:pPr>
        <w:rPr>
          <w:rFonts w:cs="Arial"/>
        </w:rPr>
      </w:pPr>
      <w:r w:rsidRPr="006B3F59">
        <w:rPr>
          <w:rFonts w:cs="Arial"/>
        </w:rPr>
        <w:t>bez vlivu</w:t>
      </w:r>
    </w:p>
    <w:p w14:paraId="3F2A45E9" w14:textId="77777777" w:rsidR="004A5172" w:rsidRPr="006B3F59" w:rsidRDefault="004A5172" w:rsidP="00BD7256">
      <w:pPr>
        <w:pStyle w:val="Podnadpis2"/>
      </w:pPr>
      <w:r w:rsidRPr="006B3F59">
        <w:lastRenderedPageBreak/>
        <w:t>Veřejná hromadná doprava:</w:t>
      </w:r>
    </w:p>
    <w:p w14:paraId="2F7476FA" w14:textId="1E7556E7" w:rsidR="00E62F83" w:rsidRPr="006B3F59" w:rsidRDefault="00E62F83" w:rsidP="004A5172">
      <w:r w:rsidRPr="006B3F59">
        <w:t xml:space="preserve">Výchozím předpokladem návrhu, je plánovaná tramvajová trať v úseku Podbaba – Výhledy. Základní koncept trati spolu s odbočkou do Bohnic byl rámcově prověřen v roce 2016 v „Ověřovací technické studii tramvajových tratí TT Podbaba – Suchdol (Troja)“. Možnosti umístění tramvajových zastávek určují přirozeně jádra jednotlivých částí rozvojových lokalit anebo analogicky doplňují obsluhu dnešních celků. Tramvajová trať má celkem deset zastávek s pracovními názvy Nádraží Podbaba (směr DC), Vodohospodářský ústav, V Podbabě, Nový Sedlec, Střelnice, K Vinicím, Na Rybářce, Zemědělská univerzita, Výhledské náměstí a Suchdol. </w:t>
      </w:r>
    </w:p>
    <w:p w14:paraId="74D4644F" w14:textId="77777777" w:rsidR="00E62F83" w:rsidRPr="006B3F59" w:rsidRDefault="00E62F83" w:rsidP="004A5172">
      <w:r w:rsidRPr="006B3F59">
        <w:t xml:space="preserve">Území Suchdola je nyní obsluhováno výhradně autobusovými linkami městské i příměstské dopravy (linky č. 107, 147,160 a příměstská linka 359), které mají přímou vazbu na stanici metra Dejvická. Ulicemi Podbabská a Roztocká projíždějí též autobusové linky obsluhující Šárecké údolí a přilehlé obce severně od hl. m. Prahy. Studie do území přináší nový druh veřejné dopravy v podobě tramvajové trati, která se napojí na stávající trať do Podbaby v místě dnešní zastávky Nádraží Podbaba. </w:t>
      </w:r>
    </w:p>
    <w:p w14:paraId="53C8D82E" w14:textId="7207D163" w:rsidR="004A5172" w:rsidRPr="006B3F59" w:rsidRDefault="00E62F83" w:rsidP="004A5172">
      <w:r w:rsidRPr="006B3F59">
        <w:t xml:space="preserve">Tramvajová trať je dále vedena osou ulice Podbabská k Výzkumnému ústavu vodohospodářskému, </w:t>
      </w:r>
      <w:r w:rsidR="002E1222">
        <w:t>kde j</w:t>
      </w:r>
      <w:r w:rsidRPr="006B3F59">
        <w:t xml:space="preserve">e tramvajová trať převedena na západní stranu ulice, mezi železniční trať a profil Podbabské. Za křižovatkou ulic Roztocká a Kamýcká tramvajová trať na novém mostě spolu s Kamýckou ulicí překoná železniční trať a odvine se do oblasti Nového Sedlce. Zde je trasa rozvinuta územím a je vedena částečně v zářezu, aby překonala výškový rozdíl ve stoupání směrem k Suchdolu. Za zastávkou Střelnice se tramvaj přiblíží zpět ke Kamýcké ulici, zůstává však v boční poloze, při její (jiho)západní hraně. V tomto úseku je trasa tramvaje vedena středem stávající navážky. V úseku mezi zastávkami Na Rybářce a Zemědělská univerzita je tramvaj vedena stále bočně a následně přes krátký úsek (mezi ulicí Internacionální a Výhledským náměstím) přechází na druhou stranu Kamýcké ulice. Poslední úsek trati je veden částečně bočně při Kamýcké ulici a přibližně v místě křížení s lineárním parkem nad tubusem tunelu Silničního okruhu kolem Prahy (SOKP) se tramvajová trať oddálí a vjíždí do území Terminálu </w:t>
      </w:r>
      <w:proofErr w:type="gramStart"/>
      <w:r w:rsidRPr="006B3F59">
        <w:t>Výhledy..</w:t>
      </w:r>
      <w:proofErr w:type="gramEnd"/>
      <w:r w:rsidRPr="006B3F59">
        <w:t xml:space="preserve"> Konečnou zastávku nové tramvajové trati je nutno řešit s možností přestupu na </w:t>
      </w:r>
      <w:r w:rsidR="002A2BCE" w:rsidRPr="006B3F59">
        <w:t xml:space="preserve">navazující městskou i regionální </w:t>
      </w:r>
      <w:r w:rsidRPr="006B3F59">
        <w:t xml:space="preserve">autobusovou dopravu. </w:t>
      </w:r>
    </w:p>
    <w:p w14:paraId="5130683C" w14:textId="1E3F761F" w:rsidR="002A2BCE" w:rsidRPr="006B3F59" w:rsidRDefault="002A2BCE" w:rsidP="004A5172">
      <w:pPr>
        <w:rPr>
          <w:rFonts w:cs="Arial"/>
        </w:rPr>
      </w:pPr>
      <w:r w:rsidRPr="006B3F59">
        <w:t>Vzhledem k tomu, že nová tramvajová trať sleduje páteřní Kamýckou ulici, bude nutné zajistit plošnou obsluhu Suchdola překryvnou doplňkovou autobusovou linkou, která tak umožní zajistit kvalitativní standard dostupnosti tramvajových zastávek v relaci k městu i ze vzdálenějších lokalit Suchdola. S tímto principem obsluhy území se uvažuje od prvopočátku záměru na vybudování tramvajové tratě. Převážná část tramvajové trati by měla být provedena s vegetačním krytem, s vhodným podložím (ideálně desky z plastového recyklátu, které mají značnou akumulační schopnost) tak, aby kromě dopravní funkce plnila též funkci modrozelené infrastruktury.</w:t>
      </w:r>
    </w:p>
    <w:p w14:paraId="5B1A4310" w14:textId="77777777" w:rsidR="004A5172" w:rsidRPr="006B3F59" w:rsidRDefault="004A5172" w:rsidP="00BD7256">
      <w:pPr>
        <w:pStyle w:val="Podnadpis2"/>
      </w:pPr>
      <w:r w:rsidRPr="006B3F59">
        <w:t>Doprava v klidu</w:t>
      </w:r>
    </w:p>
    <w:p w14:paraId="198B9B4D" w14:textId="31E2529F" w:rsidR="004A5172" w:rsidRPr="006B3F59" w:rsidRDefault="002D6994" w:rsidP="004A5172">
      <w:pPr>
        <w:rPr>
          <w:rFonts w:cs="Arial"/>
        </w:rPr>
      </w:pPr>
      <w:r>
        <w:t xml:space="preserve">Změna územního plánu v oblasti Výhledů vytváří územní předpoklady pro vznik kapacitního parkoviště P+R a vytvoření přestupního terminálu. </w:t>
      </w:r>
    </w:p>
    <w:p w14:paraId="1BD18E53" w14:textId="22D8B1E0" w:rsidR="004A5172" w:rsidRPr="006B3F59" w:rsidRDefault="004A5172" w:rsidP="00BD7256">
      <w:pPr>
        <w:pStyle w:val="Podnadpis2"/>
      </w:pPr>
      <w:r w:rsidRPr="006B3F59">
        <w:t>Cyklistická a pěší doprava</w:t>
      </w:r>
    </w:p>
    <w:p w14:paraId="63D4144D" w14:textId="77777777" w:rsidR="005440E1" w:rsidRPr="006B3F59" w:rsidRDefault="005440E1" w:rsidP="005440E1">
      <w:r w:rsidRPr="006B3F59">
        <w:t>Řešeným územím prochází, nebo se ho dotýká, několik cyklotras.</w:t>
      </w:r>
    </w:p>
    <w:p w14:paraId="27179484" w14:textId="5F7F68F5" w:rsidR="005440E1" w:rsidRPr="006B3F59" w:rsidRDefault="005440E1" w:rsidP="005440E1">
      <w:r w:rsidRPr="006B3F59">
        <w:t xml:space="preserve">A1 – Vltavská levobřežní cyklotrasa prochází podél břehu Vltavy v severo-jižním směru podél Podbabské a Roztocké </w:t>
      </w:r>
      <w:proofErr w:type="gramStart"/>
      <w:r w:rsidRPr="006B3F59">
        <w:t>ulice..</w:t>
      </w:r>
      <w:proofErr w:type="gramEnd"/>
      <w:r w:rsidRPr="006B3F59">
        <w:t xml:space="preserve"> </w:t>
      </w:r>
    </w:p>
    <w:p w14:paraId="4B7B821C" w14:textId="66FB991C" w:rsidR="005440E1" w:rsidRPr="006B3F59" w:rsidRDefault="005440E1" w:rsidP="005440E1">
      <w:r w:rsidRPr="006B3F59">
        <w:t>Cyklotrasa A171 – kříží ulici Kamýckou v oblasti Suchdola</w:t>
      </w:r>
      <w:r w:rsidR="002D6994">
        <w:t>.</w:t>
      </w:r>
    </w:p>
    <w:p w14:paraId="00C8811E" w14:textId="77777777" w:rsidR="00E62F83" w:rsidRPr="006B3F59" w:rsidRDefault="005440E1" w:rsidP="005440E1">
      <w:r w:rsidRPr="006B3F59">
        <w:t xml:space="preserve">V oblasti Výhledů vede Cyklotrasa A18 v oblasti Výhledů propojuje Sedlec, Suchdol a Horoměřice, prochází centrem Starého Suchdola před Brandejsovým statkem. Změnou jsou vytvářeny územní předpoklady pro </w:t>
      </w:r>
      <w:r w:rsidR="00E62F83" w:rsidRPr="006B3F59">
        <w:t>propojení této cyklotrasy</w:t>
      </w:r>
      <w:r w:rsidRPr="006B3F59">
        <w:t xml:space="preserve"> s Terminálem Výhledy. </w:t>
      </w:r>
    </w:p>
    <w:p w14:paraId="6E2CA495" w14:textId="1892F6E5" w:rsidR="005440E1" w:rsidRPr="006B3F59" w:rsidRDefault="00E62F83" w:rsidP="005440E1">
      <w:pPr>
        <w:rPr>
          <w:lang w:eastAsia="cs-CZ"/>
        </w:rPr>
      </w:pPr>
      <w:r w:rsidRPr="006B3F59">
        <w:t xml:space="preserve">V rámci terminálu Výhledy jsou vytvářeny územní předpoklady pro </w:t>
      </w:r>
      <w:r w:rsidR="005440E1" w:rsidRPr="006B3F59">
        <w:t>parkoviště kol B+R</w:t>
      </w:r>
      <w:r w:rsidR="00E94808">
        <w:t>.</w:t>
      </w:r>
    </w:p>
    <w:p w14:paraId="60901533" w14:textId="366D86CA" w:rsidR="00931FBB" w:rsidRPr="006B3F59" w:rsidRDefault="00931FBB" w:rsidP="00931FBB">
      <w:pPr>
        <w:rPr>
          <w:lang w:eastAsia="cs-CZ"/>
        </w:rPr>
      </w:pPr>
      <w:r w:rsidRPr="006B3F59">
        <w:t xml:space="preserve">Byť jsou oblasti Nového Sedlce a Výhledů volně prostupné, bez zástavby, </w:t>
      </w:r>
      <w:r w:rsidR="005440E1" w:rsidRPr="006B3F59">
        <w:t xml:space="preserve">změna </w:t>
      </w:r>
      <w:r w:rsidRPr="006B3F59">
        <w:t>se snaží zachovat stávající pěší propojení a navázat na ně. Díky vytvoření nové cestní sítě dojde ke zvýšení prostupnosti obou území.</w:t>
      </w:r>
    </w:p>
    <w:p w14:paraId="514DC637" w14:textId="7742B73E" w:rsidR="004A5172" w:rsidRPr="006B3F59" w:rsidRDefault="00C4614B" w:rsidP="004A5172">
      <w:r>
        <w:rPr>
          <w:rFonts w:cs="Arial"/>
        </w:rPr>
        <w:t>Jsou v</w:t>
      </w:r>
      <w:r w:rsidR="001110E1" w:rsidRPr="006B3F59">
        <w:rPr>
          <w:rFonts w:cs="Arial"/>
        </w:rPr>
        <w:t>ytvořeny územní předpoklady pro vložení cyklostezky a zlepšení pěší prostupnosti území.</w:t>
      </w:r>
    </w:p>
    <w:p w14:paraId="2FBA116F" w14:textId="027792F6" w:rsidR="004A5172" w:rsidRPr="006B3F59" w:rsidRDefault="004A5172" w:rsidP="004A5172">
      <w:pPr>
        <w:pStyle w:val="Podnadpis1"/>
        <w:rPr>
          <w:rStyle w:val="A6"/>
          <w:sz w:val="20"/>
        </w:rPr>
      </w:pPr>
      <w:r w:rsidRPr="006B3F59">
        <w:rPr>
          <w:rStyle w:val="A6"/>
          <w:sz w:val="20"/>
        </w:rPr>
        <w:t>Technická infrastruktura</w:t>
      </w:r>
    </w:p>
    <w:p w14:paraId="404D8ACF" w14:textId="7A0504FD" w:rsidR="00FB743F" w:rsidRPr="006B3F59" w:rsidRDefault="00FB743F" w:rsidP="00FB743F">
      <w:pPr>
        <w:rPr>
          <w:u w:val="single"/>
          <w:lang w:eastAsia="cs-CZ"/>
        </w:rPr>
      </w:pPr>
      <w:r w:rsidRPr="006B3F59">
        <w:rPr>
          <w:u w:val="single"/>
          <w:lang w:eastAsia="cs-CZ"/>
        </w:rPr>
        <w:t>Energetika:</w:t>
      </w:r>
    </w:p>
    <w:p w14:paraId="44DD5778" w14:textId="77777777" w:rsidR="00D50631" w:rsidRPr="006B3F59" w:rsidRDefault="00FB743F" w:rsidP="00FB743F">
      <w:r w:rsidRPr="006B3F59">
        <w:t xml:space="preserve">Nový Sedlec </w:t>
      </w:r>
    </w:p>
    <w:p w14:paraId="2D9D4670" w14:textId="30A8554E" w:rsidR="00FB743F" w:rsidRPr="006B3F59" w:rsidRDefault="00FB743F" w:rsidP="00FB743F">
      <w:r w:rsidRPr="006B3F59">
        <w:lastRenderedPageBreak/>
        <w:t>Středotlaké potrubí STL DN 110 pro možné zásobování plynem je uloženo v Kamýcké ulici. Přes celé území řešené studií prochází podzemní vedení vysokého napětí 22 kV, které z ulice Kamýcká a ulice Ke Střelnici křižuje území dále do křižovatky ulic Podbabská – V Podbabě. Stávající areál střelnice a policie je napojen na vedení nízkého napětí, které je vedeno z ulice Kamýcká. V území ani přilehlém okolí není možnost napojení na centrální zásobování teplem.</w:t>
      </w:r>
    </w:p>
    <w:p w14:paraId="59FCE53F" w14:textId="77777777" w:rsidR="00D50631" w:rsidRPr="006B3F59" w:rsidRDefault="00D50631" w:rsidP="00CC1516">
      <w:pPr>
        <w:keepNext/>
      </w:pPr>
      <w:r w:rsidRPr="006B3F59">
        <w:t xml:space="preserve">Výhledy </w:t>
      </w:r>
    </w:p>
    <w:p w14:paraId="58BEF420" w14:textId="2712B688" w:rsidR="00D50631" w:rsidRPr="006B3F59" w:rsidRDefault="00D50631" w:rsidP="00FB743F">
      <w:r w:rsidRPr="006B3F59">
        <w:t>Řešeným územím jsou vedeny dvě trasy elektrického vedení VVN 110 kV. Platný ÚP pro obě trasy navrhuje přeložky, které jsou vyvolány plánovanou stavbou silničního okruhu částí D0 518 a D0 519. Uváděná studie na základě plánované výstavby tyto přeložky zpřesňuje tak, aby byla dodržena ochranná pásma nadzemních elektrických vedení. Územím je také veden vysokotlaký plynovod, pro který je územním plánem z důvodu plánovaného okruhu také navrženo přeložení. V území ani přilehlém okolí není možnost napojení na centrální zásobování teplem.</w:t>
      </w:r>
    </w:p>
    <w:p w14:paraId="7CBB33C0" w14:textId="298DBD9C" w:rsidR="00D50631" w:rsidRPr="006B3F59" w:rsidRDefault="00D50631" w:rsidP="00FB743F">
      <w:pPr>
        <w:rPr>
          <w:u w:val="single"/>
          <w:lang w:eastAsia="cs-CZ"/>
        </w:rPr>
      </w:pPr>
      <w:r w:rsidRPr="006B3F59">
        <w:rPr>
          <w:u w:val="single"/>
          <w:lang w:eastAsia="cs-CZ"/>
        </w:rPr>
        <w:t>Zásobování vodou</w:t>
      </w:r>
    </w:p>
    <w:p w14:paraId="78EF563B" w14:textId="77777777" w:rsidR="00D50631" w:rsidRPr="006B3F59" w:rsidRDefault="00D50631" w:rsidP="00FB743F">
      <w:r w:rsidRPr="006B3F59">
        <w:t xml:space="preserve">Nový Sedlec </w:t>
      </w:r>
    </w:p>
    <w:p w14:paraId="3DAFC5B1" w14:textId="4FD6A7C7" w:rsidR="00D50631" w:rsidRPr="006B3F59" w:rsidRDefault="00D50631" w:rsidP="00FB743F">
      <w:r w:rsidRPr="006B3F59">
        <w:t xml:space="preserve">Území je napojeno na zásobní pásma dvou vodojemů. Z vodojemu Suchdol jsou vodovodní řady pro zásobní pásmo 404 rozvedeny do ulice Kamýcká a do ulice Nad Podbabskou skálou. Z vodojemu Flora přes redukční ventil Bruska je pro zásobní pásmo 425 vodovodní řad rozveden do ulice Kamýcká a Ke Střelnici. Pro zásobování vymezeného území, tak aby bylo možno zásobovat odpovídající množství ekvivalentních obyvatel pitnou vodou, je plánováno napojení celé oblasti na zásobní pásmo z vodojemu Suchdol. </w:t>
      </w:r>
    </w:p>
    <w:p w14:paraId="0F67550F" w14:textId="77777777" w:rsidR="00D50631" w:rsidRPr="006B3F59" w:rsidRDefault="00D50631" w:rsidP="009C5287">
      <w:r w:rsidRPr="006B3F59">
        <w:t>Výhledy</w:t>
      </w:r>
    </w:p>
    <w:p w14:paraId="67DD5B8B" w14:textId="77777777" w:rsidR="00D50631" w:rsidRPr="006B3F59" w:rsidRDefault="00D50631" w:rsidP="009C5287">
      <w:r w:rsidRPr="006B3F59">
        <w:t>Řešené území se nachází v zásobním pásmu 404 GR SUCHDOL pro Suchdol. Kapacita i tlakové poměry vodovodní sítě jsou dostatečné, a to i po napojení plánované výstavby v oblasti Výhledy.</w:t>
      </w:r>
    </w:p>
    <w:p w14:paraId="54F174BB" w14:textId="7D97118D" w:rsidR="00D50631" w:rsidRPr="006B3F59" w:rsidRDefault="00D50631" w:rsidP="009C5287">
      <w:pPr>
        <w:rPr>
          <w:u w:val="single"/>
        </w:rPr>
      </w:pPr>
      <w:r w:rsidRPr="006B3F59">
        <w:rPr>
          <w:u w:val="single"/>
        </w:rPr>
        <w:t>Odkanalizování</w:t>
      </w:r>
    </w:p>
    <w:p w14:paraId="28D9ACBE" w14:textId="77777777" w:rsidR="00D50631" w:rsidRPr="006B3F59" w:rsidRDefault="00D50631" w:rsidP="009C5287">
      <w:r w:rsidRPr="006B3F59">
        <w:t xml:space="preserve">Nový Sedlec </w:t>
      </w:r>
    </w:p>
    <w:p w14:paraId="27895518" w14:textId="33B90887" w:rsidR="00D50631" w:rsidRPr="006B3F59" w:rsidRDefault="00D50631" w:rsidP="009C5287">
      <w:r w:rsidRPr="006B3F59">
        <w:t>Ulicí Kamýcká je vedena kanalizační stoka DN 300, která odvádí splaškové vody z části Suchdola a Sedlce přes čerpací stanicí odpadních vod (ČSOV) Kamýcká s kapacitou 7180 ekvivalentních obyvatel (EO) na ÚČOV. S ohledem na plánovanou trasu tramvajové trati územím je správcem kanalizační soustavy, společností PVS, a.s., již v současné době připravováno přeložení stávající ČSOV Kamýcká do ulice Roztocká a její zkapacitnění. Projektová dokumentace připravované ČSOV počítá s kapacitou na výhledový stav 22 185 EO, která je dostatečná pro rozvojové plochy v území Suchdola i Sedlce.</w:t>
      </w:r>
    </w:p>
    <w:p w14:paraId="42FD3164" w14:textId="77777777" w:rsidR="00D50631" w:rsidRPr="006B3F59" w:rsidRDefault="00D50631" w:rsidP="009C5287">
      <w:r w:rsidRPr="006B3F59">
        <w:t xml:space="preserve">Výhledy </w:t>
      </w:r>
    </w:p>
    <w:p w14:paraId="5C88EDBF" w14:textId="7ACCB7D0" w:rsidR="00D50631" w:rsidRPr="006B3F59" w:rsidRDefault="00D50631" w:rsidP="009C5287">
      <w:r w:rsidRPr="006B3F59">
        <w:t>V současné době jsou odpadní vody z širší oblasti v okolí řešeného území Výhledy odváděny jednotnou kanalizací na ČOV Roztoky. Správce kanalizační soustavy, společnost PVS, a.s., připravuje projekt převedení těchto odpadních vod na ÚČOV Praha. Projekt navrhuje výstavbu čerpací stanice v lokalitě Brandejsův statek, která zajistí přečerpání odpadních vod do kanalizační sítě zakončené ÚČOV Praha. Studie tento návrh umístění čerpací stanice odpadních vod Brandejsův statek, včetně návrhu kanalizačního výtlaku, přebírá. Kanalizační výtlak je zakončen v ulici Kamýcká napojením na stávající kanalizaci v povodí ÚČOV. Kapacita čerpací stanice je projektem navrhována na 2850 EO, tento počet zahrnuje i množství EO vyplývající z plánované výstavby.</w:t>
      </w:r>
    </w:p>
    <w:p w14:paraId="1AB49875" w14:textId="185CBC0C" w:rsidR="00D50631" w:rsidRPr="006B3F59" w:rsidRDefault="00D50631" w:rsidP="009C5287">
      <w:pPr>
        <w:rPr>
          <w:u w:val="single"/>
        </w:rPr>
      </w:pPr>
      <w:r w:rsidRPr="006B3F59">
        <w:rPr>
          <w:u w:val="single"/>
        </w:rPr>
        <w:t>Hospodaření s dešťovými vodami</w:t>
      </w:r>
    </w:p>
    <w:p w14:paraId="38A6C70A" w14:textId="77DDF33A" w:rsidR="00D50631" w:rsidRPr="006B3F59" w:rsidRDefault="00D50631" w:rsidP="009C5287">
      <w:r w:rsidRPr="006B3F59">
        <w:t>Z pohledu hospodaření s dešťovou vodou (HDV) se v řešeném území jedná o nárůst zpevněných ploch oproti stávajícímu stavu</w:t>
      </w:r>
      <w:r w:rsidR="00CC1516">
        <w:t>, bilance budou známy až v navazujících řízeních při zastavování území</w:t>
      </w:r>
      <w:r w:rsidRPr="006B3F59">
        <w:t xml:space="preserve">. </w:t>
      </w:r>
    </w:p>
    <w:p w14:paraId="692DA676" w14:textId="7865085E" w:rsidR="009C5287" w:rsidRPr="006B3F59" w:rsidRDefault="004A5172" w:rsidP="009C5287">
      <w:r w:rsidRPr="006B3F59">
        <w:rPr>
          <w:rStyle w:val="A6"/>
          <w:sz w:val="20"/>
        </w:rPr>
        <w:t>Řešen</w:t>
      </w:r>
      <w:r w:rsidR="00CC1516">
        <w:rPr>
          <w:rStyle w:val="A6"/>
          <w:sz w:val="20"/>
        </w:rPr>
        <w:t>á</w:t>
      </w:r>
      <w:r w:rsidRPr="006B3F59">
        <w:rPr>
          <w:rStyle w:val="A6"/>
          <w:sz w:val="20"/>
        </w:rPr>
        <w:t xml:space="preserve"> změn</w:t>
      </w:r>
      <w:r w:rsidR="00CC1516">
        <w:rPr>
          <w:rStyle w:val="A6"/>
          <w:sz w:val="20"/>
        </w:rPr>
        <w:t>a</w:t>
      </w:r>
      <w:r w:rsidRPr="006B3F59">
        <w:rPr>
          <w:rStyle w:val="A6"/>
          <w:sz w:val="20"/>
        </w:rPr>
        <w:t xml:space="preserve"> využ</w:t>
      </w:r>
      <w:r w:rsidR="00CC1516">
        <w:rPr>
          <w:rStyle w:val="A6"/>
          <w:sz w:val="20"/>
        </w:rPr>
        <w:t xml:space="preserve">ívá </w:t>
      </w:r>
      <w:r w:rsidRPr="006B3F59">
        <w:rPr>
          <w:rStyle w:val="A6"/>
          <w:sz w:val="20"/>
        </w:rPr>
        <w:t>stávající technickou infrastrukturu dostupnou v řešených plochách.</w:t>
      </w:r>
      <w:r w:rsidR="001110E1" w:rsidRPr="006B3F59">
        <w:rPr>
          <w:rStyle w:val="A6"/>
          <w:sz w:val="20"/>
        </w:rPr>
        <w:t xml:space="preserve"> Jsou navrženy dílčí přeložky technických sítí bez vlivu na sledované cíle. Území </w:t>
      </w:r>
      <w:r w:rsidR="00FB743F" w:rsidRPr="006B3F59">
        <w:rPr>
          <w:rStyle w:val="A6"/>
          <w:sz w:val="20"/>
        </w:rPr>
        <w:t>není</w:t>
      </w:r>
      <w:r w:rsidR="001110E1" w:rsidRPr="006B3F59">
        <w:rPr>
          <w:rStyle w:val="A6"/>
          <w:sz w:val="20"/>
        </w:rPr>
        <w:t xml:space="preserve"> napojeno síť CZT.</w:t>
      </w:r>
      <w:r w:rsidR="009C5287" w:rsidRPr="006B3F59">
        <w:rPr>
          <w:rStyle w:val="A6"/>
          <w:sz w:val="20"/>
        </w:rPr>
        <w:t xml:space="preserve"> </w:t>
      </w:r>
      <w:r w:rsidR="009C5287" w:rsidRPr="006B3F59">
        <w:t>Využití území je omezeno kmenovou stokou E a jejím ochranným pásmem.</w:t>
      </w:r>
    </w:p>
    <w:p w14:paraId="60FCDFB1" w14:textId="42C6673D" w:rsidR="007D42BA" w:rsidRPr="006B3F59" w:rsidRDefault="004A5172" w:rsidP="00CC1516">
      <w:pPr>
        <w:pStyle w:val="Nadpis3"/>
        <w:ind w:left="992" w:hanging="992"/>
      </w:pPr>
      <w:bookmarkStart w:id="146" w:name="_Toc138848114"/>
      <w:r w:rsidRPr="006B3F59">
        <w:t>Hmotný majetek, nemovité památky, kulturní dědictví včetně dědictví architektonického a archeologického</w:t>
      </w:r>
      <w:bookmarkEnd w:id="146"/>
      <w:r w:rsidRPr="006B3F59">
        <w:t xml:space="preserve"> </w:t>
      </w:r>
      <w:bookmarkEnd w:id="139"/>
      <w:bookmarkEnd w:id="140"/>
      <w:bookmarkEnd w:id="141"/>
    </w:p>
    <w:p w14:paraId="1283E2F1" w14:textId="5B6CD0ED" w:rsidR="0045675C" w:rsidRPr="006B3F59" w:rsidRDefault="0045675C" w:rsidP="00CC1516">
      <w:pPr>
        <w:keepNext/>
      </w:pPr>
      <w:r w:rsidRPr="006B3F59">
        <w:t>V řešeném území se nacházejí následující kategorie památkové ochrany:</w:t>
      </w:r>
    </w:p>
    <w:p w14:paraId="7670724C" w14:textId="0296952B" w:rsidR="0045675C" w:rsidRPr="006B3F59" w:rsidRDefault="0045675C" w:rsidP="0045675C">
      <w:pPr>
        <w:pStyle w:val="Odrka1"/>
      </w:pPr>
      <w:r w:rsidRPr="006B3F59">
        <w:t>Ochranné pásmo památkové rezervace v hl.</w:t>
      </w:r>
      <w:r w:rsidR="003577E4" w:rsidRPr="006B3F59">
        <w:t>m.</w:t>
      </w:r>
      <w:r w:rsidRPr="006B3F59">
        <w:t xml:space="preserve"> Praze, fáze ochrany: památkově chráněno, rejstř. č. ÚSKP 3333.</w:t>
      </w:r>
    </w:p>
    <w:p w14:paraId="52DDD587" w14:textId="7897FABF" w:rsidR="0045675C" w:rsidRPr="006B3F59" w:rsidRDefault="00A71568" w:rsidP="0045675C">
      <w:pPr>
        <w:rPr>
          <w:lang w:eastAsia="cs-CZ"/>
        </w:rPr>
      </w:pPr>
      <w:r w:rsidRPr="006B3F59">
        <w:rPr>
          <w:noProof/>
          <w:lang w:eastAsia="cs-CZ"/>
        </w:rPr>
        <w:lastRenderedPageBreak/>
        <w:drawing>
          <wp:anchor distT="0" distB="0" distL="114300" distR="114300" simplePos="0" relativeHeight="251660288" behindDoc="0" locked="0" layoutInCell="1" allowOverlap="1" wp14:anchorId="60E5F068" wp14:editId="72707B88">
            <wp:simplePos x="0" y="0"/>
            <wp:positionH relativeFrom="margin">
              <wp:posOffset>-3810</wp:posOffset>
            </wp:positionH>
            <wp:positionV relativeFrom="paragraph">
              <wp:posOffset>2616835</wp:posOffset>
            </wp:positionV>
            <wp:extent cx="2313703" cy="3106420"/>
            <wp:effectExtent l="0" t="0" r="0" b="0"/>
            <wp:wrapNone/>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8">
                      <a:extLst>
                        <a:ext uri="{28A0092B-C50C-407E-A947-70E740481C1C}">
                          <a14:useLocalDpi xmlns:a14="http://schemas.microsoft.com/office/drawing/2010/main" val="0"/>
                        </a:ext>
                      </a:extLst>
                    </a:blip>
                    <a:srcRect l="978" t="35819" r="90628" b="26758"/>
                    <a:stretch/>
                  </pic:blipFill>
                  <pic:spPr bwMode="auto">
                    <a:xfrm>
                      <a:off x="0" y="0"/>
                      <a:ext cx="2319128" cy="31137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B3F59">
        <w:rPr>
          <w:noProof/>
          <w:lang w:eastAsia="cs-CZ"/>
        </w:rPr>
        <w:drawing>
          <wp:inline distT="0" distB="0" distL="0" distR="0" wp14:anchorId="415993E8" wp14:editId="6BFDDA29">
            <wp:extent cx="6120130" cy="5674995"/>
            <wp:effectExtent l="0" t="0" r="0" b="1905"/>
            <wp:docPr id="93" name="Obrázek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6120130" cy="5674995"/>
                    </a:xfrm>
                    <a:prstGeom prst="rect">
                      <a:avLst/>
                    </a:prstGeom>
                  </pic:spPr>
                </pic:pic>
              </a:graphicData>
            </a:graphic>
          </wp:inline>
        </w:drawing>
      </w:r>
    </w:p>
    <w:p w14:paraId="23558911" w14:textId="08F602C5" w:rsidR="0045675C" w:rsidRPr="006B3F59" w:rsidRDefault="0045675C" w:rsidP="0045675C">
      <w:pPr>
        <w:pStyle w:val="Obrnadpis"/>
      </w:pPr>
      <w:bookmarkStart w:id="147" w:name="_Toc112668065"/>
      <w:bookmarkStart w:id="148" w:name="_Toc138848225"/>
      <w:r w:rsidRPr="006B3F59">
        <w:t xml:space="preserve">Památková mapa, zdroj: Geoportál Praha, IPR, </w:t>
      </w:r>
      <w:r w:rsidRPr="006B3F59">
        <w:rPr>
          <w:b w:val="0"/>
          <w:bCs/>
        </w:rPr>
        <w:t>cit. 15. 1. 202</w:t>
      </w:r>
      <w:bookmarkEnd w:id="147"/>
      <w:r w:rsidRPr="006B3F59">
        <w:rPr>
          <w:b w:val="0"/>
          <w:bCs/>
        </w:rPr>
        <w:t>3</w:t>
      </w:r>
      <w:bookmarkEnd w:id="148"/>
    </w:p>
    <w:p w14:paraId="4FFDD954" w14:textId="4A128CFF" w:rsidR="0045675C" w:rsidRPr="006B3F59" w:rsidRDefault="0045675C" w:rsidP="0045675C">
      <w:r w:rsidRPr="006B3F59">
        <w:t xml:space="preserve">Oblast </w:t>
      </w:r>
      <w:r w:rsidR="00A71568" w:rsidRPr="006B3F59">
        <w:t>Podbaby a Sedlce</w:t>
      </w:r>
      <w:r w:rsidRPr="006B3F59">
        <w:t xml:space="preserve"> náleží </w:t>
      </w:r>
      <w:r w:rsidR="00A71568" w:rsidRPr="006B3F59">
        <w:t xml:space="preserve">sice </w:t>
      </w:r>
      <w:r w:rsidRPr="006B3F59">
        <w:t xml:space="preserve">ke starým sídelním územím s vysokou pravděpodobností výskytu archeologických nalezišť, </w:t>
      </w:r>
      <w:r w:rsidR="00A71568" w:rsidRPr="006B3F59">
        <w:t xml:space="preserve">převážná část dotčených ploch se však nachází na recentních navážkách v důsledku hospodářské činnosti, těžby a výstavby dopravních staveb. Není </w:t>
      </w:r>
      <w:r w:rsidRPr="006B3F59">
        <w:t xml:space="preserve">tedy </w:t>
      </w:r>
      <w:r w:rsidR="00A71568" w:rsidRPr="006B3F59">
        <w:t>příliš</w:t>
      </w:r>
      <w:r w:rsidRPr="006B3F59">
        <w:t xml:space="preserve"> pravděpodobná možnost archeologických nálezů v řešeném území. Jedná se o ÚAN I</w:t>
      </w:r>
      <w:r w:rsidR="00A71568" w:rsidRPr="006B3F59">
        <w:t>I</w:t>
      </w:r>
      <w:r w:rsidRPr="006B3F59">
        <w:t>I</w:t>
      </w:r>
      <w:r w:rsidR="00E43158" w:rsidRPr="006B3F59">
        <w:t>. až V</w:t>
      </w:r>
      <w:r w:rsidR="00CF7392" w:rsidRPr="006B3F59">
        <w:t xml:space="preserve">, v prostoru ulice Kamýcká, Podbabská a Výhledů ÚAN </w:t>
      </w:r>
      <w:r w:rsidR="00C51945" w:rsidRPr="006B3F59">
        <w:t>II.</w:t>
      </w:r>
      <w:r w:rsidR="00E43158" w:rsidRPr="006B3F59">
        <w:t xml:space="preserve"> </w:t>
      </w:r>
      <w:r w:rsidRPr="006B3F59">
        <w:t>Před zahájením jakýchkoliv stavebních aktivit v zájmovém území, je třeba učinit opatření v souladu se zákonem č. 20/1987 Sb., o památkové péči, v platném znění.</w:t>
      </w:r>
    </w:p>
    <w:p w14:paraId="22D20698" w14:textId="5E5C288D" w:rsidR="00A71568" w:rsidRPr="006B3F59" w:rsidRDefault="00FA5D94" w:rsidP="00103300">
      <w:pPr>
        <w:rPr>
          <w:szCs w:val="20"/>
        </w:rPr>
      </w:pPr>
      <w:r w:rsidRPr="006B3F59">
        <w:rPr>
          <w:szCs w:val="20"/>
        </w:rPr>
        <w:t>Přímo v</w:t>
      </w:r>
      <w:r w:rsidR="002658F9" w:rsidRPr="006B3F59">
        <w:rPr>
          <w:szCs w:val="20"/>
        </w:rPr>
        <w:t> řešených plochách</w:t>
      </w:r>
      <w:r w:rsidR="007041AA" w:rsidRPr="006B3F59">
        <w:rPr>
          <w:szCs w:val="20"/>
        </w:rPr>
        <w:t xml:space="preserve"> se nenacházejí žádné kulturní nemovité památky a plochy zapsané v ústředním seznamu kulturních památek ani architektonicky nebo kulturně cenné stavby.</w:t>
      </w:r>
      <w:r w:rsidR="00E43158" w:rsidRPr="006B3F59">
        <w:rPr>
          <w:szCs w:val="20"/>
        </w:rPr>
        <w:t xml:space="preserve"> </w:t>
      </w:r>
      <w:r w:rsidR="007162BC">
        <w:rPr>
          <w:szCs w:val="20"/>
        </w:rPr>
        <w:t xml:space="preserve"> </w:t>
      </w:r>
      <w:r w:rsidR="00A71568" w:rsidRPr="006B3F59">
        <w:rPr>
          <w:szCs w:val="20"/>
        </w:rPr>
        <w:t xml:space="preserve">Nejblíže se nachází Viadukt železniční tratě Praha Bubeneč – Kralupy na Vltavou – Děčín, jako součást železniční trati v souvisejícím území. Nemovitá kulturní památka Viadukt železniční tratě Praha </w:t>
      </w:r>
      <w:r w:rsidR="00C51945" w:rsidRPr="006B3F59">
        <w:rPr>
          <w:szCs w:val="20"/>
        </w:rPr>
        <w:t>Bubeneč – Kralupy</w:t>
      </w:r>
      <w:r w:rsidR="00A71568" w:rsidRPr="006B3F59">
        <w:rPr>
          <w:szCs w:val="20"/>
        </w:rPr>
        <w:t xml:space="preserve"> nad Vltavou – Děčín, katalogové číslo   č. 1903221187 byl vyhlášen za kulturní památku </w:t>
      </w:r>
      <w:r w:rsidR="00123D09" w:rsidRPr="006B3F59">
        <w:rPr>
          <w:szCs w:val="20"/>
        </w:rPr>
        <w:t>v roce 2002. Jedná se o viadukt na pozemků p.č 4151 v k.ú. Dejvice a p.č. 557 k.</w:t>
      </w:r>
      <w:r w:rsidR="00C51945" w:rsidRPr="006B3F59">
        <w:rPr>
          <w:szCs w:val="20"/>
        </w:rPr>
        <w:t>ú</w:t>
      </w:r>
      <w:r w:rsidR="00123D09" w:rsidRPr="006B3F59">
        <w:rPr>
          <w:szCs w:val="20"/>
        </w:rPr>
        <w:t>. Sedlec, součást severní pražsko – drážďanské dráhy z rokum1850. Jedná se o technickou stavbu v duchu pozdního klasicismu, kombinující půlkruhově zaklenuté boční tunely a střední segmentový mostní oblouk nad potokem. Z hlediska posuzované změny územního plánu bez</w:t>
      </w:r>
      <w:r w:rsidR="00E13BC6" w:rsidRPr="006B3F59">
        <w:rPr>
          <w:szCs w:val="20"/>
        </w:rPr>
        <w:t xml:space="preserve"> přímého dotčení, jsou vytvářeny územní předpoklady pro vedení tramvajové trati v prostoru, mezi stávající ulici Podbabskou a železniční tratí, to znamená dílčí rozšíření plochy S2 v kontaktu s tímto viaduktem. V navazujících řízeních je tak třeba zajisti nejen fyzické zachování nemovité kulturní památky, ale i zachování jejího charakteru z vizuálního hlediska. </w:t>
      </w:r>
    </w:p>
    <w:p w14:paraId="489E8C24" w14:textId="59C24B94" w:rsidR="00123D09" w:rsidRPr="006B3F59" w:rsidRDefault="00123D09" w:rsidP="00103300">
      <w:r w:rsidRPr="006B3F59">
        <w:rPr>
          <w:noProof/>
        </w:rPr>
        <w:lastRenderedPageBreak/>
        <w:drawing>
          <wp:inline distT="0" distB="0" distL="0" distR="0" wp14:anchorId="0DDA5EBC" wp14:editId="0D711057">
            <wp:extent cx="4725059" cy="3562847"/>
            <wp:effectExtent l="0" t="0" r="0"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4725059" cy="3562847"/>
                    </a:xfrm>
                    <a:prstGeom prst="rect">
                      <a:avLst/>
                    </a:prstGeom>
                  </pic:spPr>
                </pic:pic>
              </a:graphicData>
            </a:graphic>
          </wp:inline>
        </w:drawing>
      </w:r>
    </w:p>
    <w:p w14:paraId="3E5795EB" w14:textId="4549487F" w:rsidR="00123D09" w:rsidRPr="006B3F59" w:rsidRDefault="00123D09" w:rsidP="00123D09">
      <w:pPr>
        <w:pStyle w:val="Obrnadpis"/>
      </w:pPr>
      <w:bookmarkStart w:id="149" w:name="_Toc138848226"/>
      <w:r w:rsidRPr="006B3F59">
        <w:t>Památkově chráněnž Viadukt železniční tratě Praha Bubeneč - Kralupy nad Vltavou - Děčín</w:t>
      </w:r>
      <w:bookmarkEnd w:id="149"/>
    </w:p>
    <w:p w14:paraId="3609116C" w14:textId="68759CEE" w:rsidR="007041AA" w:rsidRPr="006B3F59" w:rsidRDefault="00FA5D94" w:rsidP="007041AA">
      <w:pPr>
        <w:rPr>
          <w:szCs w:val="20"/>
        </w:rPr>
      </w:pPr>
      <w:r w:rsidRPr="006B3F59">
        <w:rPr>
          <w:szCs w:val="20"/>
        </w:rPr>
        <w:t xml:space="preserve">Existuje předpoklad výskytu archeologických nálezů z. č. 20/1987 o památkové péči v platném znění. </w:t>
      </w:r>
      <w:r w:rsidR="007041AA" w:rsidRPr="006B3F59">
        <w:rPr>
          <w:szCs w:val="20"/>
        </w:rPr>
        <w:t>Na všech typech území (mimo ÚAN IV.) by při změnách funkčního využití území spojených s výstavbou mělo být postupováno a dodržovány povinnosti vyplývající ze zákona č. 20/1987 Sb., o státní památkové péči, v platném znění.</w:t>
      </w:r>
    </w:p>
    <w:p w14:paraId="3DC623CC" w14:textId="77777777" w:rsidR="002F0C99" w:rsidRPr="006B3F59" w:rsidRDefault="002F0C99" w:rsidP="002F0C99">
      <w:r w:rsidRPr="006B3F59">
        <w:t>Historické dominanty území městské části Praha-Suchdol představují Brandejsův statek alias suchdolský zámeček, barokní kaple sv. Václava z roku 1765, kaple Nejsvětější Trojice z roku 1725, Trojanův mlýn a zvonička z roku 1846 u nejstaršího domu čp. 2.</w:t>
      </w:r>
    </w:p>
    <w:p w14:paraId="7578FE71" w14:textId="77777777" w:rsidR="002F0C99" w:rsidRPr="006B3F59" w:rsidRDefault="002F0C99" w:rsidP="007041AA">
      <w:pPr>
        <w:rPr>
          <w:szCs w:val="20"/>
        </w:rPr>
      </w:pPr>
    </w:p>
    <w:p w14:paraId="67A44D67" w14:textId="1E71DD65" w:rsidR="00BB651B" w:rsidRPr="006B3F59" w:rsidRDefault="00BB651B" w:rsidP="007041AA">
      <w:pPr>
        <w:rPr>
          <w:szCs w:val="20"/>
        </w:rPr>
      </w:pPr>
      <w:r w:rsidRPr="006B3F59">
        <w:rPr>
          <w:noProof/>
          <w:szCs w:val="20"/>
        </w:rPr>
        <w:lastRenderedPageBreak/>
        <w:drawing>
          <wp:anchor distT="0" distB="0" distL="114300" distR="114300" simplePos="0" relativeHeight="251664384" behindDoc="0" locked="0" layoutInCell="1" allowOverlap="1" wp14:anchorId="5EDE0E4C" wp14:editId="14EC80DF">
            <wp:simplePos x="0" y="0"/>
            <wp:positionH relativeFrom="column">
              <wp:posOffset>-3810</wp:posOffset>
            </wp:positionH>
            <wp:positionV relativeFrom="paragraph">
              <wp:posOffset>4304030</wp:posOffset>
            </wp:positionV>
            <wp:extent cx="1087200" cy="954000"/>
            <wp:effectExtent l="0" t="0" r="0" b="0"/>
            <wp:wrapNone/>
            <wp:docPr id="96" name="Obrázek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extLst>
                        <a:ext uri="{28A0092B-C50C-407E-A947-70E740481C1C}">
                          <a14:useLocalDpi xmlns:a14="http://schemas.microsoft.com/office/drawing/2010/main" val="0"/>
                        </a:ext>
                      </a:extLst>
                    </a:blip>
                    <a:stretch>
                      <a:fillRect/>
                    </a:stretch>
                  </pic:blipFill>
                  <pic:spPr>
                    <a:xfrm>
                      <a:off x="0" y="0"/>
                      <a:ext cx="1087200" cy="954000"/>
                    </a:xfrm>
                    <a:prstGeom prst="rect">
                      <a:avLst/>
                    </a:prstGeom>
                  </pic:spPr>
                </pic:pic>
              </a:graphicData>
            </a:graphic>
            <wp14:sizeRelH relativeFrom="margin">
              <wp14:pctWidth>0</wp14:pctWidth>
            </wp14:sizeRelH>
            <wp14:sizeRelV relativeFrom="margin">
              <wp14:pctHeight>0</wp14:pctHeight>
            </wp14:sizeRelV>
          </wp:anchor>
        </w:drawing>
      </w:r>
      <w:r w:rsidRPr="006B3F59">
        <w:rPr>
          <w:noProof/>
          <w:szCs w:val="20"/>
        </w:rPr>
        <w:drawing>
          <wp:inline distT="0" distB="0" distL="0" distR="0" wp14:anchorId="2236503A" wp14:editId="6AA392BD">
            <wp:extent cx="6120130" cy="5238750"/>
            <wp:effectExtent l="0" t="0" r="0" b="0"/>
            <wp:docPr id="95" name="Obrázek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6120130" cy="5238750"/>
                    </a:xfrm>
                    <a:prstGeom prst="rect">
                      <a:avLst/>
                    </a:prstGeom>
                  </pic:spPr>
                </pic:pic>
              </a:graphicData>
            </a:graphic>
          </wp:inline>
        </w:drawing>
      </w:r>
      <w:r w:rsidRPr="006B3F59">
        <w:rPr>
          <w:noProof/>
        </w:rPr>
        <w:t xml:space="preserve"> </w:t>
      </w:r>
    </w:p>
    <w:p w14:paraId="59DCED85" w14:textId="5FB53E90" w:rsidR="00BB651B" w:rsidRPr="006B3F59" w:rsidRDefault="00BB651B" w:rsidP="00BB651B">
      <w:pPr>
        <w:pStyle w:val="Obrnadpis"/>
      </w:pPr>
      <w:bookmarkStart w:id="150" w:name="_Toc138848227"/>
      <w:r w:rsidRPr="006B3F59">
        <w:t>Informační systém o archeologických datech, zdroj: Geoportál NPÚ, cit. 11.4.2023</w:t>
      </w:r>
      <w:bookmarkEnd w:id="150"/>
    </w:p>
    <w:p w14:paraId="1A91D3BE" w14:textId="77A45D9C" w:rsidR="00794578" w:rsidRPr="006B3F59" w:rsidRDefault="00794578" w:rsidP="00A67277">
      <w:pPr>
        <w:pStyle w:val="Nadpis3"/>
      </w:pPr>
      <w:bookmarkStart w:id="151" w:name="_Toc531606251"/>
      <w:bookmarkStart w:id="152" w:name="_Toc29298337"/>
      <w:bookmarkStart w:id="153" w:name="_Toc138848115"/>
      <w:bookmarkEnd w:id="142"/>
      <w:r w:rsidRPr="006B3F59">
        <w:t>Vývoj řešeného území bez provedení koncepce</w:t>
      </w:r>
      <w:bookmarkEnd w:id="151"/>
      <w:bookmarkEnd w:id="152"/>
      <w:bookmarkEnd w:id="153"/>
    </w:p>
    <w:p w14:paraId="068C9BE2" w14:textId="72A0FDDB" w:rsidR="002A6B36" w:rsidRPr="006B3F59" w:rsidRDefault="002A6B36" w:rsidP="002A6B36">
      <w:bookmarkStart w:id="154" w:name="_Toc531606252"/>
      <w:bookmarkStart w:id="155" w:name="_Toc29298338"/>
      <w:r w:rsidRPr="006B3F59">
        <w:t>V případě, že by nedošlo k realizaci předkládané změny, vyvíjelo by se řešené území dosavadním způsobem dle podmínek využití území definovaných v platném ú</w:t>
      </w:r>
      <w:r w:rsidR="00D5461C" w:rsidRPr="006B3F59">
        <w:t>zemním plánu. Nerealizace řešen</w:t>
      </w:r>
      <w:r w:rsidR="009C2953" w:rsidRPr="006B3F59">
        <w:t>é</w:t>
      </w:r>
      <w:r w:rsidR="00D5461C" w:rsidRPr="006B3F59">
        <w:t xml:space="preserve"> změn</w:t>
      </w:r>
      <w:r w:rsidR="009C2953" w:rsidRPr="006B3F59">
        <w:t>y</w:t>
      </w:r>
      <w:r w:rsidR="00D5461C" w:rsidRPr="006B3F59">
        <w:t xml:space="preserve"> územního plánu</w:t>
      </w:r>
      <w:r w:rsidRPr="006B3F59">
        <w:t xml:space="preserve"> tedy neznamená žádné významné důsledky do životního prostředí ani nekoncepční vývoj územního rozvoje města.</w:t>
      </w:r>
      <w:r w:rsidR="009C2953" w:rsidRPr="006B3F59">
        <w:t xml:space="preserve"> </w:t>
      </w:r>
      <w:r w:rsidR="00D5461C" w:rsidRPr="006B3F59">
        <w:t>Navrhované změny</w:t>
      </w:r>
      <w:r w:rsidR="000866CF" w:rsidRPr="006B3F59">
        <w:t xml:space="preserve"> využit</w:t>
      </w:r>
      <w:r w:rsidR="00D5461C" w:rsidRPr="006B3F59">
        <w:t>í území jsou</w:t>
      </w:r>
      <w:r w:rsidR="000866CF" w:rsidRPr="006B3F59">
        <w:t xml:space="preserve"> </w:t>
      </w:r>
      <w:r w:rsidRPr="006B3F59">
        <w:t>situován</w:t>
      </w:r>
      <w:r w:rsidR="00D5461C" w:rsidRPr="006B3F59">
        <w:t>y</w:t>
      </w:r>
      <w:r w:rsidRPr="006B3F59">
        <w:t xml:space="preserve"> v prostorech s platným územním plánem, na jehož koncepčním přístupu s</w:t>
      </w:r>
      <w:r w:rsidR="00D5461C" w:rsidRPr="006B3F59">
        <w:t xml:space="preserve">e případným přijetím </w:t>
      </w:r>
      <w:r w:rsidR="00B9398C" w:rsidRPr="006B3F59">
        <w:t>předkládané změny</w:t>
      </w:r>
      <w:r w:rsidRPr="006B3F59">
        <w:t xml:space="preserve"> nic nezmění. </w:t>
      </w:r>
      <w:r w:rsidR="009C2953" w:rsidRPr="006B3F59">
        <w:t xml:space="preserve">Na druhou stranu je posuzovaná změna územního plánu, základním krokem ke koordinaci a stabilizaci řešení prostoru </w:t>
      </w:r>
      <w:r w:rsidR="0087025D" w:rsidRPr="006B3F59">
        <w:t>Suchdola</w:t>
      </w:r>
      <w:r w:rsidR="009C2953" w:rsidRPr="006B3F59">
        <w:t xml:space="preserve"> při participaci obyvatel území na výsledné podobě návrhu.  </w:t>
      </w:r>
    </w:p>
    <w:p w14:paraId="6826FE0F" w14:textId="77777777" w:rsidR="0045675C" w:rsidRPr="006B3F59" w:rsidRDefault="0045675C" w:rsidP="0045675C">
      <w:r w:rsidRPr="006B3F59">
        <w:t>Z hlediska jednotlivých sledovaných témat životního prostředí by se řešené území bez provedení koncepce vyvíjelo následovně:</w:t>
      </w:r>
    </w:p>
    <w:p w14:paraId="3AED7578" w14:textId="3AF1739B" w:rsidR="0045675C" w:rsidRPr="006B3F59" w:rsidRDefault="0045675C" w:rsidP="0045675C">
      <w:r w:rsidRPr="006B3F59">
        <w:t xml:space="preserve">Obyvatelstvo a veřejné zdraví: Beze změny v podmínkách využití území, Stávající zdroje emisí, hluku a rizik zůstanou beze změny. Z širšího hlediska nedojde ke zvýšení nabídky kvalitního bydlení, veřejné vybavenosti a služeb </w:t>
      </w:r>
      <w:r w:rsidR="00983713" w:rsidRPr="006B3F59">
        <w:t>s</w:t>
      </w:r>
      <w:r w:rsidRPr="006B3F59">
        <w:t xml:space="preserve"> dobrou dopravní dostupností a rozvoji </w:t>
      </w:r>
      <w:r w:rsidR="00983713" w:rsidRPr="006B3F59">
        <w:t>Sedlce</w:t>
      </w:r>
      <w:r w:rsidRPr="006B3F59">
        <w:t>, zejmén</w:t>
      </w:r>
      <w:r w:rsidR="00983713" w:rsidRPr="006B3F59">
        <w:t xml:space="preserve">a nedojde k realizaci tramvajové trati a optimalizaci dopravního systému, jako jednoho ze základní předpokladů </w:t>
      </w:r>
      <w:r w:rsidR="009D252F" w:rsidRPr="006B3F59">
        <w:t>udržitelného rozvoje území</w:t>
      </w:r>
      <w:r w:rsidRPr="006B3F59">
        <w:t>. Území však bude nadále z větší části zastavitelné dle platného ÚP.</w:t>
      </w:r>
    </w:p>
    <w:p w14:paraId="42C04546" w14:textId="245B4C0D" w:rsidR="0045675C" w:rsidRPr="006B3F59" w:rsidRDefault="0045675C" w:rsidP="0045675C">
      <w:r w:rsidRPr="006B3F59">
        <w:t>Ovzduší a klima: Beze změny v podmínkách využití území, Stávající zdroje emisí zůstanou beze změny</w:t>
      </w:r>
      <w:r w:rsidR="00BE30C9" w:rsidRPr="006B3F59">
        <w:t>.</w:t>
      </w:r>
    </w:p>
    <w:p w14:paraId="652E6F9C" w14:textId="60F5E5F3" w:rsidR="0045675C" w:rsidRPr="006B3F59" w:rsidRDefault="0045675C" w:rsidP="0045675C">
      <w:r w:rsidRPr="006B3F59">
        <w:t xml:space="preserve">Půda a horninové prostředí: Beze změny v podmínkách využití území, </w:t>
      </w:r>
      <w:r w:rsidR="00BE30C9" w:rsidRPr="006B3F59">
        <w:t xml:space="preserve">území </w:t>
      </w:r>
      <w:r w:rsidR="003577E4" w:rsidRPr="006B3F59">
        <w:t>je,</w:t>
      </w:r>
      <w:r w:rsidR="00BE30C9" w:rsidRPr="006B3F59">
        <w:t xml:space="preserve"> a i nadále bude </w:t>
      </w:r>
      <w:r w:rsidRPr="006B3F59">
        <w:t>z větší části zastavitelné dle platného ÚP.</w:t>
      </w:r>
    </w:p>
    <w:p w14:paraId="417CA411" w14:textId="2FB386D0" w:rsidR="0045675C" w:rsidRPr="006B3F59" w:rsidRDefault="0045675C" w:rsidP="0045675C">
      <w:r w:rsidRPr="006B3F59">
        <w:lastRenderedPageBreak/>
        <w:t xml:space="preserve">Voda: Beze změny v podmínkách využití území, nedojde k omezení retenční schopnosti území v souvislosti se zastavěním území, </w:t>
      </w:r>
      <w:r w:rsidR="00BE30C9" w:rsidRPr="006B3F59">
        <w:t xml:space="preserve">území však v současnosti </w:t>
      </w:r>
      <w:r w:rsidR="003577E4" w:rsidRPr="006B3F59">
        <w:t>je,</w:t>
      </w:r>
      <w:r w:rsidR="00BE30C9" w:rsidRPr="006B3F59">
        <w:t xml:space="preserve"> a i nadále bude</w:t>
      </w:r>
      <w:r w:rsidRPr="006B3F59">
        <w:t xml:space="preserve"> z větší části zastavitelné dle platného ÚP.</w:t>
      </w:r>
    </w:p>
    <w:p w14:paraId="15FF336A" w14:textId="77777777" w:rsidR="00BE30C9" w:rsidRPr="006B3F59" w:rsidRDefault="0045675C" w:rsidP="00BE30C9">
      <w:r w:rsidRPr="006B3F59">
        <w:t>Fauna, flóra, biodiverzita, ochrany přírody a krajiny: Beze změny v podmínkách využití území.</w:t>
      </w:r>
      <w:r w:rsidR="00BE30C9" w:rsidRPr="006B3F59">
        <w:t xml:space="preserve"> Území je a bude i nadále z větší části zastavitelné dle platného ÚP.</w:t>
      </w:r>
    </w:p>
    <w:p w14:paraId="01A0E0D3" w14:textId="47C75E20" w:rsidR="0045675C" w:rsidRPr="006B3F59" w:rsidRDefault="0045675C" w:rsidP="0045675C">
      <w:r w:rsidRPr="006B3F59">
        <w:t xml:space="preserve">Krajina, sídla, urbanismus: </w:t>
      </w:r>
      <w:r w:rsidR="00BE30C9" w:rsidRPr="006B3F59">
        <w:t>Beze změny v podmínkách využití území.</w:t>
      </w:r>
      <w:r w:rsidRPr="006B3F59">
        <w:t xml:space="preserve"> Území </w:t>
      </w:r>
      <w:r w:rsidR="00BE30C9" w:rsidRPr="006B3F59">
        <w:t>je a</w:t>
      </w:r>
      <w:r w:rsidRPr="006B3F59">
        <w:t xml:space="preserve"> bude</w:t>
      </w:r>
      <w:r w:rsidR="00BE30C9" w:rsidRPr="006B3F59">
        <w:t xml:space="preserve"> i</w:t>
      </w:r>
      <w:r w:rsidRPr="006B3F59">
        <w:t xml:space="preserve"> nadále z větší části zastavitelné dle platného ÚP.</w:t>
      </w:r>
    </w:p>
    <w:p w14:paraId="2518775B" w14:textId="77777777" w:rsidR="00BE30C9" w:rsidRPr="006B3F59" w:rsidRDefault="0045675C" w:rsidP="00BE30C9">
      <w:r w:rsidRPr="006B3F59">
        <w:t xml:space="preserve">Hmotný majetek, nemovité památky a kulturní dědictví, včetně dědictví architektonického a archeologického: </w:t>
      </w:r>
      <w:r w:rsidR="00BE30C9" w:rsidRPr="006B3F59">
        <w:t>Beze změny v podmínkách využití území. Území je a bude i nadále z větší části zastavitelné dle platného ÚP.</w:t>
      </w:r>
    </w:p>
    <w:p w14:paraId="6BB4D92C" w14:textId="1102CF42" w:rsidR="00BE30C9" w:rsidRPr="006B3F59" w:rsidRDefault="0045675C" w:rsidP="00BE30C9">
      <w:r w:rsidRPr="006B3F59">
        <w:t xml:space="preserve">Hluková zátěž: Beze změny v podmínkách využití území, Stávající zdroje hluku zůstanou beze změny. Nedojde ke vložení nové zdroje </w:t>
      </w:r>
      <w:r w:rsidR="00BE30C9" w:rsidRPr="006B3F59">
        <w:t>vyvolané zátěže</w:t>
      </w:r>
      <w:r w:rsidRPr="006B3F59">
        <w:t xml:space="preserve"> do území.</w:t>
      </w:r>
      <w:r w:rsidR="00BE30C9" w:rsidRPr="006B3F59">
        <w:t xml:space="preserve"> Území je a bude i nadále z větší části zastavitelné dle platného ÚP a jako takové bude generovat i vložení zdrojů vyvolané dopravy.</w:t>
      </w:r>
      <w:r w:rsidR="009D252F" w:rsidRPr="006B3F59">
        <w:t xml:space="preserve"> Nedojde k realizaci tramvajové trati jako nového zdroje hlukové zátěže, ani k dobudování dopravního systému jako předpokladu přerozdělení dopravních zátěží a nadále se bude zvyšovat IAD.</w:t>
      </w:r>
    </w:p>
    <w:p w14:paraId="0B57FF58" w14:textId="77777777" w:rsidR="00794578" w:rsidRPr="006B3F59" w:rsidRDefault="00794578" w:rsidP="00BA72D5">
      <w:pPr>
        <w:pStyle w:val="Nadpis2"/>
      </w:pPr>
      <w:bookmarkStart w:id="156" w:name="_Toc138848116"/>
      <w:r w:rsidRPr="006B3F59">
        <w:t>Charakteristiky životního prostředí, které by mohly být uplatněním územně plánovací dokumentace významně ovlivněny.</w:t>
      </w:r>
      <w:bookmarkEnd w:id="154"/>
      <w:bookmarkEnd w:id="155"/>
      <w:bookmarkEnd w:id="156"/>
    </w:p>
    <w:p w14:paraId="2C37F86F" w14:textId="77777777" w:rsidR="008E7D3C" w:rsidRPr="006B3F59" w:rsidRDefault="008E7D3C" w:rsidP="009B4A0C">
      <w:r w:rsidRPr="006B3F59">
        <w:t>Součástí této kapitoly je především přehled hodnot a limitů využití území, které jsou základními mezemi pro řešení návrhu ÚPD, a které tak vymezují základní hranice využití území. Níže jsou identifikovány potenciální střety s těmito hodnotami a limity a záměry přítomné v území z nichž dále plyne potenciál pro negativní vlivy, jak je komentováno níže ve shrnutí. Podrobné charakteristiky jednotlivých složek životního prostředí včetně jeho limitů, významných hodnot, vývojových trendů a možných rizik spojených s návrhem posuzované ÚPD je uveden v kapitole A.III a A.V.</w:t>
      </w:r>
    </w:p>
    <w:p w14:paraId="7A4273F1" w14:textId="77777777" w:rsidR="008E7D3C" w:rsidRPr="006B3F59" w:rsidRDefault="008E7D3C" w:rsidP="009B4A0C">
      <w:r w:rsidRPr="006B3F59">
        <w:t xml:space="preserve">Níže je uvedena složková analýza potenciálních vlivů posuzované ÚPD vůči hodnotám a limitům přítomným v řešeném území a prostorová analýza potenciálního spolupůsobení vlivů. </w:t>
      </w:r>
    </w:p>
    <w:p w14:paraId="6266D88A" w14:textId="77777777" w:rsidR="008E7D3C" w:rsidRPr="006B3F59" w:rsidRDefault="008E7D3C" w:rsidP="009B4A0C">
      <w:pPr>
        <w:pStyle w:val="Podnadpis1"/>
      </w:pPr>
      <w:r w:rsidRPr="006B3F59">
        <w:t>Složková analýza potenciálních vlivů posuzované ÚPD vůči hodnotám a limitům přítomným v řešeném území</w:t>
      </w:r>
    </w:p>
    <w:p w14:paraId="1E8E06DE" w14:textId="0B7DC2D8" w:rsidR="008E7D3C" w:rsidRPr="006B3F59" w:rsidRDefault="008E7D3C" w:rsidP="008E7D3C">
      <w:r w:rsidRPr="006B3F59">
        <w:t>Analýza byla provedena tabelárně identifikací přítomných limitů využití území a jeho hodnot na základě analýzy a popisu složek životního prostředí v dotčeném území, který byl proveden v kapitole A.III.  Které limity a hodnoty jsou v území přítomny</w:t>
      </w:r>
      <w:r w:rsidR="004D533C">
        <w:t>,</w:t>
      </w:r>
      <w:r w:rsidRPr="006B3F59">
        <w:t xml:space="preserve"> je shrnuto v níže uvedeném tabulárním přehledu složkové analýzy</w:t>
      </w:r>
      <w:r w:rsidR="009B3F95">
        <w:t>.</w:t>
      </w:r>
      <w:r w:rsidRPr="006B3F59">
        <w:t xml:space="preserve"> </w:t>
      </w:r>
      <w:r w:rsidR="009B3F95">
        <w:t>D</w:t>
      </w:r>
      <w:r w:rsidRPr="006B3F59">
        <w:t>ále je potom uveden přehled potenciálních střetů s přítomnými limity a hodnotami území vyplývající z prostorové analýzy</w:t>
      </w:r>
      <w:r w:rsidR="009B3F95">
        <w:t>.</w:t>
      </w:r>
    </w:p>
    <w:tbl>
      <w:tblPr>
        <w:tblW w:w="921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843"/>
        <w:gridCol w:w="7367"/>
      </w:tblGrid>
      <w:tr w:rsidR="00BE30C9" w:rsidRPr="006B3F59" w14:paraId="292B8E5C" w14:textId="77777777" w:rsidTr="00B34C98">
        <w:trPr>
          <w:trHeight w:val="339"/>
        </w:trPr>
        <w:tc>
          <w:tcPr>
            <w:tcW w:w="1843" w:type="dxa"/>
            <w:vMerge w:val="restart"/>
            <w:shd w:val="clear" w:color="auto" w:fill="auto"/>
          </w:tcPr>
          <w:p w14:paraId="33723FDA" w14:textId="77777777" w:rsidR="00BE30C9" w:rsidRPr="006B3F59" w:rsidRDefault="00BE30C9" w:rsidP="00B34C98">
            <w:pPr>
              <w:pStyle w:val="Zkladntext21"/>
              <w:spacing w:before="120"/>
              <w:jc w:val="left"/>
              <w:rPr>
                <w:rFonts w:cs="Arial"/>
                <w:sz w:val="18"/>
                <w:szCs w:val="18"/>
              </w:rPr>
            </w:pPr>
            <w:r w:rsidRPr="006B3F59">
              <w:rPr>
                <w:rFonts w:cs="Arial"/>
                <w:sz w:val="18"/>
                <w:szCs w:val="18"/>
              </w:rPr>
              <w:t xml:space="preserve">Kulturně-historické hodnoty/limity území </w:t>
            </w:r>
            <w:r w:rsidRPr="006B3F59">
              <w:rPr>
                <w:rFonts w:cs="Arial"/>
                <w:b w:val="0"/>
                <w:sz w:val="18"/>
                <w:szCs w:val="18"/>
              </w:rPr>
              <w:t xml:space="preserve"> </w:t>
            </w:r>
          </w:p>
        </w:tc>
        <w:tc>
          <w:tcPr>
            <w:tcW w:w="7367" w:type="dxa"/>
          </w:tcPr>
          <w:p w14:paraId="78F6A52C" w14:textId="27C65FE9" w:rsidR="00BE30C9" w:rsidRPr="006B3F59" w:rsidRDefault="00BE30C9" w:rsidP="00CC1516">
            <w:pPr>
              <w:pStyle w:val="Zkladntext21"/>
              <w:spacing w:before="60" w:after="60"/>
              <w:jc w:val="left"/>
              <w:rPr>
                <w:rFonts w:cs="Arial"/>
                <w:spacing w:val="-4"/>
                <w:sz w:val="18"/>
                <w:szCs w:val="18"/>
              </w:rPr>
            </w:pPr>
            <w:r w:rsidRPr="006B3F59">
              <w:rPr>
                <w:rFonts w:cs="Arial"/>
                <w:spacing w:val="-4"/>
                <w:sz w:val="18"/>
                <w:szCs w:val="18"/>
              </w:rPr>
              <w:t xml:space="preserve">Památkové rezervace a zóny: </w:t>
            </w:r>
            <w:r w:rsidR="00CF7392" w:rsidRPr="006B3F59">
              <w:rPr>
                <w:rFonts w:cs="Arial"/>
                <w:b w:val="0"/>
                <w:spacing w:val="-4"/>
                <w:sz w:val="18"/>
                <w:szCs w:val="18"/>
              </w:rPr>
              <w:t>•Ochranné pásmo památkové rezervace v hl.m. Praze, fáze ochrany: památkově chráněno, rejstř. č. ÚSKP 3333</w:t>
            </w:r>
            <w:r w:rsidRPr="006B3F59">
              <w:rPr>
                <w:rFonts w:cs="Arial"/>
                <w:b w:val="0"/>
                <w:spacing w:val="-4"/>
                <w:sz w:val="18"/>
                <w:szCs w:val="18"/>
              </w:rPr>
              <w:t>, podrobněji viz kap. A.III.11</w:t>
            </w:r>
          </w:p>
        </w:tc>
      </w:tr>
      <w:tr w:rsidR="00BE30C9" w:rsidRPr="006B3F59" w14:paraId="5D560787" w14:textId="77777777" w:rsidTr="00B34C98">
        <w:trPr>
          <w:trHeight w:val="401"/>
        </w:trPr>
        <w:tc>
          <w:tcPr>
            <w:tcW w:w="1843" w:type="dxa"/>
            <w:vMerge/>
            <w:shd w:val="clear" w:color="auto" w:fill="auto"/>
          </w:tcPr>
          <w:p w14:paraId="07011F31" w14:textId="77777777" w:rsidR="00BE30C9" w:rsidRPr="006B3F59" w:rsidRDefault="00BE30C9" w:rsidP="00B34C98">
            <w:pPr>
              <w:pStyle w:val="Zkladntext21"/>
              <w:spacing w:before="120"/>
              <w:jc w:val="left"/>
              <w:rPr>
                <w:rFonts w:cs="Arial"/>
                <w:sz w:val="18"/>
                <w:szCs w:val="18"/>
              </w:rPr>
            </w:pPr>
          </w:p>
        </w:tc>
        <w:tc>
          <w:tcPr>
            <w:tcW w:w="7367" w:type="dxa"/>
          </w:tcPr>
          <w:p w14:paraId="51163E04" w14:textId="77777777" w:rsidR="00BE30C9" w:rsidRPr="006B3F59" w:rsidRDefault="00BE30C9" w:rsidP="00CC1516">
            <w:pPr>
              <w:pStyle w:val="Zkladntext21"/>
              <w:spacing w:before="60" w:after="60"/>
              <w:jc w:val="left"/>
              <w:rPr>
                <w:rFonts w:cs="Arial"/>
                <w:b w:val="0"/>
                <w:spacing w:val="-4"/>
                <w:sz w:val="18"/>
                <w:szCs w:val="18"/>
              </w:rPr>
            </w:pPr>
            <w:r w:rsidRPr="006B3F59">
              <w:rPr>
                <w:rFonts w:cs="Arial"/>
                <w:spacing w:val="-4"/>
                <w:sz w:val="18"/>
                <w:szCs w:val="18"/>
              </w:rPr>
              <w:t xml:space="preserve">Národní kulturní památky: </w:t>
            </w:r>
            <w:r w:rsidRPr="006B3F59">
              <w:rPr>
                <w:rFonts w:cs="Arial"/>
                <w:b w:val="0"/>
                <w:spacing w:val="-4"/>
                <w:sz w:val="18"/>
                <w:szCs w:val="18"/>
              </w:rPr>
              <w:t>žádné, podrobněji viz kap. A.III.11</w:t>
            </w:r>
          </w:p>
        </w:tc>
      </w:tr>
      <w:tr w:rsidR="00BE30C9" w:rsidRPr="006B3F59" w14:paraId="2D11DA0A" w14:textId="77777777" w:rsidTr="00B34C98">
        <w:trPr>
          <w:trHeight w:val="23"/>
        </w:trPr>
        <w:tc>
          <w:tcPr>
            <w:tcW w:w="1843" w:type="dxa"/>
            <w:vMerge/>
          </w:tcPr>
          <w:p w14:paraId="486BAB59" w14:textId="77777777" w:rsidR="00BE30C9" w:rsidRPr="006B3F59" w:rsidRDefault="00BE30C9" w:rsidP="00B34C98">
            <w:pPr>
              <w:pStyle w:val="Zkladntext21"/>
              <w:spacing w:before="120"/>
              <w:ind w:firstLine="709"/>
              <w:jc w:val="left"/>
              <w:rPr>
                <w:rFonts w:cs="Arial"/>
                <w:b w:val="0"/>
                <w:sz w:val="18"/>
                <w:szCs w:val="18"/>
              </w:rPr>
            </w:pPr>
          </w:p>
        </w:tc>
        <w:tc>
          <w:tcPr>
            <w:tcW w:w="7367" w:type="dxa"/>
          </w:tcPr>
          <w:p w14:paraId="65993EFC" w14:textId="77777777" w:rsidR="00BE30C9" w:rsidRPr="006B3F59" w:rsidRDefault="00BE30C9" w:rsidP="00CC1516">
            <w:pPr>
              <w:autoSpaceDE w:val="0"/>
              <w:autoSpaceDN w:val="0"/>
              <w:adjustRightInd w:val="0"/>
              <w:spacing w:before="60" w:after="60"/>
              <w:rPr>
                <w:rFonts w:cs="Arial"/>
                <w:spacing w:val="-4"/>
                <w:sz w:val="18"/>
                <w:szCs w:val="18"/>
              </w:rPr>
            </w:pPr>
            <w:r w:rsidRPr="006B3F59">
              <w:rPr>
                <w:rFonts w:cs="Arial"/>
                <w:b/>
                <w:spacing w:val="-4"/>
                <w:sz w:val="18"/>
                <w:szCs w:val="18"/>
              </w:rPr>
              <w:t xml:space="preserve">Nemovité kulturní památky uvedené v Ústředním seznamu kulturních památek ČR: </w:t>
            </w:r>
          </w:p>
          <w:p w14:paraId="43123897" w14:textId="303AF14A" w:rsidR="00BE30C9" w:rsidRPr="006B3F59" w:rsidRDefault="00CF7392" w:rsidP="00CC1516">
            <w:pPr>
              <w:autoSpaceDE w:val="0"/>
              <w:autoSpaceDN w:val="0"/>
              <w:adjustRightInd w:val="0"/>
              <w:spacing w:before="60" w:after="60"/>
              <w:rPr>
                <w:rFonts w:cs="Arial"/>
                <w:sz w:val="18"/>
                <w:szCs w:val="18"/>
              </w:rPr>
            </w:pPr>
            <w:r w:rsidRPr="006B3F59">
              <w:rPr>
                <w:rFonts w:cs="Arial"/>
                <w:sz w:val="18"/>
                <w:szCs w:val="18"/>
              </w:rPr>
              <w:t xml:space="preserve">Viadukt železniční tratě Praha </w:t>
            </w:r>
            <w:r w:rsidR="00C51945" w:rsidRPr="006B3F59">
              <w:rPr>
                <w:rFonts w:cs="Arial"/>
                <w:sz w:val="18"/>
                <w:szCs w:val="18"/>
              </w:rPr>
              <w:t>Bubeneč – Kralupy</w:t>
            </w:r>
            <w:r w:rsidRPr="006B3F59">
              <w:rPr>
                <w:rFonts w:cs="Arial"/>
                <w:sz w:val="18"/>
                <w:szCs w:val="18"/>
              </w:rPr>
              <w:t xml:space="preserve"> nad Vltavou – Děčín, katalogové číslo   č. 1903221187</w:t>
            </w:r>
            <w:r w:rsidR="00BE30C9" w:rsidRPr="006B3F59">
              <w:rPr>
                <w:rFonts w:cs="Arial"/>
                <w:sz w:val="18"/>
                <w:szCs w:val="18"/>
              </w:rPr>
              <w:t>,</w:t>
            </w:r>
            <w:r w:rsidR="00BE30C9" w:rsidRPr="006B3F59">
              <w:rPr>
                <w:rFonts w:cs="Arial"/>
                <w:b/>
                <w:spacing w:val="-4"/>
                <w:sz w:val="18"/>
                <w:szCs w:val="18"/>
              </w:rPr>
              <w:t xml:space="preserve"> </w:t>
            </w:r>
            <w:r w:rsidR="00E13BC6" w:rsidRPr="006B3F59">
              <w:rPr>
                <w:rFonts w:cs="Arial"/>
                <w:bCs/>
                <w:spacing w:val="-4"/>
                <w:sz w:val="18"/>
                <w:szCs w:val="18"/>
              </w:rPr>
              <w:t>bez přímého dotčení,</w:t>
            </w:r>
            <w:r w:rsidR="00E13BC6" w:rsidRPr="006B3F59">
              <w:rPr>
                <w:rFonts w:cs="Arial"/>
                <w:b/>
                <w:spacing w:val="-4"/>
                <w:sz w:val="18"/>
                <w:szCs w:val="18"/>
              </w:rPr>
              <w:t xml:space="preserve"> </w:t>
            </w:r>
            <w:r w:rsidR="00BE30C9" w:rsidRPr="006B3F59">
              <w:rPr>
                <w:rFonts w:cs="Arial"/>
                <w:bCs/>
                <w:spacing w:val="-4"/>
                <w:sz w:val="18"/>
                <w:szCs w:val="18"/>
              </w:rPr>
              <w:t>podrobněji viz kap. A.III.11</w:t>
            </w:r>
          </w:p>
        </w:tc>
      </w:tr>
      <w:tr w:rsidR="00BE30C9" w:rsidRPr="006B3F59" w14:paraId="680E1CF2" w14:textId="77777777" w:rsidTr="00B34C98">
        <w:trPr>
          <w:trHeight w:val="23"/>
        </w:trPr>
        <w:tc>
          <w:tcPr>
            <w:tcW w:w="1843" w:type="dxa"/>
            <w:vMerge/>
          </w:tcPr>
          <w:p w14:paraId="20E67BAA" w14:textId="77777777" w:rsidR="00BE30C9" w:rsidRPr="006B3F59" w:rsidRDefault="00BE30C9" w:rsidP="00B34C98">
            <w:pPr>
              <w:pStyle w:val="Zkladntext21"/>
              <w:spacing w:before="120"/>
              <w:ind w:firstLine="709"/>
              <w:jc w:val="left"/>
              <w:rPr>
                <w:rFonts w:cs="Arial"/>
                <w:b w:val="0"/>
                <w:sz w:val="18"/>
                <w:szCs w:val="18"/>
              </w:rPr>
            </w:pPr>
            <w:bookmarkStart w:id="157" w:name="_Hlk125027446"/>
          </w:p>
        </w:tc>
        <w:tc>
          <w:tcPr>
            <w:tcW w:w="7367" w:type="dxa"/>
          </w:tcPr>
          <w:p w14:paraId="4522EDEB" w14:textId="097B4607" w:rsidR="00BE30C9" w:rsidRPr="006B3F59" w:rsidRDefault="00BE30C9" w:rsidP="00CC1516">
            <w:pPr>
              <w:autoSpaceDE w:val="0"/>
              <w:autoSpaceDN w:val="0"/>
              <w:adjustRightInd w:val="0"/>
              <w:spacing w:before="60" w:after="60"/>
              <w:rPr>
                <w:rFonts w:cs="Arial"/>
                <w:b/>
                <w:spacing w:val="-4"/>
                <w:sz w:val="18"/>
                <w:szCs w:val="18"/>
              </w:rPr>
            </w:pPr>
            <w:r w:rsidRPr="006B3F59">
              <w:rPr>
                <w:rFonts w:cs="Arial"/>
                <w:b/>
                <w:bCs/>
                <w:sz w:val="18"/>
                <w:szCs w:val="18"/>
              </w:rPr>
              <w:t>Území s archeologickými nálezy:</w:t>
            </w:r>
            <w:r w:rsidRPr="006B3F59">
              <w:rPr>
                <w:rFonts w:cs="Arial"/>
                <w:sz w:val="18"/>
                <w:szCs w:val="18"/>
              </w:rPr>
              <w:t xml:space="preserve"> </w:t>
            </w:r>
            <w:r w:rsidRPr="006B3F59">
              <w:rPr>
                <w:rFonts w:cs="Arial"/>
                <w:spacing w:val="-2"/>
                <w:sz w:val="18"/>
                <w:szCs w:val="18"/>
              </w:rPr>
              <w:t>ÚAN kategorie II, III. a IV. podrobněji</w:t>
            </w:r>
            <w:r w:rsidRPr="006B3F59">
              <w:rPr>
                <w:rFonts w:cs="Arial"/>
                <w:bCs/>
                <w:spacing w:val="-4"/>
                <w:sz w:val="18"/>
                <w:szCs w:val="18"/>
              </w:rPr>
              <w:t xml:space="preserve"> viz kap. A.III.11</w:t>
            </w:r>
          </w:p>
        </w:tc>
      </w:tr>
      <w:tr w:rsidR="00BE30C9" w:rsidRPr="006B3F59" w14:paraId="7A2CCAC3" w14:textId="77777777" w:rsidTr="00B34C98">
        <w:trPr>
          <w:trHeight w:val="267"/>
        </w:trPr>
        <w:tc>
          <w:tcPr>
            <w:tcW w:w="1843" w:type="dxa"/>
            <w:vMerge w:val="restart"/>
            <w:shd w:val="clear" w:color="auto" w:fill="auto"/>
          </w:tcPr>
          <w:p w14:paraId="0079622F" w14:textId="7BB06259" w:rsidR="00BE30C9" w:rsidRPr="006B3F59" w:rsidRDefault="00BE30C9" w:rsidP="00B34C98">
            <w:pPr>
              <w:pStyle w:val="Zkladntext21"/>
              <w:spacing w:before="120"/>
              <w:jc w:val="left"/>
              <w:rPr>
                <w:rFonts w:cs="Arial"/>
                <w:b w:val="0"/>
                <w:sz w:val="18"/>
                <w:szCs w:val="18"/>
              </w:rPr>
            </w:pPr>
            <w:r w:rsidRPr="006B3F59">
              <w:rPr>
                <w:rFonts w:cs="Arial"/>
                <w:sz w:val="18"/>
                <w:szCs w:val="18"/>
              </w:rPr>
              <w:t xml:space="preserve">Přírodní a přírodně-civilizační hodnoty/limity území </w:t>
            </w:r>
            <w:r w:rsidRPr="006B3F59">
              <w:rPr>
                <w:rFonts w:cs="Arial"/>
                <w:b w:val="0"/>
                <w:sz w:val="18"/>
                <w:szCs w:val="18"/>
              </w:rPr>
              <w:t xml:space="preserve"> </w:t>
            </w:r>
          </w:p>
        </w:tc>
        <w:tc>
          <w:tcPr>
            <w:tcW w:w="7367" w:type="dxa"/>
          </w:tcPr>
          <w:p w14:paraId="4BB858A0" w14:textId="4E6F7233" w:rsidR="00BE30C9" w:rsidRPr="006B3F59" w:rsidRDefault="00BE30C9" w:rsidP="00CC1516">
            <w:pPr>
              <w:pStyle w:val="Zkladntext21"/>
              <w:spacing w:before="60" w:after="60"/>
              <w:jc w:val="left"/>
              <w:rPr>
                <w:rFonts w:cs="Arial"/>
                <w:sz w:val="18"/>
                <w:szCs w:val="18"/>
              </w:rPr>
            </w:pPr>
            <w:r w:rsidRPr="006B3F59">
              <w:rPr>
                <w:rFonts w:cs="Arial"/>
                <w:sz w:val="18"/>
                <w:szCs w:val="18"/>
              </w:rPr>
              <w:t xml:space="preserve">Maloplošná zvláště chráněná území: </w:t>
            </w:r>
            <w:r w:rsidR="00CF7392" w:rsidRPr="006B3F59">
              <w:rPr>
                <w:rFonts w:cs="Arial"/>
                <w:b w:val="0"/>
                <w:sz w:val="18"/>
                <w:szCs w:val="18"/>
              </w:rPr>
              <w:t>PP Baba</w:t>
            </w:r>
            <w:r w:rsidRPr="006B3F59">
              <w:rPr>
                <w:rFonts w:cs="Arial"/>
                <w:b w:val="0"/>
                <w:sz w:val="18"/>
                <w:szCs w:val="18"/>
              </w:rPr>
              <w:t xml:space="preserve">, </w:t>
            </w:r>
            <w:r w:rsidR="00C46457" w:rsidRPr="006B3F59">
              <w:rPr>
                <w:rFonts w:cs="Arial"/>
                <w:b w:val="0"/>
                <w:sz w:val="18"/>
                <w:szCs w:val="18"/>
              </w:rPr>
              <w:t xml:space="preserve">PP Podbabské skály </w:t>
            </w:r>
            <w:r w:rsidRPr="006B3F59">
              <w:rPr>
                <w:rFonts w:cs="Arial"/>
                <w:b w:val="0"/>
                <w:sz w:val="18"/>
                <w:szCs w:val="18"/>
              </w:rPr>
              <w:t>podrobněji viz kap A.III.3</w:t>
            </w:r>
          </w:p>
        </w:tc>
      </w:tr>
      <w:tr w:rsidR="00BE30C9" w:rsidRPr="006B3F59" w14:paraId="1C4E5553" w14:textId="77777777" w:rsidTr="00B34C98">
        <w:trPr>
          <w:trHeight w:val="23"/>
        </w:trPr>
        <w:tc>
          <w:tcPr>
            <w:tcW w:w="1843" w:type="dxa"/>
            <w:vMerge/>
            <w:shd w:val="clear" w:color="auto" w:fill="auto"/>
          </w:tcPr>
          <w:p w14:paraId="236BA1F0" w14:textId="77777777" w:rsidR="00BE30C9" w:rsidRPr="006B3F59" w:rsidRDefault="00BE30C9" w:rsidP="00B34C98">
            <w:pPr>
              <w:pStyle w:val="Zkladntext21"/>
              <w:spacing w:before="120"/>
              <w:jc w:val="left"/>
              <w:rPr>
                <w:rFonts w:cs="Arial"/>
                <w:sz w:val="18"/>
                <w:szCs w:val="18"/>
              </w:rPr>
            </w:pPr>
          </w:p>
        </w:tc>
        <w:tc>
          <w:tcPr>
            <w:tcW w:w="7367" w:type="dxa"/>
          </w:tcPr>
          <w:p w14:paraId="73303AD8" w14:textId="3D2E4A22" w:rsidR="00BE30C9" w:rsidRPr="006B3F59" w:rsidRDefault="00BE30C9" w:rsidP="00CC1516">
            <w:pPr>
              <w:pStyle w:val="Zkladntext21"/>
              <w:spacing w:before="60" w:after="60"/>
              <w:jc w:val="left"/>
              <w:rPr>
                <w:rFonts w:cs="Arial"/>
                <w:sz w:val="18"/>
                <w:szCs w:val="18"/>
              </w:rPr>
            </w:pPr>
            <w:r w:rsidRPr="006B3F59">
              <w:rPr>
                <w:rFonts w:cs="Arial"/>
                <w:sz w:val="18"/>
                <w:szCs w:val="18"/>
              </w:rPr>
              <w:t xml:space="preserve">Natura 2000: </w:t>
            </w:r>
            <w:r w:rsidR="00CF7392" w:rsidRPr="006B3F59">
              <w:rPr>
                <w:rFonts w:cs="Arial"/>
                <w:b w:val="0"/>
                <w:bCs/>
                <w:sz w:val="18"/>
                <w:szCs w:val="18"/>
              </w:rPr>
              <w:t>EVL Kaňon Vltavy u Sedlce</w:t>
            </w:r>
            <w:r w:rsidRPr="006B3F59">
              <w:rPr>
                <w:rFonts w:cs="Arial"/>
                <w:b w:val="0"/>
                <w:sz w:val="18"/>
                <w:szCs w:val="18"/>
              </w:rPr>
              <w:t>, podrobněji viz kap. AIII.3</w:t>
            </w:r>
          </w:p>
        </w:tc>
      </w:tr>
      <w:tr w:rsidR="00BE30C9" w:rsidRPr="006B3F59" w14:paraId="423E48BB" w14:textId="77777777" w:rsidTr="00B34C98">
        <w:trPr>
          <w:trHeight w:val="23"/>
        </w:trPr>
        <w:tc>
          <w:tcPr>
            <w:tcW w:w="1843" w:type="dxa"/>
            <w:vMerge/>
          </w:tcPr>
          <w:p w14:paraId="042C1784" w14:textId="77777777" w:rsidR="00BE30C9" w:rsidRPr="006B3F59" w:rsidRDefault="00BE30C9" w:rsidP="00B34C98">
            <w:pPr>
              <w:pStyle w:val="Zkladntext21"/>
              <w:spacing w:before="120"/>
              <w:ind w:firstLine="709"/>
              <w:jc w:val="left"/>
              <w:rPr>
                <w:rFonts w:cs="Arial"/>
                <w:b w:val="0"/>
                <w:sz w:val="18"/>
                <w:szCs w:val="18"/>
              </w:rPr>
            </w:pPr>
          </w:p>
        </w:tc>
        <w:tc>
          <w:tcPr>
            <w:tcW w:w="7367" w:type="dxa"/>
          </w:tcPr>
          <w:p w14:paraId="2A8EC592" w14:textId="77777777" w:rsidR="00BE30C9" w:rsidRPr="006B3F59" w:rsidRDefault="00BE30C9" w:rsidP="00CC1516">
            <w:pPr>
              <w:pStyle w:val="Zkladntext21"/>
              <w:spacing w:before="60" w:after="60"/>
              <w:jc w:val="left"/>
              <w:rPr>
                <w:rFonts w:cs="Arial"/>
                <w:b w:val="0"/>
                <w:sz w:val="18"/>
                <w:szCs w:val="18"/>
              </w:rPr>
            </w:pPr>
            <w:r w:rsidRPr="006B3F59">
              <w:rPr>
                <w:rFonts w:cs="Arial"/>
                <w:sz w:val="18"/>
                <w:szCs w:val="18"/>
              </w:rPr>
              <w:t xml:space="preserve">Velkoplošná zvláště chráněná území: </w:t>
            </w:r>
            <w:r w:rsidRPr="006B3F59">
              <w:rPr>
                <w:rFonts w:cs="Arial"/>
                <w:b w:val="0"/>
                <w:sz w:val="18"/>
                <w:szCs w:val="18"/>
              </w:rPr>
              <w:t>žádné</w:t>
            </w:r>
          </w:p>
        </w:tc>
      </w:tr>
      <w:tr w:rsidR="00BE30C9" w:rsidRPr="006B3F59" w14:paraId="589A567A" w14:textId="77777777" w:rsidTr="00B34C98">
        <w:trPr>
          <w:trHeight w:val="23"/>
        </w:trPr>
        <w:tc>
          <w:tcPr>
            <w:tcW w:w="1843" w:type="dxa"/>
            <w:vMerge/>
          </w:tcPr>
          <w:p w14:paraId="6A790DD7" w14:textId="77777777" w:rsidR="00BE30C9" w:rsidRPr="006B3F59" w:rsidRDefault="00BE30C9" w:rsidP="00B34C98">
            <w:pPr>
              <w:pStyle w:val="Zkladntext21"/>
              <w:spacing w:before="120"/>
              <w:ind w:firstLine="709"/>
              <w:jc w:val="left"/>
              <w:rPr>
                <w:rFonts w:cs="Arial"/>
                <w:b w:val="0"/>
                <w:sz w:val="18"/>
                <w:szCs w:val="18"/>
              </w:rPr>
            </w:pPr>
          </w:p>
        </w:tc>
        <w:tc>
          <w:tcPr>
            <w:tcW w:w="7367" w:type="dxa"/>
          </w:tcPr>
          <w:p w14:paraId="4114DE20" w14:textId="73C8E93D" w:rsidR="00BE30C9" w:rsidRPr="006B3F59" w:rsidRDefault="00BE30C9" w:rsidP="00CC1516">
            <w:pPr>
              <w:pStyle w:val="Zkladntext21"/>
              <w:spacing w:before="60" w:after="60"/>
              <w:jc w:val="left"/>
              <w:rPr>
                <w:rFonts w:cs="Arial"/>
                <w:spacing w:val="-4"/>
                <w:sz w:val="18"/>
                <w:szCs w:val="18"/>
              </w:rPr>
            </w:pPr>
            <w:r w:rsidRPr="006B3F59">
              <w:rPr>
                <w:rFonts w:cs="Arial"/>
                <w:sz w:val="18"/>
                <w:szCs w:val="18"/>
              </w:rPr>
              <w:t xml:space="preserve">Registrované VKP: </w:t>
            </w:r>
            <w:r w:rsidR="00867AFE" w:rsidRPr="006B3F59">
              <w:rPr>
                <w:rFonts w:cs="Arial"/>
                <w:b w:val="0"/>
                <w:spacing w:val="-4"/>
                <w:sz w:val="18"/>
                <w:szCs w:val="18"/>
              </w:rPr>
              <w:t>žádné</w:t>
            </w:r>
            <w:r w:rsidR="00CE17A2" w:rsidRPr="006B3F59">
              <w:rPr>
                <w:rFonts w:cs="Arial"/>
                <w:b w:val="0"/>
                <w:spacing w:val="-4"/>
                <w:sz w:val="18"/>
                <w:szCs w:val="18"/>
              </w:rPr>
              <w:t xml:space="preserve">, </w:t>
            </w:r>
            <w:r w:rsidR="00CE17A2" w:rsidRPr="006B3F59">
              <w:rPr>
                <w:rFonts w:cs="Arial"/>
                <w:b w:val="0"/>
                <w:sz w:val="18"/>
                <w:szCs w:val="18"/>
              </w:rPr>
              <w:t>podrobněji viz kap. AIII.3 a A.V.7</w:t>
            </w:r>
          </w:p>
        </w:tc>
      </w:tr>
      <w:tr w:rsidR="00BE30C9" w:rsidRPr="006B3F59" w14:paraId="480CBABB" w14:textId="77777777" w:rsidTr="00B34C98">
        <w:trPr>
          <w:trHeight w:val="23"/>
        </w:trPr>
        <w:tc>
          <w:tcPr>
            <w:tcW w:w="1843" w:type="dxa"/>
            <w:vMerge/>
          </w:tcPr>
          <w:p w14:paraId="33F472E4" w14:textId="77777777" w:rsidR="00BE30C9" w:rsidRPr="006B3F59" w:rsidRDefault="00BE30C9" w:rsidP="00B34C98">
            <w:pPr>
              <w:pStyle w:val="Zkladntext21"/>
              <w:spacing w:before="120"/>
              <w:ind w:firstLine="709"/>
              <w:jc w:val="left"/>
              <w:rPr>
                <w:rFonts w:cs="Arial"/>
                <w:b w:val="0"/>
                <w:sz w:val="18"/>
                <w:szCs w:val="18"/>
              </w:rPr>
            </w:pPr>
          </w:p>
        </w:tc>
        <w:tc>
          <w:tcPr>
            <w:tcW w:w="7367" w:type="dxa"/>
          </w:tcPr>
          <w:p w14:paraId="43E8763C" w14:textId="08C93789" w:rsidR="00BE30C9" w:rsidRPr="006B3F59" w:rsidRDefault="00BE30C9" w:rsidP="00CC1516">
            <w:pPr>
              <w:pStyle w:val="Zkladntext21"/>
              <w:spacing w:before="60" w:after="60"/>
              <w:jc w:val="left"/>
              <w:rPr>
                <w:rFonts w:cs="Arial"/>
                <w:spacing w:val="-4"/>
                <w:sz w:val="18"/>
                <w:szCs w:val="18"/>
              </w:rPr>
            </w:pPr>
            <w:r w:rsidRPr="006B3F59">
              <w:rPr>
                <w:rFonts w:cs="Arial"/>
                <w:spacing w:val="-4"/>
                <w:sz w:val="18"/>
                <w:szCs w:val="18"/>
              </w:rPr>
              <w:t xml:space="preserve">VKP ze zákona: </w:t>
            </w:r>
            <w:r w:rsidR="00867AFE" w:rsidRPr="006B3F59">
              <w:rPr>
                <w:rFonts w:cs="Arial"/>
                <w:spacing w:val="-4"/>
                <w:sz w:val="18"/>
                <w:szCs w:val="18"/>
              </w:rPr>
              <w:t>Niva Vltavy</w:t>
            </w:r>
            <w:r w:rsidRPr="006B3F59">
              <w:rPr>
                <w:rFonts w:cs="Arial"/>
                <w:b w:val="0"/>
                <w:spacing w:val="-4"/>
                <w:sz w:val="18"/>
                <w:szCs w:val="18"/>
              </w:rPr>
              <w:t xml:space="preserve">, </w:t>
            </w:r>
            <w:r w:rsidRPr="006B3F59">
              <w:rPr>
                <w:rFonts w:cs="Arial"/>
                <w:b w:val="0"/>
                <w:sz w:val="18"/>
                <w:szCs w:val="18"/>
              </w:rPr>
              <w:t>podrobněji viz kap. AIII.3 a A.V.7</w:t>
            </w:r>
          </w:p>
        </w:tc>
      </w:tr>
      <w:tr w:rsidR="00BE30C9" w:rsidRPr="006B3F59" w14:paraId="65F26D92" w14:textId="77777777" w:rsidTr="00B34C98">
        <w:trPr>
          <w:trHeight w:val="23"/>
        </w:trPr>
        <w:tc>
          <w:tcPr>
            <w:tcW w:w="1843" w:type="dxa"/>
            <w:vMerge/>
          </w:tcPr>
          <w:p w14:paraId="2B647718" w14:textId="77777777" w:rsidR="00BE30C9" w:rsidRPr="006B3F59" w:rsidRDefault="00BE30C9" w:rsidP="00B34C98">
            <w:pPr>
              <w:pStyle w:val="Zkladntext21"/>
              <w:spacing w:before="120"/>
              <w:ind w:firstLine="709"/>
              <w:jc w:val="left"/>
              <w:rPr>
                <w:rFonts w:cs="Arial"/>
                <w:b w:val="0"/>
                <w:sz w:val="18"/>
                <w:szCs w:val="18"/>
              </w:rPr>
            </w:pPr>
          </w:p>
        </w:tc>
        <w:tc>
          <w:tcPr>
            <w:tcW w:w="7367" w:type="dxa"/>
          </w:tcPr>
          <w:p w14:paraId="4839A16B" w14:textId="1C582136" w:rsidR="00BE30C9" w:rsidRPr="006B3F59" w:rsidRDefault="00BE30C9" w:rsidP="00CC1516">
            <w:pPr>
              <w:spacing w:before="60" w:after="60"/>
              <w:rPr>
                <w:rFonts w:cs="Arial"/>
                <w:b/>
                <w:sz w:val="18"/>
                <w:szCs w:val="18"/>
              </w:rPr>
            </w:pPr>
            <w:r w:rsidRPr="006B3F59">
              <w:rPr>
                <w:rFonts w:cs="Arial"/>
                <w:b/>
                <w:bCs/>
                <w:sz w:val="18"/>
                <w:szCs w:val="18"/>
              </w:rPr>
              <w:t xml:space="preserve">Prvky ÚSES vymezené v ZÚR a v platném územním plánu: </w:t>
            </w:r>
            <w:r w:rsidR="00CE17A2" w:rsidRPr="006B3F59">
              <w:rPr>
                <w:rFonts w:cs="Arial"/>
                <w:b/>
                <w:bCs/>
                <w:sz w:val="18"/>
                <w:szCs w:val="18"/>
              </w:rPr>
              <w:t>ochranné pásmo NRBK</w:t>
            </w:r>
            <w:r w:rsidR="00CF7392" w:rsidRPr="006B3F59">
              <w:rPr>
                <w:rFonts w:cs="Arial"/>
                <w:b/>
                <w:bCs/>
                <w:sz w:val="18"/>
                <w:szCs w:val="18"/>
              </w:rPr>
              <w:t xml:space="preserve"> podél</w:t>
            </w:r>
            <w:r w:rsidR="00CF7392" w:rsidRPr="006B3F59">
              <w:rPr>
                <w:rFonts w:cs="Arial"/>
                <w:b/>
                <w:sz w:val="18"/>
                <w:szCs w:val="18"/>
              </w:rPr>
              <w:t xml:space="preserve"> Vltavy</w:t>
            </w:r>
            <w:r w:rsidR="00CE17A2" w:rsidRPr="006B3F59">
              <w:rPr>
                <w:rFonts w:cs="Arial"/>
                <w:spacing w:val="-4"/>
                <w:sz w:val="18"/>
                <w:szCs w:val="18"/>
              </w:rPr>
              <w:t>,</w:t>
            </w:r>
            <w:r w:rsidR="00F439F2" w:rsidRPr="006B3F59">
              <w:rPr>
                <w:rFonts w:cs="Arial"/>
                <w:sz w:val="18"/>
                <w:szCs w:val="18"/>
              </w:rPr>
              <w:t xml:space="preserve"> v oblasti Výhledů funkční nadregionálním biokoridor N3/9, který navazuje na biocentrum L1/165 severně od Kamýcké ulice</w:t>
            </w:r>
            <w:r w:rsidR="00F439F2" w:rsidRPr="006B3F59">
              <w:rPr>
                <w:rFonts w:cs="Arial"/>
                <w:sz w:val="18"/>
                <w:szCs w:val="18"/>
                <w:lang w:eastAsia="cs-CZ"/>
              </w:rPr>
              <w:t xml:space="preserve"> změnou je vloženo nové lokálního biocentrum (označené L1/428) do tohoto biokoridoru. Korekce hranice ÚSES severně od ulice Kamýcké a v novém Sedlci je pouze opravou nepřesnosti. </w:t>
            </w:r>
            <w:r w:rsidR="00CE17A2" w:rsidRPr="006B3F59">
              <w:rPr>
                <w:rFonts w:cs="Arial"/>
                <w:spacing w:val="-4"/>
                <w:sz w:val="18"/>
                <w:szCs w:val="18"/>
              </w:rPr>
              <w:t xml:space="preserve"> </w:t>
            </w:r>
            <w:r w:rsidR="00CE17A2" w:rsidRPr="006B3F59">
              <w:rPr>
                <w:rFonts w:cs="Arial"/>
                <w:sz w:val="18"/>
                <w:szCs w:val="18"/>
              </w:rPr>
              <w:t>podrobněji viz kap. AIII.3 a A.V.7</w:t>
            </w:r>
          </w:p>
        </w:tc>
      </w:tr>
      <w:tr w:rsidR="00BE30C9" w:rsidRPr="006B3F59" w14:paraId="7BD73FAA" w14:textId="77777777" w:rsidTr="00B34C98">
        <w:trPr>
          <w:trHeight w:val="23"/>
        </w:trPr>
        <w:tc>
          <w:tcPr>
            <w:tcW w:w="1843" w:type="dxa"/>
            <w:vMerge/>
          </w:tcPr>
          <w:p w14:paraId="206262DE" w14:textId="77777777" w:rsidR="00BE30C9" w:rsidRPr="006B3F59" w:rsidRDefault="00BE30C9" w:rsidP="00B34C98">
            <w:pPr>
              <w:pStyle w:val="Zkladntext21"/>
              <w:spacing w:before="120"/>
              <w:ind w:firstLine="709"/>
              <w:jc w:val="left"/>
              <w:rPr>
                <w:rFonts w:cs="Arial"/>
                <w:b w:val="0"/>
                <w:sz w:val="18"/>
                <w:szCs w:val="18"/>
              </w:rPr>
            </w:pPr>
          </w:p>
        </w:tc>
        <w:tc>
          <w:tcPr>
            <w:tcW w:w="7367" w:type="dxa"/>
          </w:tcPr>
          <w:p w14:paraId="7977968B" w14:textId="31785656" w:rsidR="00BE30C9" w:rsidRPr="006B3F59" w:rsidRDefault="00BE30C9" w:rsidP="00CC1516">
            <w:pPr>
              <w:pStyle w:val="Zkladntext21"/>
              <w:spacing w:before="60" w:after="60"/>
              <w:rPr>
                <w:rFonts w:cs="Arial"/>
                <w:sz w:val="18"/>
                <w:szCs w:val="18"/>
              </w:rPr>
            </w:pPr>
            <w:r w:rsidRPr="006B3F59">
              <w:rPr>
                <w:rFonts w:cs="Arial"/>
                <w:sz w:val="18"/>
                <w:szCs w:val="18"/>
              </w:rPr>
              <w:t>Přírodní park:</w:t>
            </w:r>
            <w:r w:rsidRPr="006B3F59">
              <w:rPr>
                <w:rFonts w:cs="Arial"/>
                <w:b w:val="0"/>
                <w:sz w:val="18"/>
                <w:szCs w:val="18"/>
              </w:rPr>
              <w:t xml:space="preserve"> </w:t>
            </w:r>
            <w:r w:rsidR="006B62C8" w:rsidRPr="006B3F59">
              <w:rPr>
                <w:rFonts w:cs="Arial"/>
                <w:b w:val="0"/>
                <w:spacing w:val="-4"/>
                <w:sz w:val="18"/>
                <w:szCs w:val="18"/>
              </w:rPr>
              <w:t>PP Šárka – Lysolaje, b</w:t>
            </w:r>
            <w:r w:rsidR="009D252F" w:rsidRPr="006B3F59">
              <w:rPr>
                <w:rFonts w:cs="Arial"/>
                <w:b w:val="0"/>
                <w:spacing w:val="-4"/>
                <w:sz w:val="18"/>
                <w:szCs w:val="18"/>
              </w:rPr>
              <w:t>e</w:t>
            </w:r>
            <w:r w:rsidR="006B62C8" w:rsidRPr="006B3F59">
              <w:rPr>
                <w:rFonts w:cs="Arial"/>
                <w:b w:val="0"/>
                <w:spacing w:val="-4"/>
                <w:sz w:val="18"/>
                <w:szCs w:val="18"/>
              </w:rPr>
              <w:t>z přímého střetu, sousedí v </w:t>
            </w:r>
            <w:r w:rsidR="00C51945" w:rsidRPr="006B3F59">
              <w:rPr>
                <w:rFonts w:cs="Arial"/>
                <w:b w:val="0"/>
                <w:spacing w:val="-4"/>
                <w:sz w:val="18"/>
                <w:szCs w:val="18"/>
              </w:rPr>
              <w:t>úseku mezi</w:t>
            </w:r>
            <w:r w:rsidR="006B62C8" w:rsidRPr="006B3F59">
              <w:rPr>
                <w:rFonts w:cs="Arial"/>
                <w:b w:val="0"/>
                <w:spacing w:val="-4"/>
                <w:sz w:val="18"/>
                <w:szCs w:val="18"/>
              </w:rPr>
              <w:t xml:space="preserve"> ulicí V Podbabě a Majorkou, západní hranici tvoří železniční trať, vizuální souvislost </w:t>
            </w:r>
            <w:r w:rsidR="009D252F" w:rsidRPr="006B3F59">
              <w:rPr>
                <w:rFonts w:cs="Arial"/>
                <w:b w:val="0"/>
                <w:spacing w:val="-4"/>
                <w:sz w:val="18"/>
                <w:szCs w:val="18"/>
              </w:rPr>
              <w:t>P</w:t>
            </w:r>
            <w:r w:rsidR="006B62C8" w:rsidRPr="006B3F59">
              <w:rPr>
                <w:rFonts w:cs="Arial"/>
                <w:b w:val="0"/>
                <w:spacing w:val="-4"/>
                <w:sz w:val="18"/>
                <w:szCs w:val="18"/>
              </w:rPr>
              <w:t>odbabských skal</w:t>
            </w:r>
            <w:r w:rsidR="009D252F" w:rsidRPr="006B3F59">
              <w:rPr>
                <w:rFonts w:cs="Arial"/>
                <w:b w:val="0"/>
                <w:spacing w:val="-4"/>
                <w:sz w:val="18"/>
                <w:szCs w:val="18"/>
              </w:rPr>
              <w:t xml:space="preserve">, resp. </w:t>
            </w:r>
            <w:r w:rsidR="009D252F" w:rsidRPr="006B3F59">
              <w:rPr>
                <w:rFonts w:cs="Arial"/>
                <w:b w:val="0"/>
                <w:spacing w:val="-4"/>
                <w:sz w:val="18"/>
                <w:szCs w:val="18"/>
              </w:rPr>
              <w:lastRenderedPageBreak/>
              <w:t xml:space="preserve">Baby </w:t>
            </w:r>
            <w:r w:rsidR="006B62C8" w:rsidRPr="006B3F59">
              <w:rPr>
                <w:rFonts w:cs="Arial"/>
                <w:b w:val="0"/>
                <w:spacing w:val="-4"/>
                <w:sz w:val="18"/>
                <w:szCs w:val="18"/>
              </w:rPr>
              <w:t>s nově vloženou železniční tratí v kontextu stávajících dopravních staveb – železnice a ulice Podbabská</w:t>
            </w:r>
            <w:r w:rsidR="00CE17A2" w:rsidRPr="006B3F59">
              <w:rPr>
                <w:rFonts w:cs="Arial"/>
                <w:b w:val="0"/>
                <w:spacing w:val="-4"/>
                <w:sz w:val="18"/>
                <w:szCs w:val="18"/>
              </w:rPr>
              <w:t xml:space="preserve">, </w:t>
            </w:r>
            <w:r w:rsidR="00CE17A2" w:rsidRPr="006B3F59">
              <w:rPr>
                <w:rFonts w:cs="Arial"/>
                <w:b w:val="0"/>
                <w:sz w:val="18"/>
                <w:szCs w:val="18"/>
              </w:rPr>
              <w:t>podrobněji viz kap. AIII.3 a A.V.7</w:t>
            </w:r>
          </w:p>
        </w:tc>
      </w:tr>
      <w:tr w:rsidR="00BE30C9" w:rsidRPr="006B3F59" w14:paraId="3018675B" w14:textId="77777777" w:rsidTr="00B34C98">
        <w:trPr>
          <w:trHeight w:val="23"/>
        </w:trPr>
        <w:tc>
          <w:tcPr>
            <w:tcW w:w="1843" w:type="dxa"/>
            <w:vMerge/>
          </w:tcPr>
          <w:p w14:paraId="0BB24FA0" w14:textId="77777777" w:rsidR="00BE30C9" w:rsidRPr="006B3F59" w:rsidRDefault="00BE30C9" w:rsidP="00B34C98">
            <w:pPr>
              <w:pStyle w:val="Zkladntext21"/>
              <w:spacing w:before="120"/>
              <w:jc w:val="left"/>
              <w:rPr>
                <w:rFonts w:cs="Arial"/>
                <w:sz w:val="18"/>
                <w:szCs w:val="18"/>
              </w:rPr>
            </w:pPr>
          </w:p>
        </w:tc>
        <w:tc>
          <w:tcPr>
            <w:tcW w:w="7367" w:type="dxa"/>
          </w:tcPr>
          <w:p w14:paraId="52A57222" w14:textId="6A88681D" w:rsidR="00BE30C9" w:rsidRPr="006B3F59" w:rsidRDefault="00BE30C9" w:rsidP="00CC1516">
            <w:pPr>
              <w:pStyle w:val="Zkladntext21"/>
              <w:spacing w:before="60" w:after="60"/>
              <w:jc w:val="left"/>
              <w:rPr>
                <w:rFonts w:cs="Arial"/>
                <w:b w:val="0"/>
                <w:sz w:val="18"/>
                <w:szCs w:val="18"/>
              </w:rPr>
            </w:pPr>
            <w:r w:rsidRPr="006B3F59">
              <w:rPr>
                <w:rFonts w:cs="Arial"/>
                <w:sz w:val="18"/>
                <w:szCs w:val="18"/>
              </w:rPr>
              <w:t>Památné stromy:</w:t>
            </w:r>
            <w:r w:rsidRPr="006B3F59">
              <w:rPr>
                <w:rFonts w:cs="Arial"/>
                <w:b w:val="0"/>
                <w:sz w:val="18"/>
                <w:szCs w:val="18"/>
              </w:rPr>
              <w:t xml:space="preserve"> </w:t>
            </w:r>
            <w:r w:rsidR="00CE17A2" w:rsidRPr="006B3F59">
              <w:rPr>
                <w:rFonts w:cs="Arial"/>
                <w:b w:val="0"/>
                <w:spacing w:val="-4"/>
                <w:sz w:val="18"/>
                <w:szCs w:val="18"/>
              </w:rPr>
              <w:t xml:space="preserve">žádné, </w:t>
            </w:r>
            <w:r w:rsidR="00CE17A2" w:rsidRPr="006B3F59">
              <w:rPr>
                <w:rFonts w:cs="Arial"/>
                <w:b w:val="0"/>
                <w:sz w:val="18"/>
                <w:szCs w:val="18"/>
              </w:rPr>
              <w:t>podrobněji viz kap. AIII.3 a A.V.7</w:t>
            </w:r>
          </w:p>
        </w:tc>
      </w:tr>
      <w:tr w:rsidR="00BE30C9" w:rsidRPr="006B3F59" w14:paraId="027AFEC6" w14:textId="77777777" w:rsidTr="00CC1516">
        <w:trPr>
          <w:trHeight w:val="206"/>
        </w:trPr>
        <w:tc>
          <w:tcPr>
            <w:tcW w:w="1843" w:type="dxa"/>
            <w:vMerge/>
          </w:tcPr>
          <w:p w14:paraId="3341E234" w14:textId="77777777" w:rsidR="00BE30C9" w:rsidRPr="006B3F59" w:rsidRDefault="00BE30C9" w:rsidP="00B34C98">
            <w:pPr>
              <w:pStyle w:val="Zkladntext21"/>
              <w:spacing w:before="120"/>
              <w:jc w:val="left"/>
              <w:rPr>
                <w:rFonts w:cs="Arial"/>
                <w:sz w:val="18"/>
                <w:szCs w:val="18"/>
              </w:rPr>
            </w:pPr>
          </w:p>
        </w:tc>
        <w:tc>
          <w:tcPr>
            <w:tcW w:w="7367" w:type="dxa"/>
          </w:tcPr>
          <w:p w14:paraId="018FBE0F" w14:textId="7FFB136F" w:rsidR="00BE30C9" w:rsidRPr="006B3F59" w:rsidRDefault="00BE30C9" w:rsidP="00CC1516">
            <w:pPr>
              <w:pStyle w:val="Zkladntext21"/>
              <w:spacing w:before="60" w:after="60"/>
              <w:jc w:val="left"/>
              <w:rPr>
                <w:rFonts w:cs="Arial"/>
                <w:b w:val="0"/>
                <w:sz w:val="18"/>
                <w:szCs w:val="18"/>
              </w:rPr>
            </w:pPr>
            <w:r w:rsidRPr="006B3F59">
              <w:rPr>
                <w:rFonts w:cs="Arial"/>
                <w:spacing w:val="-4"/>
                <w:sz w:val="18"/>
                <w:szCs w:val="18"/>
              </w:rPr>
              <w:t xml:space="preserve">Vodní toky: </w:t>
            </w:r>
            <w:r w:rsidR="00CE17A2" w:rsidRPr="006B3F59">
              <w:rPr>
                <w:rFonts w:cs="Arial"/>
                <w:b w:val="0"/>
                <w:spacing w:val="-4"/>
                <w:sz w:val="18"/>
                <w:szCs w:val="18"/>
              </w:rPr>
              <w:t>žádné</w:t>
            </w:r>
            <w:r w:rsidRPr="006B3F59">
              <w:rPr>
                <w:rFonts w:cs="Arial"/>
                <w:b w:val="0"/>
                <w:spacing w:val="-4"/>
                <w:sz w:val="18"/>
                <w:szCs w:val="18"/>
              </w:rPr>
              <w:t xml:space="preserve">, </w:t>
            </w:r>
            <w:r w:rsidRPr="006B3F59">
              <w:rPr>
                <w:rFonts w:cs="Arial"/>
                <w:b w:val="0"/>
                <w:sz w:val="18"/>
                <w:szCs w:val="18"/>
              </w:rPr>
              <w:t>podrobněji viz kap. AIII.6 a A.V.2</w:t>
            </w:r>
          </w:p>
        </w:tc>
      </w:tr>
      <w:tr w:rsidR="00BE30C9" w:rsidRPr="006B3F59" w14:paraId="3F5DD53A" w14:textId="77777777" w:rsidTr="00B34C98">
        <w:trPr>
          <w:trHeight w:val="23"/>
        </w:trPr>
        <w:tc>
          <w:tcPr>
            <w:tcW w:w="1843" w:type="dxa"/>
            <w:vMerge w:val="restart"/>
          </w:tcPr>
          <w:p w14:paraId="438CA3AF" w14:textId="77777777" w:rsidR="00BE30C9" w:rsidRPr="006B3F59" w:rsidRDefault="00BE30C9" w:rsidP="00B34C98">
            <w:pPr>
              <w:pStyle w:val="Zkladntext21"/>
              <w:spacing w:before="120"/>
              <w:jc w:val="left"/>
              <w:rPr>
                <w:rFonts w:cs="Arial"/>
                <w:sz w:val="18"/>
                <w:szCs w:val="18"/>
              </w:rPr>
            </w:pPr>
            <w:r w:rsidRPr="006B3F59">
              <w:rPr>
                <w:rFonts w:cs="Arial"/>
                <w:sz w:val="18"/>
                <w:szCs w:val="18"/>
              </w:rPr>
              <w:t>Limity využití území v důsledku výskytu přírodních hodnot</w:t>
            </w:r>
          </w:p>
        </w:tc>
        <w:tc>
          <w:tcPr>
            <w:tcW w:w="7367" w:type="dxa"/>
          </w:tcPr>
          <w:p w14:paraId="057046EE" w14:textId="31CDC645" w:rsidR="00BE30C9" w:rsidRPr="006B3F59" w:rsidRDefault="00C51945" w:rsidP="00CC1516">
            <w:pPr>
              <w:spacing w:before="60" w:after="60"/>
              <w:rPr>
                <w:rFonts w:cs="Arial"/>
                <w:b/>
                <w:sz w:val="18"/>
                <w:szCs w:val="18"/>
              </w:rPr>
            </w:pPr>
            <w:r w:rsidRPr="006B3F59">
              <w:rPr>
                <w:rFonts w:cs="Arial"/>
                <w:b/>
                <w:bCs/>
                <w:sz w:val="18"/>
                <w:szCs w:val="18"/>
              </w:rPr>
              <w:t>PUPFL</w:t>
            </w:r>
            <w:r w:rsidRPr="006B3F59">
              <w:rPr>
                <w:rFonts w:cs="Arial"/>
                <w:sz w:val="18"/>
                <w:szCs w:val="18"/>
              </w:rPr>
              <w:t xml:space="preserve"> – pozemky</w:t>
            </w:r>
            <w:r w:rsidR="00BE30C9" w:rsidRPr="006B3F59">
              <w:rPr>
                <w:rFonts w:cs="Arial"/>
                <w:sz w:val="18"/>
                <w:szCs w:val="18"/>
              </w:rPr>
              <w:t xml:space="preserve"> určené k plnění funkcí lesa (+ pásmo 50 m od hranice PUPFL): </w:t>
            </w:r>
            <w:r w:rsidR="00F439F2" w:rsidRPr="006B3F59">
              <w:rPr>
                <w:rFonts w:cs="Arial"/>
                <w:sz w:val="18"/>
                <w:szCs w:val="18"/>
              </w:rPr>
              <w:t>Změnou dojde k</w:t>
            </w:r>
            <w:r w:rsidR="009D252F" w:rsidRPr="006B3F59">
              <w:rPr>
                <w:rFonts w:cs="Arial"/>
                <w:sz w:val="18"/>
                <w:szCs w:val="18"/>
              </w:rPr>
              <w:t xml:space="preserve"> dílčí úpravě </w:t>
            </w:r>
            <w:r w:rsidR="00F439F2" w:rsidRPr="006B3F59">
              <w:rPr>
                <w:rFonts w:cs="Arial"/>
                <w:sz w:val="18"/>
                <w:szCs w:val="18"/>
              </w:rPr>
              <w:t>odnětí pozemků určených k plnění funkce lesa (PUPFL) v celkové ploše 0,4321 ha ve stopě koridoru přivaděče Rybářka</w:t>
            </w:r>
            <w:r w:rsidR="009D252F" w:rsidRPr="006B3F59">
              <w:rPr>
                <w:rFonts w:cs="Arial"/>
                <w:sz w:val="18"/>
                <w:szCs w:val="18"/>
              </w:rPr>
              <w:t xml:space="preserve"> obsaženého v ZÚR</w:t>
            </w:r>
            <w:r w:rsidR="00CE17A2" w:rsidRPr="006B3F59">
              <w:rPr>
                <w:rFonts w:cs="Arial"/>
                <w:sz w:val="18"/>
                <w:szCs w:val="18"/>
              </w:rPr>
              <w:t>, podrobněji viz kap. AIII.4</w:t>
            </w:r>
          </w:p>
        </w:tc>
      </w:tr>
      <w:tr w:rsidR="00BE30C9" w:rsidRPr="006B3F59" w14:paraId="4A1C906E" w14:textId="77777777" w:rsidTr="00B34C98">
        <w:trPr>
          <w:trHeight w:val="23"/>
        </w:trPr>
        <w:tc>
          <w:tcPr>
            <w:tcW w:w="1843" w:type="dxa"/>
            <w:vMerge/>
          </w:tcPr>
          <w:p w14:paraId="0DC9F7D4" w14:textId="77777777" w:rsidR="00BE30C9" w:rsidRPr="006B3F59" w:rsidRDefault="00BE30C9" w:rsidP="00B34C98">
            <w:pPr>
              <w:pStyle w:val="Zkladntext21"/>
              <w:spacing w:before="120"/>
              <w:jc w:val="left"/>
              <w:rPr>
                <w:rFonts w:cs="Arial"/>
                <w:sz w:val="18"/>
                <w:szCs w:val="18"/>
              </w:rPr>
            </w:pPr>
          </w:p>
        </w:tc>
        <w:tc>
          <w:tcPr>
            <w:tcW w:w="7367" w:type="dxa"/>
          </w:tcPr>
          <w:p w14:paraId="183526C2" w14:textId="7A8A4B5F" w:rsidR="00BE30C9" w:rsidRPr="006B3F59" w:rsidRDefault="00BE30C9" w:rsidP="00CC1516">
            <w:pPr>
              <w:pStyle w:val="Zkladntext21"/>
              <w:spacing w:before="60" w:after="60"/>
              <w:rPr>
                <w:rFonts w:cs="Arial"/>
                <w:sz w:val="18"/>
                <w:szCs w:val="18"/>
              </w:rPr>
            </w:pPr>
            <w:r w:rsidRPr="006B3F59">
              <w:rPr>
                <w:rFonts w:cs="Arial"/>
                <w:sz w:val="18"/>
                <w:szCs w:val="18"/>
              </w:rPr>
              <w:t>BPEJ</w:t>
            </w:r>
            <w:r w:rsidRPr="006B3F59">
              <w:rPr>
                <w:rFonts w:cs="Arial"/>
                <w:b w:val="0"/>
                <w:sz w:val="18"/>
                <w:szCs w:val="18"/>
              </w:rPr>
              <w:t xml:space="preserve"> – zemědělská</w:t>
            </w:r>
            <w:r w:rsidRPr="006B3F59">
              <w:rPr>
                <w:rFonts w:cs="Arial"/>
                <w:sz w:val="18"/>
                <w:szCs w:val="18"/>
              </w:rPr>
              <w:t xml:space="preserve"> půda I. a II. třídy ochrany</w:t>
            </w:r>
            <w:r w:rsidR="00E92C47" w:rsidRPr="006B3F59">
              <w:rPr>
                <w:rFonts w:cs="Arial"/>
                <w:sz w:val="18"/>
                <w:szCs w:val="18"/>
              </w:rPr>
              <w:t xml:space="preserve">: </w:t>
            </w:r>
            <w:r w:rsidR="00E92C47" w:rsidRPr="006B3F59">
              <w:rPr>
                <w:rFonts w:cs="Arial"/>
                <w:b w:val="0"/>
                <w:bCs/>
                <w:sz w:val="18"/>
                <w:szCs w:val="18"/>
              </w:rPr>
              <w:t>Změna předpokládá zábor celkem cca 18,7 ha, navrácených pozemků do ZPF je předpoklad cca 9,6 ha, jedná</w:t>
            </w:r>
            <w:r w:rsidR="00E92C47" w:rsidRPr="006B3F59">
              <w:rPr>
                <w:rFonts w:cs="Arial"/>
                <w:b w:val="0"/>
                <w:sz w:val="18"/>
                <w:szCs w:val="18"/>
              </w:rPr>
              <w:t xml:space="preserve"> se o přerozdělení</w:t>
            </w:r>
            <w:r w:rsidR="009D252F" w:rsidRPr="006B3F59">
              <w:rPr>
                <w:rFonts w:cs="Arial"/>
                <w:b w:val="0"/>
                <w:sz w:val="18"/>
                <w:szCs w:val="18"/>
              </w:rPr>
              <w:t xml:space="preserve"> potenciálního </w:t>
            </w:r>
            <w:r w:rsidR="00E92C47" w:rsidRPr="006B3F59">
              <w:rPr>
                <w:rFonts w:cs="Arial"/>
                <w:b w:val="0"/>
                <w:sz w:val="18"/>
                <w:szCs w:val="18"/>
              </w:rPr>
              <w:t>zábor</w:t>
            </w:r>
            <w:r w:rsidR="009D252F" w:rsidRPr="006B3F59">
              <w:rPr>
                <w:rFonts w:cs="Arial"/>
                <w:b w:val="0"/>
                <w:sz w:val="18"/>
                <w:szCs w:val="18"/>
              </w:rPr>
              <w:t>u, který</w:t>
            </w:r>
            <w:r w:rsidR="00E92C47" w:rsidRPr="006B3F59">
              <w:rPr>
                <w:rFonts w:cs="Arial"/>
                <w:b w:val="0"/>
                <w:sz w:val="18"/>
                <w:szCs w:val="18"/>
              </w:rPr>
              <w:t xml:space="preserve"> již byl vyhodnocen v platném ÚP</w:t>
            </w:r>
            <w:r w:rsidR="00CD5A16" w:rsidRPr="006B3F59">
              <w:rPr>
                <w:rFonts w:cs="Arial"/>
                <w:b w:val="0"/>
                <w:sz w:val="18"/>
                <w:szCs w:val="18"/>
              </w:rPr>
              <w:t>,</w:t>
            </w:r>
            <w:r w:rsidR="00CE17A2" w:rsidRPr="006B3F59">
              <w:rPr>
                <w:rFonts w:cs="Arial"/>
                <w:b w:val="0"/>
                <w:sz w:val="18"/>
                <w:szCs w:val="18"/>
              </w:rPr>
              <w:t xml:space="preserve"> </w:t>
            </w:r>
            <w:r w:rsidRPr="006B3F59">
              <w:rPr>
                <w:rFonts w:cs="Arial"/>
                <w:b w:val="0"/>
                <w:sz w:val="18"/>
                <w:szCs w:val="18"/>
              </w:rPr>
              <w:t>podrobněji viz kap. A.III.4</w:t>
            </w:r>
          </w:p>
        </w:tc>
      </w:tr>
      <w:tr w:rsidR="00BE30C9" w:rsidRPr="006B3F59" w14:paraId="636C05D5" w14:textId="77777777" w:rsidTr="00B34C98">
        <w:trPr>
          <w:trHeight w:val="23"/>
        </w:trPr>
        <w:tc>
          <w:tcPr>
            <w:tcW w:w="1843" w:type="dxa"/>
            <w:vMerge/>
          </w:tcPr>
          <w:p w14:paraId="44DDAF64" w14:textId="77777777" w:rsidR="00BE30C9" w:rsidRPr="006B3F59" w:rsidRDefault="00BE30C9" w:rsidP="00B34C98">
            <w:pPr>
              <w:pStyle w:val="Zkladntext21"/>
              <w:spacing w:before="120"/>
              <w:jc w:val="left"/>
              <w:rPr>
                <w:rFonts w:cs="Arial"/>
                <w:sz w:val="18"/>
                <w:szCs w:val="18"/>
              </w:rPr>
            </w:pPr>
          </w:p>
        </w:tc>
        <w:tc>
          <w:tcPr>
            <w:tcW w:w="7367" w:type="dxa"/>
          </w:tcPr>
          <w:p w14:paraId="079E6A98" w14:textId="06901592" w:rsidR="00BE30C9" w:rsidRPr="006B3F59" w:rsidRDefault="00BE30C9" w:rsidP="00CC1516">
            <w:pPr>
              <w:pStyle w:val="zkltext"/>
              <w:spacing w:before="60" w:after="60"/>
              <w:rPr>
                <w:rFonts w:cs="Arial"/>
                <w:sz w:val="18"/>
                <w:szCs w:val="18"/>
              </w:rPr>
            </w:pPr>
            <w:r w:rsidRPr="006B3F59">
              <w:rPr>
                <w:rFonts w:cs="Arial"/>
                <w:b/>
                <w:bCs/>
                <w:sz w:val="18"/>
                <w:szCs w:val="18"/>
              </w:rPr>
              <w:t>CHLÚ, DP a průzkumná území</w:t>
            </w:r>
            <w:r w:rsidRPr="006B3F59">
              <w:rPr>
                <w:rFonts w:cs="Arial"/>
                <w:sz w:val="18"/>
                <w:szCs w:val="18"/>
              </w:rPr>
              <w:t xml:space="preserve"> dle databáze Geofond: </w:t>
            </w:r>
            <w:r w:rsidR="00F439F2" w:rsidRPr="006B3F59">
              <w:rPr>
                <w:rFonts w:cs="Arial"/>
                <w:sz w:val="18"/>
                <w:szCs w:val="18"/>
              </w:rPr>
              <w:t xml:space="preserve">Na území se nachází </w:t>
            </w:r>
            <w:r w:rsidR="00D71275" w:rsidRPr="006B3F59">
              <w:rPr>
                <w:rFonts w:cs="Arial"/>
                <w:sz w:val="18"/>
                <w:szCs w:val="18"/>
              </w:rPr>
              <w:t>evidované ložisko</w:t>
            </w:r>
            <w:r w:rsidR="00F439F2" w:rsidRPr="006B3F59">
              <w:rPr>
                <w:rFonts w:cs="Arial"/>
                <w:sz w:val="18"/>
                <w:szCs w:val="18"/>
              </w:rPr>
              <w:t xml:space="preserve"> (nevýhradní) – „Sedlec–Únětice – Cihlářská surovina“. Je zde evidováno jedno území s aktivním sesuvem půdy,</w:t>
            </w:r>
            <w:r w:rsidR="00CE17A2" w:rsidRPr="006B3F59">
              <w:rPr>
                <w:rFonts w:cs="Arial"/>
                <w:sz w:val="18"/>
                <w:szCs w:val="18"/>
              </w:rPr>
              <w:t xml:space="preserve"> podrobněji viz kap. A.III.4</w:t>
            </w:r>
          </w:p>
        </w:tc>
      </w:tr>
      <w:tr w:rsidR="00BE30C9" w:rsidRPr="006B3F59" w14:paraId="060FDD0A" w14:textId="77777777" w:rsidTr="00B34C98">
        <w:trPr>
          <w:trHeight w:val="23"/>
        </w:trPr>
        <w:tc>
          <w:tcPr>
            <w:tcW w:w="1843" w:type="dxa"/>
            <w:vMerge/>
          </w:tcPr>
          <w:p w14:paraId="4228BA8F" w14:textId="77777777" w:rsidR="00BE30C9" w:rsidRPr="006B3F59" w:rsidRDefault="00BE30C9" w:rsidP="00B34C98">
            <w:pPr>
              <w:pStyle w:val="Zkladntext21"/>
              <w:spacing w:before="120"/>
              <w:jc w:val="left"/>
              <w:rPr>
                <w:rFonts w:cs="Arial"/>
                <w:sz w:val="18"/>
                <w:szCs w:val="18"/>
              </w:rPr>
            </w:pPr>
          </w:p>
        </w:tc>
        <w:tc>
          <w:tcPr>
            <w:tcW w:w="7367" w:type="dxa"/>
          </w:tcPr>
          <w:p w14:paraId="2F89D54B" w14:textId="7D1C4932" w:rsidR="00BE30C9" w:rsidRPr="006B3F59" w:rsidRDefault="00BE30C9" w:rsidP="00CC1516">
            <w:pPr>
              <w:pStyle w:val="Zkladntext21"/>
              <w:spacing w:before="60" w:after="60"/>
              <w:jc w:val="left"/>
              <w:rPr>
                <w:rFonts w:cs="Arial"/>
                <w:b w:val="0"/>
                <w:sz w:val="18"/>
                <w:szCs w:val="18"/>
              </w:rPr>
            </w:pPr>
            <w:r w:rsidRPr="006B3F59">
              <w:rPr>
                <w:rFonts w:cs="Arial"/>
                <w:sz w:val="18"/>
                <w:szCs w:val="18"/>
              </w:rPr>
              <w:t xml:space="preserve">Zranitelná oblast dle zákona o vodách: </w:t>
            </w:r>
            <w:r w:rsidR="00333748" w:rsidRPr="006B3F59">
              <w:rPr>
                <w:rFonts w:cs="Arial"/>
                <w:b w:val="0"/>
                <w:sz w:val="18"/>
                <w:szCs w:val="18"/>
              </w:rPr>
              <w:t>Zranitelné oblasti jsou stanoveny v k.ú. Suchdol i Sedlec.</w:t>
            </w:r>
            <w:r w:rsidR="00CE17A2" w:rsidRPr="006B3F59">
              <w:rPr>
                <w:rFonts w:cs="Arial"/>
                <w:b w:val="0"/>
                <w:sz w:val="18"/>
                <w:szCs w:val="18"/>
              </w:rPr>
              <w:t>, podrobněji viz kap. A.III.3</w:t>
            </w:r>
          </w:p>
          <w:p w14:paraId="55C873D0" w14:textId="2C428BDB" w:rsidR="00BE30C9" w:rsidRPr="006B3F59" w:rsidRDefault="00BE30C9" w:rsidP="00CC1516">
            <w:pPr>
              <w:pStyle w:val="Zkladntext21"/>
              <w:spacing w:before="60" w:after="60"/>
              <w:jc w:val="left"/>
              <w:rPr>
                <w:rFonts w:cs="Arial"/>
                <w:sz w:val="18"/>
                <w:szCs w:val="18"/>
              </w:rPr>
            </w:pPr>
            <w:r w:rsidRPr="006B3F59">
              <w:rPr>
                <w:rFonts w:cs="Arial"/>
                <w:sz w:val="18"/>
                <w:szCs w:val="18"/>
              </w:rPr>
              <w:t xml:space="preserve">Citlivá oblast dle zákona o vodách: </w:t>
            </w:r>
            <w:r w:rsidRPr="006B3F59">
              <w:rPr>
                <w:rFonts w:cs="Arial"/>
                <w:b w:val="0"/>
                <w:bCs/>
                <w:sz w:val="18"/>
                <w:szCs w:val="18"/>
              </w:rPr>
              <w:t>celé území ČR</w:t>
            </w:r>
            <w:r w:rsidR="00CE17A2" w:rsidRPr="006B3F59">
              <w:rPr>
                <w:rFonts w:cs="Arial"/>
                <w:b w:val="0"/>
                <w:bCs/>
                <w:sz w:val="18"/>
                <w:szCs w:val="18"/>
              </w:rPr>
              <w:t xml:space="preserve">, </w:t>
            </w:r>
            <w:r w:rsidR="00CE17A2" w:rsidRPr="006B3F59">
              <w:rPr>
                <w:rFonts w:cs="Arial"/>
                <w:b w:val="0"/>
                <w:sz w:val="18"/>
                <w:szCs w:val="18"/>
              </w:rPr>
              <w:t>podrobněji viz kap. A.III.3</w:t>
            </w:r>
          </w:p>
        </w:tc>
      </w:tr>
      <w:tr w:rsidR="00BE30C9" w:rsidRPr="006B3F59" w14:paraId="753F3EA0" w14:textId="77777777" w:rsidTr="00B34C98">
        <w:trPr>
          <w:trHeight w:val="286"/>
        </w:trPr>
        <w:tc>
          <w:tcPr>
            <w:tcW w:w="1843" w:type="dxa"/>
            <w:vMerge w:val="restart"/>
          </w:tcPr>
          <w:p w14:paraId="299F8062" w14:textId="77777777" w:rsidR="00BE30C9" w:rsidRPr="006B3F59" w:rsidRDefault="00BE30C9" w:rsidP="00B34C98">
            <w:pPr>
              <w:pStyle w:val="Zkladntext21"/>
              <w:spacing w:before="120"/>
              <w:jc w:val="left"/>
              <w:rPr>
                <w:rFonts w:cs="Arial"/>
                <w:sz w:val="18"/>
                <w:szCs w:val="18"/>
              </w:rPr>
            </w:pPr>
            <w:r w:rsidRPr="006B3F59">
              <w:rPr>
                <w:rFonts w:cs="Arial"/>
                <w:sz w:val="18"/>
                <w:szCs w:val="18"/>
              </w:rPr>
              <w:t>Limity využití území v důsledku výskytu environmentálních zátěží nebo rizik</w:t>
            </w:r>
          </w:p>
        </w:tc>
        <w:tc>
          <w:tcPr>
            <w:tcW w:w="7367" w:type="dxa"/>
          </w:tcPr>
          <w:p w14:paraId="670CE878" w14:textId="5B7AF82D" w:rsidR="00BE30C9" w:rsidRPr="006B3F59" w:rsidRDefault="00BE30C9" w:rsidP="00CC1516">
            <w:pPr>
              <w:spacing w:before="60" w:after="60"/>
              <w:rPr>
                <w:rFonts w:cs="Arial"/>
                <w:b/>
                <w:sz w:val="18"/>
                <w:szCs w:val="18"/>
              </w:rPr>
            </w:pPr>
            <w:r w:rsidRPr="006B3F59">
              <w:rPr>
                <w:rFonts w:cs="Arial"/>
                <w:b/>
                <w:sz w:val="18"/>
                <w:szCs w:val="18"/>
              </w:rPr>
              <w:t>Hlukově zatížené území:</w:t>
            </w:r>
            <w:r w:rsidRPr="006B3F59">
              <w:rPr>
                <w:rFonts w:cs="Arial"/>
                <w:sz w:val="18"/>
                <w:szCs w:val="18"/>
              </w:rPr>
              <w:t xml:space="preserve"> </w:t>
            </w:r>
            <w:r w:rsidR="00CE17A2" w:rsidRPr="006B3F59">
              <w:rPr>
                <w:rFonts w:cs="Arial"/>
                <w:sz w:val="18"/>
                <w:szCs w:val="18"/>
              </w:rPr>
              <w:t xml:space="preserve">Dle Strategického hlukového mapování (SHM) 2017 pro Aglomeraci Praha je </w:t>
            </w:r>
            <w:r w:rsidR="00E92C47" w:rsidRPr="006B3F59">
              <w:rPr>
                <w:rFonts w:cs="Arial"/>
                <w:sz w:val="18"/>
                <w:szCs w:val="18"/>
              </w:rPr>
              <w:t>lokalita zatížena hlukem ze stávajícího provozu po stávajících ulicích Kamýcká, Roztocká, Podbabská a železniční trati. Denní doba – v profilu zatížených ulic (Kamýcká, Roztocká, Podbabská, železniční trať) 70-75 dB, v úrovni nejbližší obytné zástavby 60-65 dB, Noční doba – v profilu zatížených ulic 60-65 dB (Kamýcká, Podbabská), v profilu ulice Roztocká na úrovni 65-70 dB, v profilu železniční trati nad 70 dB, v úrovni nejbližší obytné zástavby 55-60 dB.</w:t>
            </w:r>
            <w:r w:rsidR="00CE17A2" w:rsidRPr="006B3F59">
              <w:rPr>
                <w:rFonts w:cs="Arial"/>
                <w:sz w:val="18"/>
                <w:szCs w:val="18"/>
              </w:rPr>
              <w:t>)</w:t>
            </w:r>
            <w:r w:rsidRPr="006B3F59">
              <w:rPr>
                <w:rFonts w:cs="Arial"/>
                <w:sz w:val="18"/>
                <w:szCs w:val="18"/>
              </w:rPr>
              <w:t>, podrobněji viz kap. A.III.9 a A.V.8</w:t>
            </w:r>
          </w:p>
        </w:tc>
      </w:tr>
      <w:tr w:rsidR="00BE30C9" w:rsidRPr="006B3F59" w14:paraId="1AF63078" w14:textId="77777777" w:rsidTr="00B34C98">
        <w:trPr>
          <w:trHeight w:val="157"/>
        </w:trPr>
        <w:tc>
          <w:tcPr>
            <w:tcW w:w="1843" w:type="dxa"/>
            <w:vMerge/>
          </w:tcPr>
          <w:p w14:paraId="165263B5" w14:textId="77777777" w:rsidR="00BE30C9" w:rsidRPr="006B3F59" w:rsidRDefault="00BE30C9" w:rsidP="00B34C98">
            <w:pPr>
              <w:pStyle w:val="Zkladntext21"/>
              <w:spacing w:before="120"/>
              <w:jc w:val="left"/>
              <w:rPr>
                <w:rFonts w:cs="Arial"/>
                <w:sz w:val="18"/>
                <w:szCs w:val="18"/>
              </w:rPr>
            </w:pPr>
          </w:p>
        </w:tc>
        <w:tc>
          <w:tcPr>
            <w:tcW w:w="7367" w:type="dxa"/>
          </w:tcPr>
          <w:p w14:paraId="71C7D9AA" w14:textId="661F1900" w:rsidR="00BE30C9" w:rsidRPr="006B3F59" w:rsidRDefault="00BE30C9" w:rsidP="00CC1516">
            <w:pPr>
              <w:spacing w:before="60" w:after="60"/>
              <w:rPr>
                <w:rFonts w:cs="Arial"/>
                <w:b/>
                <w:sz w:val="18"/>
                <w:szCs w:val="18"/>
              </w:rPr>
            </w:pPr>
            <w:r w:rsidRPr="006B3F59">
              <w:rPr>
                <w:rFonts w:cs="Arial"/>
                <w:b/>
                <w:sz w:val="18"/>
                <w:szCs w:val="18"/>
              </w:rPr>
              <w:t>Staré ekologické zátěže:</w:t>
            </w:r>
            <w:r w:rsidRPr="006B3F59">
              <w:rPr>
                <w:rFonts w:cs="Arial"/>
                <w:sz w:val="18"/>
                <w:szCs w:val="18"/>
              </w:rPr>
              <w:t xml:space="preserve"> </w:t>
            </w:r>
            <w:bookmarkStart w:id="158" w:name="_Hlk135656019"/>
            <w:r w:rsidR="00E92C47" w:rsidRPr="006B3F59">
              <w:rPr>
                <w:rFonts w:cs="Arial"/>
                <w:sz w:val="18"/>
                <w:szCs w:val="18"/>
              </w:rPr>
              <w:t>Skládka u bývalé cihelny, ID lokality 30041018 – neprozkoumaná lokalita bez aktuálních rizik, Skládka ve vytěžených zemnících v Sedlci, ID lokality 30041019 – kontaminace je potvrzena, nereprezentuje aktuální zdravotní riziko ani rozpor s legislativou, není však vyloučena možnost dalšího šíření</w:t>
            </w:r>
            <w:bookmarkEnd w:id="158"/>
            <w:r w:rsidR="00E92C47" w:rsidRPr="006B3F59">
              <w:rPr>
                <w:rFonts w:cs="Arial"/>
                <w:sz w:val="18"/>
                <w:szCs w:val="18"/>
              </w:rPr>
              <w:t>.</w:t>
            </w:r>
            <w:r w:rsidR="00C46457" w:rsidRPr="006B3F59">
              <w:rPr>
                <w:rFonts w:cs="Arial"/>
                <w:sz w:val="18"/>
                <w:szCs w:val="18"/>
              </w:rPr>
              <w:t xml:space="preserve"> </w:t>
            </w:r>
            <w:r w:rsidRPr="006B3F59">
              <w:rPr>
                <w:rFonts w:cs="Arial"/>
                <w:sz w:val="18"/>
                <w:szCs w:val="18"/>
              </w:rPr>
              <w:t>Podrobněji viz kap. A.III.5 a A.V.4</w:t>
            </w:r>
          </w:p>
        </w:tc>
      </w:tr>
      <w:tr w:rsidR="00BE30C9" w:rsidRPr="006B3F59" w14:paraId="291B7408" w14:textId="77777777" w:rsidTr="00B34C98">
        <w:trPr>
          <w:trHeight w:val="157"/>
        </w:trPr>
        <w:tc>
          <w:tcPr>
            <w:tcW w:w="1843" w:type="dxa"/>
            <w:vMerge/>
          </w:tcPr>
          <w:p w14:paraId="71AE19AC" w14:textId="77777777" w:rsidR="00BE30C9" w:rsidRPr="006B3F59" w:rsidRDefault="00BE30C9" w:rsidP="00B34C98">
            <w:pPr>
              <w:pStyle w:val="Zkladntext21"/>
              <w:spacing w:before="120"/>
              <w:jc w:val="left"/>
              <w:rPr>
                <w:rFonts w:cs="Arial"/>
                <w:sz w:val="18"/>
                <w:szCs w:val="18"/>
              </w:rPr>
            </w:pPr>
          </w:p>
        </w:tc>
        <w:tc>
          <w:tcPr>
            <w:tcW w:w="7367" w:type="dxa"/>
          </w:tcPr>
          <w:p w14:paraId="3F1BD086" w14:textId="0D2FB6A6" w:rsidR="00BE30C9" w:rsidRPr="006B3F59" w:rsidRDefault="00BE30C9" w:rsidP="00CC1516">
            <w:pPr>
              <w:spacing w:before="60" w:after="60"/>
              <w:rPr>
                <w:rFonts w:cs="Arial"/>
                <w:b/>
                <w:sz w:val="18"/>
                <w:szCs w:val="18"/>
              </w:rPr>
            </w:pPr>
            <w:r w:rsidRPr="006B3F59">
              <w:rPr>
                <w:rFonts w:cs="Arial"/>
                <w:b/>
                <w:sz w:val="18"/>
                <w:szCs w:val="18"/>
              </w:rPr>
              <w:t>Záplavové území:</w:t>
            </w:r>
            <w:r w:rsidRPr="006B3F59">
              <w:rPr>
                <w:rFonts w:cs="Arial"/>
                <w:sz w:val="18"/>
                <w:szCs w:val="18"/>
              </w:rPr>
              <w:t xml:space="preserve"> </w:t>
            </w:r>
            <w:bookmarkStart w:id="159" w:name="_Hlk127878174"/>
            <w:r w:rsidR="009C5210" w:rsidRPr="006B3F59">
              <w:rPr>
                <w:rFonts w:cs="Arial"/>
                <w:sz w:val="18"/>
                <w:szCs w:val="18"/>
              </w:rPr>
              <w:t>Záplavové území Vltavy, určeném k ochraně zajišťované městem pro Q2002, kde protipovodňová opatření jsou již realizována</w:t>
            </w:r>
            <w:bookmarkEnd w:id="159"/>
            <w:r w:rsidR="009C5210" w:rsidRPr="006B3F59">
              <w:rPr>
                <w:rFonts w:cs="Arial"/>
                <w:sz w:val="18"/>
                <w:szCs w:val="18"/>
              </w:rPr>
              <w:t>.</w:t>
            </w:r>
            <w:r w:rsidRPr="006B3F59">
              <w:rPr>
                <w:rFonts w:cs="Arial"/>
                <w:sz w:val="18"/>
                <w:szCs w:val="18"/>
              </w:rPr>
              <w:t>, podrobněji viz kap. AIII.6 a A.V.2</w:t>
            </w:r>
          </w:p>
        </w:tc>
      </w:tr>
      <w:tr w:rsidR="00BE30C9" w:rsidRPr="006B3F59" w14:paraId="5471BFCF" w14:textId="77777777" w:rsidTr="00B34C98">
        <w:trPr>
          <w:trHeight w:val="157"/>
        </w:trPr>
        <w:tc>
          <w:tcPr>
            <w:tcW w:w="1843" w:type="dxa"/>
            <w:vMerge/>
          </w:tcPr>
          <w:p w14:paraId="1D3F1819" w14:textId="77777777" w:rsidR="00BE30C9" w:rsidRPr="006B3F59" w:rsidRDefault="00BE30C9" w:rsidP="00B34C98">
            <w:pPr>
              <w:pStyle w:val="Zkladntext21"/>
              <w:spacing w:before="120"/>
              <w:jc w:val="left"/>
              <w:rPr>
                <w:rFonts w:cs="Arial"/>
                <w:sz w:val="18"/>
                <w:szCs w:val="18"/>
              </w:rPr>
            </w:pPr>
          </w:p>
        </w:tc>
        <w:tc>
          <w:tcPr>
            <w:tcW w:w="7367" w:type="dxa"/>
          </w:tcPr>
          <w:p w14:paraId="188C2B9C" w14:textId="55324083" w:rsidR="00BE30C9" w:rsidRPr="006B3F59" w:rsidRDefault="00BE30C9" w:rsidP="00CC1516">
            <w:pPr>
              <w:spacing w:before="60" w:after="60"/>
              <w:rPr>
                <w:rFonts w:cs="Arial"/>
                <w:b/>
                <w:sz w:val="18"/>
                <w:szCs w:val="18"/>
              </w:rPr>
            </w:pPr>
            <w:r w:rsidRPr="006B3F59">
              <w:rPr>
                <w:rFonts w:cs="Arial"/>
                <w:b/>
                <w:sz w:val="18"/>
                <w:szCs w:val="18"/>
              </w:rPr>
              <w:t xml:space="preserve">Aktivní zóna záplavového území: </w:t>
            </w:r>
            <w:r w:rsidR="00A91093" w:rsidRPr="006B3F59">
              <w:rPr>
                <w:rFonts w:cs="Arial"/>
                <w:sz w:val="18"/>
                <w:szCs w:val="18"/>
              </w:rPr>
              <w:t>Žádné, podrobněji viz kap. AIII.6 a A.V.2</w:t>
            </w:r>
          </w:p>
        </w:tc>
      </w:tr>
      <w:bookmarkEnd w:id="157"/>
      <w:tr w:rsidR="00BE30C9" w:rsidRPr="006B3F59" w14:paraId="6E0E5D9B" w14:textId="77777777" w:rsidTr="00B34C98">
        <w:trPr>
          <w:trHeight w:val="157"/>
        </w:trPr>
        <w:tc>
          <w:tcPr>
            <w:tcW w:w="1843" w:type="dxa"/>
            <w:vMerge/>
          </w:tcPr>
          <w:p w14:paraId="2AD8549F" w14:textId="77777777" w:rsidR="00BE30C9" w:rsidRPr="006B3F59" w:rsidRDefault="00BE30C9" w:rsidP="00B34C98">
            <w:pPr>
              <w:pStyle w:val="Zkladntext21"/>
              <w:spacing w:before="120"/>
              <w:jc w:val="left"/>
              <w:rPr>
                <w:rFonts w:cs="Arial"/>
                <w:sz w:val="18"/>
                <w:szCs w:val="18"/>
              </w:rPr>
            </w:pPr>
          </w:p>
        </w:tc>
        <w:tc>
          <w:tcPr>
            <w:tcW w:w="7367" w:type="dxa"/>
          </w:tcPr>
          <w:p w14:paraId="48332B3B" w14:textId="3096748D" w:rsidR="00BE30C9" w:rsidRPr="006B3F59" w:rsidRDefault="00BE30C9" w:rsidP="00CC1516">
            <w:pPr>
              <w:spacing w:before="60" w:after="60"/>
              <w:rPr>
                <w:rFonts w:cs="Arial"/>
                <w:sz w:val="18"/>
                <w:szCs w:val="18"/>
              </w:rPr>
            </w:pPr>
            <w:r w:rsidRPr="006B3F59">
              <w:rPr>
                <w:rFonts w:cs="Arial"/>
                <w:b/>
                <w:sz w:val="18"/>
                <w:szCs w:val="18"/>
              </w:rPr>
              <w:t xml:space="preserve">Sesuvná území: </w:t>
            </w:r>
            <w:r w:rsidR="00C6585D" w:rsidRPr="006B3F59">
              <w:rPr>
                <w:rFonts w:cs="Arial"/>
                <w:bCs/>
                <w:sz w:val="18"/>
                <w:szCs w:val="18"/>
              </w:rPr>
              <w:t>Dle registru svahových nestabilit evidován aktivní sesuv v prostoru skladu materiálů v bývalé cihelně pod evidenčním číslem geofondu 7713. B</w:t>
            </w:r>
            <w:r w:rsidR="00E92C47" w:rsidRPr="006B3F59">
              <w:rPr>
                <w:rFonts w:cs="Arial"/>
                <w:bCs/>
                <w:sz w:val="18"/>
                <w:szCs w:val="18"/>
              </w:rPr>
              <w:t>ude prověřeno v navazujících řízeních</w:t>
            </w:r>
            <w:r w:rsidR="00A91093" w:rsidRPr="006B3F59">
              <w:rPr>
                <w:rFonts w:cs="Arial"/>
                <w:sz w:val="18"/>
                <w:szCs w:val="18"/>
              </w:rPr>
              <w:t>. Podrobněji viz kap. A.III.5 a A.V.4</w:t>
            </w:r>
          </w:p>
        </w:tc>
      </w:tr>
    </w:tbl>
    <w:p w14:paraId="7723C20D" w14:textId="11AB82BC" w:rsidR="007D6FCD" w:rsidRPr="006B3F59" w:rsidRDefault="007D6FCD" w:rsidP="007D6FCD">
      <w:pPr>
        <w:rPr>
          <w:noProof/>
          <w:lang w:eastAsia="cs-CZ"/>
        </w:rPr>
      </w:pPr>
      <w:r w:rsidRPr="006B3F59">
        <w:rPr>
          <w:noProof/>
          <w:lang w:eastAsia="cs-CZ"/>
        </w:rPr>
        <w:t xml:space="preserve">Z provedené </w:t>
      </w:r>
      <w:r w:rsidR="008E7D3C" w:rsidRPr="006B3F59">
        <w:rPr>
          <w:noProof/>
          <w:lang w:eastAsia="cs-CZ"/>
        </w:rPr>
        <w:t>slož</w:t>
      </w:r>
      <w:r w:rsidR="00CF7392" w:rsidRPr="006B3F59">
        <w:rPr>
          <w:noProof/>
          <w:lang w:eastAsia="cs-CZ"/>
        </w:rPr>
        <w:t>kové a prostorové</w:t>
      </w:r>
      <w:r w:rsidRPr="006B3F59">
        <w:rPr>
          <w:noProof/>
          <w:lang w:eastAsia="cs-CZ"/>
        </w:rPr>
        <w:t xml:space="preserve"> an</w:t>
      </w:r>
      <w:r w:rsidR="00CF7392" w:rsidRPr="006B3F59">
        <w:rPr>
          <w:noProof/>
          <w:lang w:eastAsia="cs-CZ"/>
        </w:rPr>
        <w:t>a</w:t>
      </w:r>
      <w:r w:rsidRPr="006B3F59">
        <w:rPr>
          <w:noProof/>
          <w:lang w:eastAsia="cs-CZ"/>
        </w:rPr>
        <w:t xml:space="preserve">lýzy vyplynuly následující protenciální střety s přítomnými limity a hodnotami. Graficky znázorněna je prostorová analáza na obrázcích </w:t>
      </w:r>
      <w:r w:rsidR="00AE1C91" w:rsidRPr="006B3F59">
        <w:rPr>
          <w:noProof/>
          <w:lang w:eastAsia="cs-CZ"/>
        </w:rPr>
        <w:fldChar w:fldCharType="begin"/>
      </w:r>
      <w:r w:rsidR="00AE1C91" w:rsidRPr="006B3F59">
        <w:rPr>
          <w:noProof/>
          <w:lang w:eastAsia="cs-CZ"/>
        </w:rPr>
        <w:instrText xml:space="preserve"> REF _Ref136945789 \r \h  \* MERGEFORMAT </w:instrText>
      </w:r>
      <w:r w:rsidR="00AE1C91" w:rsidRPr="006B3F59">
        <w:rPr>
          <w:noProof/>
          <w:lang w:eastAsia="cs-CZ"/>
        </w:rPr>
      </w:r>
      <w:r w:rsidR="00AE1C91" w:rsidRPr="006B3F59">
        <w:rPr>
          <w:noProof/>
          <w:lang w:eastAsia="cs-CZ"/>
        </w:rPr>
        <w:fldChar w:fldCharType="separate"/>
      </w:r>
      <w:r w:rsidR="00EF1B4A">
        <w:rPr>
          <w:noProof/>
          <w:lang w:eastAsia="cs-CZ"/>
        </w:rPr>
        <w:t>Obr. 42</w:t>
      </w:r>
      <w:r w:rsidR="00AE1C91" w:rsidRPr="006B3F59">
        <w:rPr>
          <w:noProof/>
          <w:lang w:eastAsia="cs-CZ"/>
        </w:rPr>
        <w:fldChar w:fldCharType="end"/>
      </w:r>
      <w:r w:rsidRPr="006B3F59">
        <w:rPr>
          <w:noProof/>
          <w:lang w:eastAsia="cs-CZ"/>
        </w:rPr>
        <w:t xml:space="preserve"> z hlediska dotčených limitů a hodnot dle ÚAP Prahy a z hlediska potenciálního spolupůsobení vlivů </w:t>
      </w:r>
      <w:r w:rsidR="00AE1C91" w:rsidRPr="006B3F59">
        <w:rPr>
          <w:noProof/>
          <w:lang w:eastAsia="cs-CZ"/>
        </w:rPr>
        <w:fldChar w:fldCharType="begin"/>
      </w:r>
      <w:r w:rsidR="00AE1C91" w:rsidRPr="006B3F59">
        <w:rPr>
          <w:noProof/>
          <w:lang w:eastAsia="cs-CZ"/>
        </w:rPr>
        <w:instrText xml:space="preserve"> REF _Ref136945806 \r \h  \* MERGEFORMAT </w:instrText>
      </w:r>
      <w:r w:rsidR="00AE1C91" w:rsidRPr="006B3F59">
        <w:rPr>
          <w:noProof/>
          <w:lang w:eastAsia="cs-CZ"/>
        </w:rPr>
      </w:r>
      <w:r w:rsidR="00AE1C91" w:rsidRPr="006B3F59">
        <w:rPr>
          <w:noProof/>
          <w:lang w:eastAsia="cs-CZ"/>
        </w:rPr>
        <w:fldChar w:fldCharType="separate"/>
      </w:r>
      <w:r w:rsidR="00EF1B4A">
        <w:rPr>
          <w:noProof/>
          <w:lang w:eastAsia="cs-CZ"/>
        </w:rPr>
        <w:t>Obr. 43</w:t>
      </w:r>
      <w:r w:rsidR="00AE1C91" w:rsidRPr="006B3F59">
        <w:rPr>
          <w:noProof/>
          <w:lang w:eastAsia="cs-CZ"/>
        </w:rPr>
        <w:fldChar w:fldCharType="end"/>
      </w:r>
      <w:r w:rsidRPr="006B3F59">
        <w:rPr>
          <w:noProof/>
          <w:lang w:eastAsia="cs-CZ"/>
        </w:rPr>
        <w:t xml:space="preserve"> na základě složkové a prostorové anal</w:t>
      </w:r>
      <w:r w:rsidR="00AD5BFB" w:rsidRPr="006B3F59">
        <w:rPr>
          <w:noProof/>
          <w:lang w:eastAsia="cs-CZ"/>
        </w:rPr>
        <w:t>ý</w:t>
      </w:r>
      <w:r w:rsidRPr="006B3F59">
        <w:rPr>
          <w:noProof/>
          <w:lang w:eastAsia="cs-CZ"/>
        </w:rPr>
        <w:t>zy a odborného odhadu zpracovatele o dosahu spolupůsobících vlivů (např. kritická izofona, dotčený krajinný prostor, dosah ovlivnění hydrologických poměrů, rozsah zastavitelných ploch apod.).</w:t>
      </w:r>
    </w:p>
    <w:p w14:paraId="31D869B4" w14:textId="76FDC288" w:rsidR="007D6FCD" w:rsidRPr="006B3F59" w:rsidRDefault="007D6FCD" w:rsidP="007D6FCD">
      <w:pPr>
        <w:rPr>
          <w:noProof/>
          <w:lang w:eastAsia="cs-CZ"/>
        </w:rPr>
      </w:pPr>
      <w:r w:rsidRPr="006B3F59">
        <w:rPr>
          <w:noProof/>
          <w:lang w:eastAsia="cs-CZ"/>
        </w:rPr>
        <w:t>Potenciální střety s přítomnými limity a hodnotami které vyplynuly ze složkové a prostorové analýzy:</w:t>
      </w:r>
    </w:p>
    <w:p w14:paraId="09DB128E" w14:textId="43ECE61F" w:rsidR="00E13BC6" w:rsidRPr="006B3F59" w:rsidRDefault="00E13BC6" w:rsidP="00E13BC6">
      <w:pPr>
        <w:pStyle w:val="Odstavecseseznamem"/>
        <w:numPr>
          <w:ilvl w:val="0"/>
          <w:numId w:val="35"/>
        </w:numPr>
        <w:rPr>
          <w:szCs w:val="20"/>
        </w:rPr>
      </w:pPr>
      <w:r w:rsidRPr="006B3F59">
        <w:rPr>
          <w:szCs w:val="20"/>
        </w:rPr>
        <w:t xml:space="preserve">Nemovitá kulturní památka Viadukt železniční tratě Praha </w:t>
      </w:r>
      <w:r w:rsidR="00C51945" w:rsidRPr="006B3F59">
        <w:rPr>
          <w:szCs w:val="20"/>
        </w:rPr>
        <w:t>Bubeneč – Kralupy</w:t>
      </w:r>
      <w:r w:rsidRPr="006B3F59">
        <w:rPr>
          <w:szCs w:val="20"/>
        </w:rPr>
        <w:t xml:space="preserve"> nad Vltavou – Děčín, katalogové číslo č. 1903221187. Z hlediska posuzované změny územního plánu bez přímého dotčení, jsou vytvářeny územní předpoklady pro vedení tramvajové trati v prostoru, mezi stávající ulici Podbabskou a železniční tratí, to znamená dílčí rozšíření plochy S2 v kontaktu s tímto viaduktem. Lze očekávat potenciální ovlivnění z hlediska urbánního rázu území vzhledem k památkově chráněnému </w:t>
      </w:r>
      <w:r w:rsidR="00C51945" w:rsidRPr="006B3F59">
        <w:rPr>
          <w:szCs w:val="20"/>
        </w:rPr>
        <w:t>objektu</w:t>
      </w:r>
      <w:r w:rsidRPr="006B3F59">
        <w:rPr>
          <w:szCs w:val="20"/>
        </w:rPr>
        <w:t xml:space="preserve">, dojde k novému kontextu v umístění dopravních staveb v území v důsledku vložení nové tramvajové trati. V navazujících řízeních je tak třeba zajisti nejen fyzické zachování nemovité kulturní památky, ale i zachování jejího charakteru z vizuálního hlediska. </w:t>
      </w:r>
    </w:p>
    <w:p w14:paraId="3F84E260" w14:textId="0BC5B636" w:rsidR="00BE30C9" w:rsidRPr="006B3F59" w:rsidRDefault="00BE30C9">
      <w:pPr>
        <w:pStyle w:val="Odstavecseseznamem"/>
        <w:numPr>
          <w:ilvl w:val="0"/>
          <w:numId w:val="35"/>
        </w:numPr>
        <w:rPr>
          <w:noProof/>
          <w:szCs w:val="20"/>
          <w:lang w:eastAsia="cs-CZ"/>
        </w:rPr>
      </w:pPr>
      <w:r w:rsidRPr="006B3F59">
        <w:rPr>
          <w:noProof/>
          <w:szCs w:val="20"/>
          <w:lang w:eastAsia="cs-CZ"/>
        </w:rPr>
        <w:t>ÚAN kategorie II, III. a IV lze očekávat potenciální střet na úrovni konkrétní</w:t>
      </w:r>
      <w:r w:rsidR="00A91093" w:rsidRPr="006B3F59">
        <w:rPr>
          <w:noProof/>
          <w:szCs w:val="20"/>
          <w:lang w:eastAsia="cs-CZ"/>
        </w:rPr>
        <w:t>ch</w:t>
      </w:r>
      <w:r w:rsidRPr="006B3F59">
        <w:rPr>
          <w:noProof/>
          <w:szCs w:val="20"/>
          <w:lang w:eastAsia="cs-CZ"/>
        </w:rPr>
        <w:t xml:space="preserve"> stav</w:t>
      </w:r>
      <w:r w:rsidR="00A91093" w:rsidRPr="006B3F59">
        <w:rPr>
          <w:noProof/>
          <w:szCs w:val="20"/>
          <w:lang w:eastAsia="cs-CZ"/>
        </w:rPr>
        <w:t>e</w:t>
      </w:r>
      <w:r w:rsidRPr="006B3F59">
        <w:rPr>
          <w:noProof/>
          <w:szCs w:val="20"/>
          <w:lang w:eastAsia="cs-CZ"/>
        </w:rPr>
        <w:t>b v závislosti na jej</w:t>
      </w:r>
      <w:r w:rsidR="00A91093" w:rsidRPr="006B3F59">
        <w:rPr>
          <w:noProof/>
          <w:szCs w:val="20"/>
          <w:lang w:eastAsia="cs-CZ"/>
        </w:rPr>
        <w:t xml:space="preserve">ich konkrétním </w:t>
      </w:r>
      <w:r w:rsidRPr="006B3F59">
        <w:rPr>
          <w:noProof/>
          <w:szCs w:val="20"/>
          <w:lang w:eastAsia="cs-CZ"/>
        </w:rPr>
        <w:t>technickém řešení</w:t>
      </w:r>
      <w:r w:rsidR="00A91093" w:rsidRPr="006B3F59">
        <w:rPr>
          <w:noProof/>
          <w:szCs w:val="20"/>
          <w:lang w:eastAsia="cs-CZ"/>
        </w:rPr>
        <w:t>, mimo podrobnost územního plánu</w:t>
      </w:r>
      <w:r w:rsidRPr="006B3F59">
        <w:rPr>
          <w:noProof/>
          <w:szCs w:val="20"/>
          <w:lang w:eastAsia="cs-CZ"/>
        </w:rPr>
        <w:t>.</w:t>
      </w:r>
    </w:p>
    <w:p w14:paraId="27DFC18C" w14:textId="24BEA0E0" w:rsidR="00BE30C9" w:rsidRPr="006B3F59" w:rsidRDefault="00BE30C9">
      <w:pPr>
        <w:pStyle w:val="Odstavecseseznamem"/>
        <w:numPr>
          <w:ilvl w:val="0"/>
          <w:numId w:val="35"/>
        </w:numPr>
        <w:rPr>
          <w:noProof/>
          <w:szCs w:val="20"/>
          <w:lang w:eastAsia="cs-CZ"/>
        </w:rPr>
      </w:pPr>
      <w:r w:rsidRPr="006B3F59">
        <w:rPr>
          <w:noProof/>
          <w:szCs w:val="20"/>
          <w:lang w:eastAsia="cs-CZ"/>
        </w:rPr>
        <w:t xml:space="preserve">Citlivá oblast dle zákona o vodách: celé území ČR – územní střet, faktický vliv neočekáváme, </w:t>
      </w:r>
      <w:r w:rsidR="00A91093" w:rsidRPr="006B3F59">
        <w:rPr>
          <w:noProof/>
          <w:szCs w:val="20"/>
          <w:lang w:eastAsia="cs-CZ"/>
        </w:rPr>
        <w:t>po</w:t>
      </w:r>
      <w:r w:rsidR="00CE5B76" w:rsidRPr="006B3F59">
        <w:rPr>
          <w:noProof/>
          <w:szCs w:val="20"/>
          <w:lang w:eastAsia="cs-CZ"/>
        </w:rPr>
        <w:t>s</w:t>
      </w:r>
      <w:r w:rsidR="00A91093" w:rsidRPr="006B3F59">
        <w:rPr>
          <w:noProof/>
          <w:szCs w:val="20"/>
          <w:lang w:eastAsia="cs-CZ"/>
        </w:rPr>
        <w:t xml:space="preserve">uzovaná změna </w:t>
      </w:r>
      <w:r w:rsidRPr="006B3F59">
        <w:rPr>
          <w:noProof/>
          <w:szCs w:val="20"/>
          <w:lang w:eastAsia="cs-CZ"/>
        </w:rPr>
        <w:t xml:space="preserve">negeneruje ovlivnění chemických vlastností povrchových vod. </w:t>
      </w:r>
    </w:p>
    <w:p w14:paraId="4B2F77AD" w14:textId="36CEB106" w:rsidR="00635CDD" w:rsidRPr="006B3F59" w:rsidRDefault="00635CDD" w:rsidP="00635CDD">
      <w:pPr>
        <w:pStyle w:val="Odstavecseseznamem"/>
        <w:numPr>
          <w:ilvl w:val="0"/>
          <w:numId w:val="35"/>
        </w:numPr>
        <w:rPr>
          <w:noProof/>
          <w:szCs w:val="20"/>
          <w:lang w:eastAsia="cs-CZ"/>
        </w:rPr>
      </w:pPr>
      <w:r w:rsidRPr="006B3F59">
        <w:rPr>
          <w:noProof/>
          <w:szCs w:val="20"/>
          <w:lang w:eastAsia="cs-CZ"/>
        </w:rPr>
        <w:t xml:space="preserve">Zranitelná oblast dle zákona o vodách: k.ú. Sedlec a Suchdol – územní střet, faktický vliv neočekáváme, posuzovaná změna nenavrhuje zemědělské využití území. </w:t>
      </w:r>
    </w:p>
    <w:p w14:paraId="531FAF3B" w14:textId="3A02DDF6" w:rsidR="00C46457" w:rsidRPr="006B3F59" w:rsidRDefault="00C46457" w:rsidP="009B4A0C">
      <w:pPr>
        <w:pStyle w:val="Odstavecseseznamem"/>
        <w:numPr>
          <w:ilvl w:val="0"/>
          <w:numId w:val="35"/>
        </w:numPr>
        <w:rPr>
          <w:noProof/>
          <w:szCs w:val="20"/>
          <w:lang w:eastAsia="cs-CZ"/>
        </w:rPr>
      </w:pPr>
      <w:r w:rsidRPr="006B3F59">
        <w:rPr>
          <w:noProof/>
          <w:szCs w:val="20"/>
          <w:lang w:eastAsia="cs-CZ"/>
        </w:rPr>
        <w:lastRenderedPageBreak/>
        <w:t xml:space="preserve">ZCHÚ Maloplošná zvláště chráněná území: PP Baba, PP Podbabské skály, EVL Kaňon Vltavy u Sedlce. Plochy navržené posuzovanou změnou ke změně funkčního využití nebudou mít přímý dopad do přítomných zvláště chráněných území ani EVL. K přímým územním střetům nedochází. Lze očekávat zvýšený tlak především z hlediska PP Podbabské skály v důsledku zlepšení přístupnosti tohoto prostoru, na druhou stranu dojde k vymezení ploch zelně v nárazníkové zóně a řešení stávajícího provozu na skládce sypkých materiálů v přímo navazujícím území a vymzení ploch ZMK a PS. </w:t>
      </w:r>
    </w:p>
    <w:p w14:paraId="047AF68C" w14:textId="01C8D681" w:rsidR="00C46457" w:rsidRPr="006B3F59" w:rsidRDefault="00C46457" w:rsidP="00635CDD">
      <w:pPr>
        <w:pStyle w:val="Odstavecseseznamem"/>
        <w:numPr>
          <w:ilvl w:val="0"/>
          <w:numId w:val="35"/>
        </w:numPr>
        <w:rPr>
          <w:noProof/>
          <w:szCs w:val="20"/>
          <w:lang w:eastAsia="cs-CZ"/>
        </w:rPr>
      </w:pPr>
      <w:r w:rsidRPr="006B3F59">
        <w:rPr>
          <w:noProof/>
          <w:szCs w:val="20"/>
          <w:lang w:eastAsia="cs-CZ"/>
        </w:rPr>
        <w:t xml:space="preserve">ÚSES ochranné pásmo NRBK podél Vltavy, v oblasti Výhledů funkční nadregionálním biokoridor N3/9, který navazuje na biocentrum L1/165 severně od Kamýcké ulice změnou je vloženo nové lokálního biocentrum (označené L1/428) do tohoto biokoridoru. Korekce hranice ÚSES severně od ulice Kamýcké a v novém Sedlci je pouze opravou nepřesnosti. Bez očekávaných negativních vlivů. Řešení navržené v posuzované změně ÚP bude mít na funkčnost ÚSES v tomto prostoru potenciálně pozitivní vliv. </w:t>
      </w:r>
    </w:p>
    <w:p w14:paraId="4E10D646" w14:textId="54469116" w:rsidR="00BE30C9" w:rsidRPr="006B3F59" w:rsidRDefault="00BE30C9">
      <w:pPr>
        <w:pStyle w:val="Odstavecseseznamem"/>
        <w:numPr>
          <w:ilvl w:val="0"/>
          <w:numId w:val="35"/>
        </w:numPr>
        <w:rPr>
          <w:noProof/>
          <w:szCs w:val="20"/>
          <w:lang w:eastAsia="cs-CZ"/>
        </w:rPr>
      </w:pPr>
      <w:r w:rsidRPr="006B3F59">
        <w:rPr>
          <w:noProof/>
          <w:szCs w:val="20"/>
          <w:lang w:eastAsia="cs-CZ"/>
        </w:rPr>
        <w:t xml:space="preserve">Hlukově zatížené území: </w:t>
      </w:r>
      <w:bookmarkStart w:id="160" w:name="_Hlk127880769"/>
      <w:r w:rsidR="00A91093" w:rsidRPr="006B3F59">
        <w:rPr>
          <w:szCs w:val="20"/>
        </w:rPr>
        <w:t xml:space="preserve">lokalita zatížena hlukem ze stávajícího provozu po ulicích </w:t>
      </w:r>
      <w:r w:rsidR="00E13BC6" w:rsidRPr="006B3F59">
        <w:rPr>
          <w:sz w:val="18"/>
          <w:szCs w:val="18"/>
        </w:rPr>
        <w:t xml:space="preserve">Kamýcká, Roztocká, Podbabská, železniční trať </w:t>
      </w:r>
      <w:r w:rsidRPr="006B3F59">
        <w:rPr>
          <w:noProof/>
          <w:szCs w:val="20"/>
          <w:lang w:eastAsia="cs-CZ"/>
        </w:rPr>
        <w:t>– potenciální ovlivnění stávající hlukové zátěže – vložení nového zdroje</w:t>
      </w:r>
      <w:r w:rsidR="00E13BC6" w:rsidRPr="006B3F59">
        <w:rPr>
          <w:noProof/>
          <w:szCs w:val="20"/>
          <w:lang w:eastAsia="cs-CZ"/>
        </w:rPr>
        <w:t xml:space="preserve"> hlukové zátěže v podobě železniční trati a vložení nového zdroje vyvolané dopravy</w:t>
      </w:r>
      <w:r w:rsidRPr="006B3F59">
        <w:rPr>
          <w:noProof/>
          <w:szCs w:val="20"/>
          <w:lang w:eastAsia="cs-CZ"/>
        </w:rPr>
        <w:t xml:space="preserve"> </w:t>
      </w:r>
      <w:r w:rsidR="006B62C8" w:rsidRPr="006B3F59">
        <w:rPr>
          <w:noProof/>
          <w:szCs w:val="20"/>
          <w:lang w:eastAsia="cs-CZ"/>
        </w:rPr>
        <w:t>v podobě rozvojových ploch v oblasti Nového Sedlce a Výhleů</w:t>
      </w:r>
      <w:r w:rsidR="00A91093" w:rsidRPr="006B3F59">
        <w:rPr>
          <w:noProof/>
          <w:szCs w:val="20"/>
          <w:lang w:eastAsia="cs-CZ"/>
        </w:rPr>
        <w:t xml:space="preserve">, a tím i </w:t>
      </w:r>
      <w:r w:rsidRPr="006B3F59">
        <w:rPr>
          <w:noProof/>
          <w:szCs w:val="20"/>
          <w:lang w:eastAsia="cs-CZ"/>
        </w:rPr>
        <w:t xml:space="preserve">hlukové zátěže do území, spolupůsobení s existujícími zdroji hlukové zátěže. </w:t>
      </w:r>
    </w:p>
    <w:bookmarkEnd w:id="160"/>
    <w:p w14:paraId="18F3EC4D" w14:textId="582C23F5" w:rsidR="00024117" w:rsidRPr="006B3F59" w:rsidRDefault="00024117">
      <w:pPr>
        <w:pStyle w:val="Odstavecseseznamem"/>
        <w:numPr>
          <w:ilvl w:val="0"/>
          <w:numId w:val="35"/>
        </w:numPr>
        <w:rPr>
          <w:noProof/>
          <w:szCs w:val="20"/>
          <w:lang w:eastAsia="cs-CZ"/>
        </w:rPr>
      </w:pPr>
      <w:r w:rsidRPr="006B3F59">
        <w:rPr>
          <w:noProof/>
          <w:szCs w:val="20"/>
          <w:lang w:eastAsia="cs-CZ"/>
        </w:rPr>
        <w:t xml:space="preserve">Staré ekologické </w:t>
      </w:r>
      <w:r w:rsidR="003577E4" w:rsidRPr="006B3F59">
        <w:rPr>
          <w:noProof/>
          <w:szCs w:val="20"/>
          <w:lang w:eastAsia="cs-CZ"/>
        </w:rPr>
        <w:t>zátěže</w:t>
      </w:r>
      <w:r w:rsidR="00A561AC">
        <w:rPr>
          <w:noProof/>
          <w:szCs w:val="20"/>
          <w:lang w:eastAsia="cs-CZ"/>
        </w:rPr>
        <w:t>:</w:t>
      </w:r>
      <w:r w:rsidR="003577E4" w:rsidRPr="006B3F59">
        <w:rPr>
          <w:noProof/>
          <w:szCs w:val="20"/>
          <w:lang w:eastAsia="cs-CZ"/>
        </w:rPr>
        <w:t xml:space="preserve"> </w:t>
      </w:r>
      <w:r w:rsidR="00C46457" w:rsidRPr="006B3F59">
        <w:rPr>
          <w:noProof/>
          <w:szCs w:val="20"/>
          <w:lang w:eastAsia="cs-CZ"/>
        </w:rPr>
        <w:t>Skládka u bývalé cihelny, ID lokality 30041018 – neprozkoumaná lokalita bez aktuálních rizik, Skládka ve vytěžených zemnících v Sedlci, ID lokality 30041019 – kontaminace je potvrzena, nereprezentuje aktuální zdravotní riziko ani rozpor s legislativou, není však vyloučena možnost dalšího šíření</w:t>
      </w:r>
      <w:r w:rsidRPr="006B3F59">
        <w:rPr>
          <w:szCs w:val="20"/>
        </w:rPr>
        <w:t>– potenciální ovlivnění kvality bydlení, pokud by byly umístěny objekty určené pro trvalé bydlení.</w:t>
      </w:r>
    </w:p>
    <w:p w14:paraId="47C8D777" w14:textId="4933B568" w:rsidR="00D71275" w:rsidRPr="006B3F59" w:rsidRDefault="00D71275">
      <w:pPr>
        <w:pStyle w:val="Odstavecseseznamem"/>
        <w:numPr>
          <w:ilvl w:val="0"/>
          <w:numId w:val="35"/>
        </w:numPr>
        <w:rPr>
          <w:noProof/>
          <w:szCs w:val="20"/>
          <w:lang w:eastAsia="cs-CZ"/>
        </w:rPr>
      </w:pPr>
      <w:r w:rsidRPr="006B3F59">
        <w:rPr>
          <w:szCs w:val="20"/>
        </w:rPr>
        <w:t xml:space="preserve">CHLÚ </w:t>
      </w:r>
      <w:r w:rsidR="00CF6B6D" w:rsidRPr="006B3F59">
        <w:rPr>
          <w:szCs w:val="20"/>
        </w:rPr>
        <w:t>nevýhradní</w:t>
      </w:r>
      <w:r w:rsidR="00CF6B6D">
        <w:rPr>
          <w:szCs w:val="20"/>
        </w:rPr>
        <w:t>:</w:t>
      </w:r>
      <w:r w:rsidR="00CF6B6D" w:rsidRPr="006B3F59">
        <w:rPr>
          <w:szCs w:val="20"/>
        </w:rPr>
        <w:t xml:space="preserve"> Sedlec</w:t>
      </w:r>
      <w:r w:rsidRPr="006B3F59">
        <w:rPr>
          <w:szCs w:val="20"/>
        </w:rPr>
        <w:t xml:space="preserve"> – Únětice, sprašové hlíny, těžba již ukončena, </w:t>
      </w:r>
      <w:r w:rsidR="00C51945" w:rsidRPr="006B3F59">
        <w:rPr>
          <w:szCs w:val="20"/>
        </w:rPr>
        <w:t>území</w:t>
      </w:r>
      <w:r w:rsidRPr="006B3F59">
        <w:rPr>
          <w:szCs w:val="20"/>
        </w:rPr>
        <w:t xml:space="preserve"> určeno k zastavění i v současnosti. V navazujících řízeních požádat Báňský úřad o zrušení evidence této části ložiska. </w:t>
      </w:r>
    </w:p>
    <w:p w14:paraId="5A3376B7" w14:textId="24BA185B" w:rsidR="006B62C8" w:rsidRPr="006B3F59" w:rsidRDefault="006B62C8">
      <w:pPr>
        <w:pStyle w:val="Odstavecseseznamem"/>
        <w:numPr>
          <w:ilvl w:val="0"/>
          <w:numId w:val="35"/>
        </w:numPr>
        <w:rPr>
          <w:noProof/>
          <w:szCs w:val="20"/>
          <w:lang w:eastAsia="cs-CZ"/>
        </w:rPr>
      </w:pPr>
      <w:r w:rsidRPr="006B3F59">
        <w:rPr>
          <w:szCs w:val="20"/>
        </w:rPr>
        <w:t>Sesuvné území</w:t>
      </w:r>
      <w:r w:rsidR="00A561AC">
        <w:rPr>
          <w:szCs w:val="20"/>
        </w:rPr>
        <w:t xml:space="preserve">: </w:t>
      </w:r>
      <w:r w:rsidR="005A380B" w:rsidRPr="006B3F59">
        <w:rPr>
          <w:szCs w:val="20"/>
        </w:rPr>
        <w:t xml:space="preserve">na rozhraní ploch </w:t>
      </w:r>
      <w:r w:rsidR="002D6994">
        <w:rPr>
          <w:szCs w:val="20"/>
        </w:rPr>
        <w:t>O</w:t>
      </w:r>
      <w:r w:rsidR="005A380B" w:rsidRPr="006B3F59">
        <w:rPr>
          <w:szCs w:val="20"/>
        </w:rPr>
        <w:t>B</w:t>
      </w:r>
      <w:r w:rsidR="002D6994">
        <w:rPr>
          <w:szCs w:val="20"/>
        </w:rPr>
        <w:t>-</w:t>
      </w:r>
      <w:r w:rsidR="005A380B" w:rsidRPr="006B3F59">
        <w:rPr>
          <w:szCs w:val="20"/>
        </w:rPr>
        <w:t xml:space="preserve">C a ZMK severně od bývalé výtopny je ČGS evidováno </w:t>
      </w:r>
      <w:r w:rsidR="00C46457" w:rsidRPr="006B3F59">
        <w:rPr>
          <w:szCs w:val="20"/>
        </w:rPr>
        <w:t>a</w:t>
      </w:r>
      <w:r w:rsidR="005A380B" w:rsidRPr="006B3F59">
        <w:rPr>
          <w:szCs w:val="20"/>
        </w:rPr>
        <w:t>ktivní sesuvné území. V navazujících řízeních je třeba zajistit sanaci, resp. stabilizaci území na základě podrobného IG průzkumu.</w:t>
      </w:r>
    </w:p>
    <w:p w14:paraId="500FBD4C" w14:textId="33F21D7C" w:rsidR="00F549D0" w:rsidRPr="006B3F59" w:rsidRDefault="00F549D0">
      <w:pPr>
        <w:pStyle w:val="Odstavecseseznamem"/>
        <w:numPr>
          <w:ilvl w:val="0"/>
          <w:numId w:val="35"/>
        </w:numPr>
        <w:rPr>
          <w:noProof/>
          <w:szCs w:val="20"/>
          <w:lang w:eastAsia="cs-CZ"/>
        </w:rPr>
      </w:pPr>
      <w:r w:rsidRPr="006B3F59">
        <w:rPr>
          <w:noProof/>
          <w:szCs w:val="20"/>
          <w:lang w:eastAsia="cs-CZ"/>
        </w:rPr>
        <w:t>Záplavové území Vltavy, určeném k ochraně zajišťované městem pro Q2002, kde protipovodňová opatření jsou již realizována a posuzovaná změna je respektuje.</w:t>
      </w:r>
    </w:p>
    <w:p w14:paraId="4D5D92C4" w14:textId="0AB42B03" w:rsidR="006B62C8" w:rsidRPr="006B3F59" w:rsidRDefault="006B62C8">
      <w:pPr>
        <w:pStyle w:val="Odstavecseseznamem"/>
        <w:numPr>
          <w:ilvl w:val="0"/>
          <w:numId w:val="35"/>
        </w:numPr>
        <w:rPr>
          <w:noProof/>
          <w:szCs w:val="20"/>
          <w:lang w:eastAsia="cs-CZ"/>
        </w:rPr>
      </w:pPr>
      <w:r w:rsidRPr="006B3F59">
        <w:rPr>
          <w:noProof/>
          <w:szCs w:val="20"/>
          <w:lang w:eastAsia="cs-CZ"/>
        </w:rPr>
        <w:t>Krajinný ráz</w:t>
      </w:r>
      <w:r w:rsidR="00A561AC">
        <w:rPr>
          <w:noProof/>
          <w:szCs w:val="20"/>
          <w:lang w:eastAsia="cs-CZ"/>
        </w:rPr>
        <w:t>:</w:t>
      </w:r>
      <w:r w:rsidR="005A380B" w:rsidRPr="006B3F59">
        <w:rPr>
          <w:noProof/>
          <w:szCs w:val="20"/>
          <w:lang w:eastAsia="cs-CZ"/>
        </w:rPr>
        <w:t xml:space="preserve"> PP Šárka – Lysolaje – bez přímého dotčení, vizuální kontext nové tramvajové trati a ostatních dopravních staveb v prostoru ulice Podbabské s východním průčelím Baby a Podbabských skal – potenciální ovlivnní krajinného rázu v závislosti na konkrétním projekčním řešení tramvajové trati. Rozvojové plochy Nového Sedlce navazují na vizuálně související prostor PP Šárka – Lysolaje a přechod do krajiny vymezenými plochami ZMK s funkcí ÚSES. </w:t>
      </w:r>
    </w:p>
    <w:p w14:paraId="0060CEAE" w14:textId="1E561DFC" w:rsidR="00B92AAD" w:rsidRPr="006B3F59" w:rsidRDefault="00D230E2" w:rsidP="00D230E2">
      <w:r w:rsidRPr="006B3F59">
        <w:t xml:space="preserve">Shrnutí: </w:t>
      </w:r>
      <w:r w:rsidR="00B92AAD" w:rsidRPr="006B3F59">
        <w:t xml:space="preserve">Posuzovanou změnu územního plánu lze rozdělit z hlediska prostorové i funkční souvislosti na tři oblasti oblast Nového Sedlce a Podbaby, oblast ulice Kamýcká a oblast Výhledů. </w:t>
      </w:r>
    </w:p>
    <w:p w14:paraId="028B726D" w14:textId="77949A79" w:rsidR="00B92AAD" w:rsidRPr="006B3F59" w:rsidRDefault="00B92AAD" w:rsidP="00D230E2">
      <w:r w:rsidRPr="006B3F59">
        <w:t>Nový Sedlec a Podbaba</w:t>
      </w:r>
    </w:p>
    <w:p w14:paraId="7996646D" w14:textId="298A6819" w:rsidR="00B92AAD" w:rsidRPr="006B3F59" w:rsidRDefault="00B92AAD" w:rsidP="00D230E2">
      <w:r w:rsidRPr="006B3F59">
        <w:t>V tomto území se mimo vložení nové tramvajové trati do stávajících dopravních koridorů v souběhu s ulicí Podbabská a Roztocká mění především charakter doposud výrobního charakteru území v prostoru bývalých těžeben</w:t>
      </w:r>
      <w:r w:rsidR="00D71275" w:rsidRPr="006B3F59">
        <w:t xml:space="preserve"> sprašové hlíny</w:t>
      </w:r>
      <w:r w:rsidRPr="006B3F59">
        <w:t xml:space="preserve">, cihelny a výtopny, dnes z části charakteru brownfields, do podoby nové obytné čtvrti. Zásadním impulsem je potom vložení tramvajové trati, která zásadním způsobem zlepší dostupnost území a umožní transformaci průmyslového charakteru ploch do ploch rezidenčních v souladu s jejich polohou v rámci města. Jedná se o zanedbané území s dnes již nevyhovujícím funkčním využitím v prostoru vnitřního města a atraktivní poloze z hlediska dostupnosti i krajinného zázemí. Navrhované využití je tak v souladu s potřebami města i jeho obyvatel, stabilizuje i dále rozvíjí i krajinný rámec. </w:t>
      </w:r>
    </w:p>
    <w:p w14:paraId="16684640" w14:textId="51A1A801" w:rsidR="00F83493" w:rsidRPr="006B3F59" w:rsidRDefault="00F83493" w:rsidP="00D230E2">
      <w:r w:rsidRPr="006B3F59">
        <w:t>Kamýcká</w:t>
      </w:r>
    </w:p>
    <w:p w14:paraId="292C5D40" w14:textId="26B8DFF0" w:rsidR="00F83493" w:rsidRPr="006B3F59" w:rsidRDefault="00F83493" w:rsidP="00D230E2">
      <w:r w:rsidRPr="006B3F59">
        <w:t>V prostoru ulice Kamýck</w:t>
      </w:r>
      <w:r w:rsidR="00D71275" w:rsidRPr="006B3F59">
        <w:t>á</w:t>
      </w:r>
      <w:r w:rsidRPr="006B3F59">
        <w:t xml:space="preserve"> jsou změnou územního plánu vytvářeny územní předpoklady pro zásadní zlepšení dopravní obsluhy území v souvislosti s novou tramvajovou tratí, stabilizací a oddálením přivaděče Rybářka vůči rezidenční zástavbě, koordinaci s připravovanou nadřazenou dopravní infrastrukturou (SOKP) a dopravními opatřeními na hranici Prahy (terminál Výhledy, P+R). Z hlediska územního plánu jsou tak navrhovány především dílčí úpravy a místní rozšíření ploch dopravy. Těmito dílčími úpravami jsou však vytvářeny územní předpoklady pro zlepšení dopravní obsluhy území na místní úrovni v podobě optimalizaci systému VHD a návaznost na území Středočeského kraje spolu s koordinací se zásadními dopravními stavbami v podobě staveb SOKP s pozitivním vlivem na úrovni celé aglomerace. </w:t>
      </w:r>
    </w:p>
    <w:p w14:paraId="5574A227" w14:textId="7D801F78" w:rsidR="00F83493" w:rsidRPr="006B3F59" w:rsidRDefault="00F83493" w:rsidP="00D230E2">
      <w:r w:rsidRPr="006B3F59">
        <w:t>Výhledy</w:t>
      </w:r>
    </w:p>
    <w:p w14:paraId="4EF377D3" w14:textId="1D73D2C1" w:rsidR="00F83493" w:rsidRDefault="00F83493" w:rsidP="00D230E2">
      <w:r w:rsidRPr="006B3F59">
        <w:lastRenderedPageBreak/>
        <w:t>V prostoru Výhledů potom v souvislosti s dopravním terminálem a funkcí P+R</w:t>
      </w:r>
      <w:r w:rsidR="00F55814" w:rsidRPr="006B3F59">
        <w:t xml:space="preserve"> dochází k rozšíření ploch dopravy, a zvýšení intenzity využití ploch OV, spolu s vymezením ploch zeleně při přechodu do krajiny. Dojde tak k urbanistickému dotvoření a uzavření tohoto prostoru v kontextu ostatních rozvojových záměrů a potřeb města v oblasti dopravní obslužnosti a </w:t>
      </w:r>
      <w:r w:rsidR="00DA212B" w:rsidRPr="006B3F59">
        <w:t>řešení problému IAD na úrovni aglomerace.</w:t>
      </w:r>
      <w:r w:rsidR="00DA212B">
        <w:t xml:space="preserve"> </w:t>
      </w:r>
    </w:p>
    <w:p w14:paraId="355F5B5A" w14:textId="19FD9D10" w:rsidR="00D230E2" w:rsidRPr="006B3F59" w:rsidRDefault="00D230E2" w:rsidP="00D230E2">
      <w:r w:rsidRPr="006B3F59">
        <w:t>Z hlediska svého věcného řešení není změna v zásadním střetu s </w:t>
      </w:r>
      <w:r w:rsidR="006B3F59" w:rsidRPr="006B3F59">
        <w:t>přítomnými</w:t>
      </w:r>
      <w:r w:rsidRPr="006B3F59">
        <w:t xml:space="preserve"> limity využití území, jak dokládá prostorová analýza územně analytických podkladů viz </w:t>
      </w:r>
      <w:r w:rsidR="004625F0" w:rsidRPr="006B3F59">
        <w:fldChar w:fldCharType="begin"/>
      </w:r>
      <w:r w:rsidR="004625F0" w:rsidRPr="006B3F59">
        <w:instrText xml:space="preserve"> REF _Ref136955954 \r \h </w:instrText>
      </w:r>
      <w:r w:rsidR="006B3F59">
        <w:instrText xml:space="preserve"> \* MERGEFORMAT </w:instrText>
      </w:r>
      <w:r w:rsidR="004625F0" w:rsidRPr="006B3F59">
        <w:fldChar w:fldCharType="separate"/>
      </w:r>
      <w:r w:rsidR="00EF1B4A">
        <w:t>Obr. 42</w:t>
      </w:r>
      <w:r w:rsidR="004625F0" w:rsidRPr="006B3F59">
        <w:fldChar w:fldCharType="end"/>
      </w:r>
      <w:r w:rsidRPr="006B3F59">
        <w:t>.</w:t>
      </w:r>
    </w:p>
    <w:p w14:paraId="26B83C6C" w14:textId="69F0D4E1" w:rsidR="00BD7256" w:rsidRPr="006B3F59" w:rsidRDefault="00D230E2" w:rsidP="00BE30C9">
      <w:pPr>
        <w:rPr>
          <w:rFonts w:cs="Arial"/>
        </w:rPr>
      </w:pPr>
      <w:r w:rsidRPr="006B3F59">
        <w:rPr>
          <w:rFonts w:cs="Arial"/>
        </w:rPr>
        <w:t>Změna</w:t>
      </w:r>
      <w:r w:rsidR="00DA212B" w:rsidRPr="006B3F59">
        <w:rPr>
          <w:rFonts w:cs="Arial"/>
        </w:rPr>
        <w:t xml:space="preserve"> samotná je </w:t>
      </w:r>
      <w:r w:rsidRPr="006B3F59">
        <w:rPr>
          <w:rFonts w:cs="Arial"/>
        </w:rPr>
        <w:t>lokálního charakteru</w:t>
      </w:r>
      <w:r w:rsidR="00DA212B" w:rsidRPr="006B3F59">
        <w:rPr>
          <w:rFonts w:cs="Arial"/>
        </w:rPr>
        <w:t xml:space="preserve"> i když reaguje na záměry nadmístního významu</w:t>
      </w:r>
      <w:r w:rsidRPr="006B3F59">
        <w:rPr>
          <w:rFonts w:cs="Arial"/>
        </w:rPr>
        <w:t>, návrh zakládá předpoklady pro vytvoření funkční čtvrti s</w:t>
      </w:r>
      <w:r w:rsidR="00DA212B" w:rsidRPr="006B3F59">
        <w:rPr>
          <w:rFonts w:cs="Arial"/>
        </w:rPr>
        <w:t xml:space="preserve"> dobrou dopravní dostupností, </w:t>
      </w:r>
      <w:r w:rsidRPr="006B3F59">
        <w:rPr>
          <w:rFonts w:cs="Arial"/>
        </w:rPr>
        <w:t xml:space="preserve">občanskou vybaveností, veřejnými prostranstvími v zeleni. Oblast kumulací je v tomto případě bezprostřední okolí vymezených ploch a vizuálně dotčený krajinný prostor s omezenou viditelností především na krátké vzdálenosti do prostoru okolních </w:t>
      </w:r>
      <w:r w:rsidR="003577E4" w:rsidRPr="006B3F59">
        <w:rPr>
          <w:rFonts w:cs="Arial"/>
        </w:rPr>
        <w:t>ulic,</w:t>
      </w:r>
      <w:r w:rsidR="00C578E8" w:rsidRPr="006B3F59">
        <w:rPr>
          <w:rFonts w:cs="Arial"/>
        </w:rPr>
        <w:t xml:space="preserve"> res</w:t>
      </w:r>
      <w:r w:rsidR="007D0703" w:rsidRPr="006B3F59">
        <w:rPr>
          <w:rFonts w:cs="Arial"/>
        </w:rPr>
        <w:t>p</w:t>
      </w:r>
      <w:r w:rsidR="00C578E8" w:rsidRPr="006B3F59">
        <w:rPr>
          <w:rFonts w:cs="Arial"/>
        </w:rPr>
        <w:t>. vyvýšenin v závislosti na aktuální zastavěnosti území</w:t>
      </w:r>
      <w:r w:rsidRPr="006B3F59">
        <w:rPr>
          <w:rFonts w:cs="Arial"/>
        </w:rPr>
        <w:t xml:space="preserve"> viz </w:t>
      </w:r>
      <w:r w:rsidR="000C4F0C" w:rsidRPr="006B3F59">
        <w:rPr>
          <w:rFonts w:cs="Arial"/>
        </w:rPr>
        <w:fldChar w:fldCharType="begin"/>
      </w:r>
      <w:r w:rsidR="000C4F0C" w:rsidRPr="006B3F59">
        <w:rPr>
          <w:rFonts w:cs="Arial"/>
        </w:rPr>
        <w:instrText xml:space="preserve"> REF _Ref136340610 \r \h </w:instrText>
      </w:r>
      <w:r w:rsidR="006B3F59">
        <w:rPr>
          <w:rFonts w:cs="Arial"/>
        </w:rPr>
        <w:instrText xml:space="preserve"> \* MERGEFORMAT </w:instrText>
      </w:r>
      <w:r w:rsidR="000C4F0C" w:rsidRPr="006B3F59">
        <w:rPr>
          <w:rFonts w:cs="Arial"/>
        </w:rPr>
      </w:r>
      <w:r w:rsidR="000C4F0C" w:rsidRPr="006B3F59">
        <w:rPr>
          <w:rFonts w:cs="Arial"/>
        </w:rPr>
        <w:fldChar w:fldCharType="separate"/>
      </w:r>
      <w:r w:rsidR="00EF1B4A">
        <w:rPr>
          <w:rFonts w:cs="Arial"/>
        </w:rPr>
        <w:t xml:space="preserve">Obr. </w:t>
      </w:r>
      <w:r w:rsidR="000C4F0C" w:rsidRPr="006B3F59">
        <w:rPr>
          <w:rFonts w:cs="Arial"/>
        </w:rPr>
        <w:fldChar w:fldCharType="end"/>
      </w:r>
      <w:r w:rsidR="004625F0" w:rsidRPr="006B3F59">
        <w:rPr>
          <w:rFonts w:cs="Arial"/>
        </w:rPr>
        <w:fldChar w:fldCharType="begin"/>
      </w:r>
      <w:r w:rsidR="004625F0" w:rsidRPr="006B3F59">
        <w:rPr>
          <w:rFonts w:cs="Arial"/>
        </w:rPr>
        <w:instrText xml:space="preserve"> REF _Ref136955978 \r \h </w:instrText>
      </w:r>
      <w:r w:rsidR="006B3F59">
        <w:rPr>
          <w:rFonts w:cs="Arial"/>
        </w:rPr>
        <w:instrText xml:space="preserve"> \* MERGEFORMAT </w:instrText>
      </w:r>
      <w:r w:rsidR="004625F0" w:rsidRPr="006B3F59">
        <w:rPr>
          <w:rFonts w:cs="Arial"/>
        </w:rPr>
      </w:r>
      <w:r w:rsidR="004625F0" w:rsidRPr="006B3F59">
        <w:rPr>
          <w:rFonts w:cs="Arial"/>
        </w:rPr>
        <w:fldChar w:fldCharType="separate"/>
      </w:r>
      <w:r w:rsidR="00EF1B4A">
        <w:rPr>
          <w:rFonts w:cs="Arial"/>
        </w:rPr>
        <w:t>43</w:t>
      </w:r>
      <w:r w:rsidR="004625F0" w:rsidRPr="006B3F59">
        <w:rPr>
          <w:rFonts w:cs="Arial"/>
        </w:rPr>
        <w:fldChar w:fldCharType="end"/>
      </w:r>
      <w:r w:rsidR="004625F0" w:rsidRPr="006B3F59">
        <w:rPr>
          <w:rFonts w:cs="Arial"/>
        </w:rPr>
        <w:t>.</w:t>
      </w:r>
      <w:r w:rsidRPr="006B3F59">
        <w:rPr>
          <w:rFonts w:cs="Arial"/>
        </w:rPr>
        <w:t xml:space="preserve"> </w:t>
      </w:r>
    </w:p>
    <w:p w14:paraId="0CEE7239" w14:textId="77777777" w:rsidR="00CF7392" w:rsidRPr="006B3F59" w:rsidRDefault="00CF7392" w:rsidP="00CF7392">
      <w:pPr>
        <w:pStyle w:val="Podnadpis1"/>
        <w:rPr>
          <w:noProof/>
        </w:rPr>
      </w:pPr>
      <w:r w:rsidRPr="006B3F59">
        <w:rPr>
          <w:noProof/>
        </w:rPr>
        <w:t>Prostorová a složková analýza potenciálního  spolupůsobení vlivů</w:t>
      </w:r>
    </w:p>
    <w:p w14:paraId="5AB3E9F9" w14:textId="2893D95B" w:rsidR="00CF7392" w:rsidRPr="006B3F59" w:rsidRDefault="00CF7392" w:rsidP="00CF7392">
      <w:pPr>
        <w:rPr>
          <w:lang w:eastAsia="cs-CZ"/>
        </w:rPr>
      </w:pPr>
      <w:r w:rsidRPr="006B3F59">
        <w:rPr>
          <w:lang w:eastAsia="cs-CZ"/>
        </w:rPr>
        <w:t>Níže uvádíme stručný tabelární předmět v území již přítomných skutečností, resp. uvažovaných záměrů na změnu využití území, které prostorově souvisí s navrhovaným koridorem a složky životního prostředí, vůči kterým mohou spolu s navrhovanou ÚPD spolupůsobit.</w:t>
      </w:r>
    </w:p>
    <w:tbl>
      <w:tblPr>
        <w:tblStyle w:val="Mkatabulky"/>
        <w:tblW w:w="0" w:type="auto"/>
        <w:tblLook w:val="04A0" w:firstRow="1" w:lastRow="0" w:firstColumn="1" w:lastColumn="0" w:noHBand="0" w:noVBand="1"/>
      </w:tblPr>
      <w:tblGrid>
        <w:gridCol w:w="3209"/>
        <w:gridCol w:w="3209"/>
        <w:gridCol w:w="3210"/>
      </w:tblGrid>
      <w:tr w:rsidR="00CF7392" w:rsidRPr="006B3F59" w14:paraId="5427167D" w14:textId="77777777" w:rsidTr="009B4A0C">
        <w:tc>
          <w:tcPr>
            <w:tcW w:w="9628" w:type="dxa"/>
            <w:gridSpan w:val="3"/>
            <w:vAlign w:val="center"/>
          </w:tcPr>
          <w:p w14:paraId="4323EC25" w14:textId="77777777" w:rsidR="00CF7392" w:rsidRPr="006B3F59" w:rsidRDefault="00CF7392" w:rsidP="009B4A0C">
            <w:pPr>
              <w:jc w:val="center"/>
              <w:rPr>
                <w:b/>
                <w:bCs/>
                <w:lang w:eastAsia="cs-CZ"/>
              </w:rPr>
            </w:pPr>
            <w:r w:rsidRPr="006B3F59">
              <w:rPr>
                <w:b/>
                <w:bCs/>
                <w:lang w:eastAsia="cs-CZ"/>
              </w:rPr>
              <w:t>Spolupůsobící skutečnosti přítomné</w:t>
            </w:r>
          </w:p>
        </w:tc>
      </w:tr>
      <w:tr w:rsidR="00CF7392" w:rsidRPr="006B3F59" w14:paraId="65342D37" w14:textId="77777777" w:rsidTr="009B4A0C">
        <w:tc>
          <w:tcPr>
            <w:tcW w:w="3209" w:type="dxa"/>
          </w:tcPr>
          <w:p w14:paraId="7A96AB73" w14:textId="77777777" w:rsidR="00CF7392" w:rsidRPr="006B3F59" w:rsidRDefault="00CF7392" w:rsidP="009B4A0C">
            <w:pPr>
              <w:rPr>
                <w:b/>
                <w:bCs/>
                <w:lang w:eastAsia="cs-CZ"/>
              </w:rPr>
            </w:pPr>
            <w:r w:rsidRPr="006B3F59">
              <w:rPr>
                <w:b/>
                <w:bCs/>
                <w:lang w:eastAsia="cs-CZ"/>
              </w:rPr>
              <w:t xml:space="preserve">Spolupůsobící skutečnosti </w:t>
            </w:r>
          </w:p>
        </w:tc>
        <w:tc>
          <w:tcPr>
            <w:tcW w:w="3209" w:type="dxa"/>
          </w:tcPr>
          <w:p w14:paraId="013C4627" w14:textId="77777777" w:rsidR="00CF7392" w:rsidRPr="006B3F59" w:rsidRDefault="00CF7392" w:rsidP="009B4A0C">
            <w:pPr>
              <w:rPr>
                <w:b/>
                <w:bCs/>
                <w:lang w:eastAsia="cs-CZ"/>
              </w:rPr>
            </w:pPr>
            <w:r w:rsidRPr="006B3F59">
              <w:rPr>
                <w:b/>
                <w:bCs/>
                <w:lang w:eastAsia="cs-CZ"/>
              </w:rPr>
              <w:t>Potenciálně ovlivněné složky ŽP</w:t>
            </w:r>
          </w:p>
        </w:tc>
        <w:tc>
          <w:tcPr>
            <w:tcW w:w="3210" w:type="dxa"/>
          </w:tcPr>
          <w:p w14:paraId="005C04E3" w14:textId="789D673A" w:rsidR="00CF7392" w:rsidRPr="006B3F59" w:rsidRDefault="00CF7392" w:rsidP="009B4A0C">
            <w:pPr>
              <w:rPr>
                <w:b/>
                <w:bCs/>
                <w:lang w:eastAsia="cs-CZ"/>
              </w:rPr>
            </w:pPr>
            <w:r w:rsidRPr="006B3F59">
              <w:rPr>
                <w:b/>
                <w:bCs/>
                <w:lang w:eastAsia="cs-CZ"/>
              </w:rPr>
              <w:t>Spolupůsobení ve vztahu k </w:t>
            </w:r>
            <w:r w:rsidR="00464BE1">
              <w:rPr>
                <w:b/>
                <w:bCs/>
                <w:lang w:eastAsia="cs-CZ"/>
              </w:rPr>
              <w:t>posuzované změně</w:t>
            </w:r>
          </w:p>
        </w:tc>
      </w:tr>
      <w:tr w:rsidR="00CF7392" w:rsidRPr="006B3F59" w14:paraId="26319A47" w14:textId="77777777" w:rsidTr="009B4A0C">
        <w:tc>
          <w:tcPr>
            <w:tcW w:w="3209" w:type="dxa"/>
          </w:tcPr>
          <w:p w14:paraId="1DB77787" w14:textId="58FDC0EB" w:rsidR="00CF7392" w:rsidRPr="006B3F59" w:rsidRDefault="00CF7392" w:rsidP="009B4A0C">
            <w:r w:rsidRPr="006B3F59">
              <w:rPr>
                <w:lang w:eastAsia="cs-CZ"/>
              </w:rPr>
              <w:t xml:space="preserve">Zastavěné území – rezidenční plochy v prostoru </w:t>
            </w:r>
            <w:r w:rsidR="00DA212B" w:rsidRPr="006B3F59">
              <w:rPr>
                <w:lang w:eastAsia="cs-CZ"/>
              </w:rPr>
              <w:t>podél ulice Kamýcká, oboustranně</w:t>
            </w:r>
            <w:r w:rsidRPr="006B3F59">
              <w:t xml:space="preserve">, </w:t>
            </w:r>
            <w:r w:rsidR="00DA212B" w:rsidRPr="006B3F59">
              <w:t>areál Zemědělské Univerzity</w:t>
            </w:r>
          </w:p>
          <w:p w14:paraId="22712A45" w14:textId="77777777" w:rsidR="00CF7392" w:rsidRPr="006B3F59" w:rsidRDefault="00CF7392" w:rsidP="009B4A0C">
            <w:pPr>
              <w:rPr>
                <w:lang w:eastAsia="cs-CZ"/>
              </w:rPr>
            </w:pPr>
          </w:p>
        </w:tc>
        <w:tc>
          <w:tcPr>
            <w:tcW w:w="3209" w:type="dxa"/>
          </w:tcPr>
          <w:p w14:paraId="6A6F63B1" w14:textId="77777777" w:rsidR="00CF7392" w:rsidRPr="006B3F59" w:rsidRDefault="00CF7392" w:rsidP="009B4A0C">
            <w:pPr>
              <w:rPr>
                <w:lang w:eastAsia="cs-CZ"/>
              </w:rPr>
            </w:pPr>
            <w:r w:rsidRPr="006B3F59">
              <w:rPr>
                <w:lang w:eastAsia="cs-CZ"/>
              </w:rPr>
              <w:t>Hluková zátěž</w:t>
            </w:r>
          </w:p>
          <w:p w14:paraId="4E507A35" w14:textId="77777777" w:rsidR="00CF7392" w:rsidRPr="006B3F59" w:rsidRDefault="00CF7392" w:rsidP="009B4A0C">
            <w:pPr>
              <w:rPr>
                <w:lang w:eastAsia="cs-CZ"/>
              </w:rPr>
            </w:pPr>
            <w:r w:rsidRPr="006B3F59">
              <w:rPr>
                <w:lang w:eastAsia="cs-CZ"/>
              </w:rPr>
              <w:t>Obyvatelstvo a veřejné zdraví</w:t>
            </w:r>
          </w:p>
          <w:p w14:paraId="006D153B" w14:textId="77777777" w:rsidR="00CF7392" w:rsidRPr="006B3F59" w:rsidRDefault="00CF7392" w:rsidP="009B4A0C">
            <w:pPr>
              <w:rPr>
                <w:lang w:eastAsia="cs-CZ"/>
              </w:rPr>
            </w:pPr>
            <w:r w:rsidRPr="006B3F59">
              <w:rPr>
                <w:lang w:eastAsia="cs-CZ"/>
              </w:rPr>
              <w:t>Retenční schopnost území</w:t>
            </w:r>
          </w:p>
          <w:p w14:paraId="73D420F8" w14:textId="77777777" w:rsidR="00CF7392" w:rsidRPr="006B3F59" w:rsidRDefault="00CF7392" w:rsidP="009B4A0C">
            <w:pPr>
              <w:rPr>
                <w:lang w:eastAsia="cs-CZ"/>
              </w:rPr>
            </w:pPr>
            <w:r w:rsidRPr="006B3F59">
              <w:rPr>
                <w:lang w:eastAsia="cs-CZ"/>
              </w:rPr>
              <w:t>Mikroklima</w:t>
            </w:r>
          </w:p>
          <w:p w14:paraId="2C01AE33" w14:textId="77777777" w:rsidR="00CF7392" w:rsidRPr="006B3F59" w:rsidRDefault="00CF7392" w:rsidP="009B4A0C">
            <w:pPr>
              <w:rPr>
                <w:lang w:eastAsia="cs-CZ"/>
              </w:rPr>
            </w:pPr>
            <w:r w:rsidRPr="006B3F59">
              <w:rPr>
                <w:lang w:eastAsia="cs-CZ"/>
              </w:rPr>
              <w:t>Krajinný ráz</w:t>
            </w:r>
          </w:p>
        </w:tc>
        <w:tc>
          <w:tcPr>
            <w:tcW w:w="3210" w:type="dxa"/>
          </w:tcPr>
          <w:p w14:paraId="5784B351" w14:textId="26F277A1" w:rsidR="00CF7392" w:rsidRPr="006B3F59" w:rsidRDefault="00CF7392" w:rsidP="009B4A0C">
            <w:pPr>
              <w:rPr>
                <w:noProof/>
                <w:lang w:eastAsia="cs-CZ"/>
              </w:rPr>
            </w:pPr>
            <w:r w:rsidRPr="006B3F59">
              <w:rPr>
                <w:noProof/>
                <w:lang w:eastAsia="cs-CZ"/>
              </w:rPr>
              <w:t xml:space="preserve">Potenciální ovlivnění stávající hlukové zátěže – vložení nového zdroje hlukové zátěže do území, spolupůsobení s existujícími zdroji hlukové zátěže – provoz po ulici </w:t>
            </w:r>
            <w:r w:rsidR="00DA212B" w:rsidRPr="006B3F59">
              <w:rPr>
                <w:noProof/>
                <w:lang w:eastAsia="cs-CZ"/>
              </w:rPr>
              <w:t>Kamýcká</w:t>
            </w:r>
            <w:r w:rsidRPr="006B3F59">
              <w:rPr>
                <w:noProof/>
                <w:lang w:eastAsia="cs-CZ"/>
              </w:rPr>
              <w:t>, potenciální ovlivnění stávající hlukové zátěže u nejbližších hlukově chráněných prostor. Bude řešeno</w:t>
            </w:r>
            <w:r w:rsidR="00DA212B" w:rsidRPr="006B3F59">
              <w:rPr>
                <w:noProof/>
                <w:lang w:eastAsia="cs-CZ"/>
              </w:rPr>
              <w:t xml:space="preserve"> podrobným</w:t>
            </w:r>
            <w:r w:rsidRPr="006B3F59">
              <w:rPr>
                <w:noProof/>
                <w:lang w:eastAsia="cs-CZ"/>
              </w:rPr>
              <w:t xml:space="preserve"> </w:t>
            </w:r>
            <w:r w:rsidR="00DA212B" w:rsidRPr="006B3F59">
              <w:rPr>
                <w:noProof/>
                <w:lang w:eastAsia="cs-CZ"/>
              </w:rPr>
              <w:t>prověřením v navazujících řízeních a návrhem protihlukových opatření</w:t>
            </w:r>
            <w:r w:rsidRPr="006B3F59">
              <w:rPr>
                <w:noProof/>
                <w:lang w:eastAsia="cs-CZ"/>
              </w:rPr>
              <w:t>.</w:t>
            </w:r>
          </w:p>
          <w:p w14:paraId="18E00DA2" w14:textId="4EF45F92" w:rsidR="00CF7392" w:rsidRPr="006B3F59" w:rsidRDefault="00CF7392" w:rsidP="009B4A0C">
            <w:r w:rsidRPr="006B3F59">
              <w:t xml:space="preserve">Dojde k pozitivnímu synergickému spolupůsobení v kontextu vybavení území kapacitní </w:t>
            </w:r>
            <w:r w:rsidR="00DA212B" w:rsidRPr="006B3F59">
              <w:t>tramvajovou</w:t>
            </w:r>
            <w:r w:rsidRPr="006B3F59">
              <w:t xml:space="preserve"> dopravou, a předpokladu snížení individuální automobilové dopravy z hlediska především </w:t>
            </w:r>
            <w:r w:rsidR="00DA212B" w:rsidRPr="006B3F59">
              <w:t xml:space="preserve">místní dopravy a dopravy z okolí aglomerace </w:t>
            </w:r>
            <w:r w:rsidR="00C51945" w:rsidRPr="006B3F59">
              <w:t>ve</w:t>
            </w:r>
            <w:r w:rsidR="00DA212B" w:rsidRPr="006B3F59">
              <w:t xml:space="preserve"> vztahu bydlení – </w:t>
            </w:r>
            <w:r w:rsidR="00C51945" w:rsidRPr="006B3F59">
              <w:t>práce – škola</w:t>
            </w:r>
            <w:r w:rsidRPr="006B3F59">
              <w:t xml:space="preserve"> a zvýšení bezpečnosti dopravy jako celku. </w:t>
            </w:r>
          </w:p>
          <w:p w14:paraId="6677C635" w14:textId="77777777" w:rsidR="00CF7392" w:rsidRPr="006B3F59" w:rsidRDefault="00CF7392" w:rsidP="009B4A0C">
            <w:pPr>
              <w:rPr>
                <w:szCs w:val="20"/>
              </w:rPr>
            </w:pPr>
            <w:r w:rsidRPr="006B3F59">
              <w:rPr>
                <w:szCs w:val="20"/>
              </w:rPr>
              <w:t>Vyšší podíl zastavěného území v kontextu stávajícího zastavěného území a nově vymezeného koridoru s nepřímým spolupůsobením územního rozvoje v širším měřítku, a to vůči retenční schopnosti území v rozsahu celého nově vymezeného koridoru, obdobně zvýšení podílu zastavitelných ploch s potenciálním vlivem na zvýšení teplot povrchů v okolí nových staveb.</w:t>
            </w:r>
          </w:p>
          <w:p w14:paraId="1BFBCE9A" w14:textId="022C136D" w:rsidR="00CF7392" w:rsidRPr="006B3F59" w:rsidRDefault="00CF7392" w:rsidP="009B4A0C">
            <w:r w:rsidRPr="006B3F59">
              <w:lastRenderedPageBreak/>
              <w:t>Potenciálně spolupůsobit bude rovněž souběh stávajících sítí technické a dopravní infrastruktury spolu s</w:t>
            </w:r>
            <w:r w:rsidR="00DA212B" w:rsidRPr="006B3F59">
              <w:t> železniční tratí</w:t>
            </w:r>
            <w:r w:rsidRPr="006B3F59">
              <w:t xml:space="preserve">, které jsou vedeny v souběhu vůči krajinnému rázu, a to v rozsahu viditelnosti souběhu těchto staveb z okraje zástavby nebo otevřené krajiny. </w:t>
            </w:r>
          </w:p>
        </w:tc>
      </w:tr>
      <w:tr w:rsidR="00CF7392" w:rsidRPr="006B3F59" w14:paraId="039CACE8" w14:textId="77777777" w:rsidTr="009B4A0C">
        <w:tc>
          <w:tcPr>
            <w:tcW w:w="3209" w:type="dxa"/>
          </w:tcPr>
          <w:p w14:paraId="57F84F56" w14:textId="099CDFEA" w:rsidR="00CF7392" w:rsidRPr="006B3F59" w:rsidRDefault="00CF7392" w:rsidP="009B4A0C">
            <w:pPr>
              <w:rPr>
                <w:lang w:eastAsia="cs-CZ"/>
              </w:rPr>
            </w:pPr>
            <w:r w:rsidRPr="006B3F59">
              <w:rPr>
                <w:lang w:eastAsia="cs-CZ"/>
              </w:rPr>
              <w:t xml:space="preserve">Zastavěné území – průmyslové a komerční plochy </w:t>
            </w:r>
            <w:r w:rsidR="00DA212B" w:rsidRPr="006B3F59">
              <w:rPr>
                <w:lang w:eastAsia="cs-CZ"/>
              </w:rPr>
              <w:t>podél ulice Podbabská, Roztocká, Kamýcká, v prostoru bývalých těžeben, průmyslových ploch, střelnice v novém Sedleci.</w:t>
            </w:r>
            <w:r w:rsidRPr="006B3F59">
              <w:rPr>
                <w:lang w:eastAsia="cs-CZ"/>
              </w:rPr>
              <w:t xml:space="preserve"> </w:t>
            </w:r>
          </w:p>
        </w:tc>
        <w:tc>
          <w:tcPr>
            <w:tcW w:w="3209" w:type="dxa"/>
          </w:tcPr>
          <w:p w14:paraId="6C088343" w14:textId="77777777" w:rsidR="00CF7392" w:rsidRPr="006B3F59" w:rsidRDefault="00CF7392" w:rsidP="009B4A0C">
            <w:pPr>
              <w:rPr>
                <w:lang w:eastAsia="cs-CZ"/>
              </w:rPr>
            </w:pPr>
            <w:r w:rsidRPr="006B3F59">
              <w:rPr>
                <w:lang w:eastAsia="cs-CZ"/>
              </w:rPr>
              <w:t>Retenční schopnost území</w:t>
            </w:r>
          </w:p>
          <w:p w14:paraId="1DA08632" w14:textId="77777777" w:rsidR="00CF7392" w:rsidRPr="006B3F59" w:rsidRDefault="00CF7392" w:rsidP="009B4A0C">
            <w:pPr>
              <w:rPr>
                <w:lang w:eastAsia="cs-CZ"/>
              </w:rPr>
            </w:pPr>
            <w:r w:rsidRPr="006B3F59">
              <w:rPr>
                <w:lang w:eastAsia="cs-CZ"/>
              </w:rPr>
              <w:t>Mikroklima</w:t>
            </w:r>
          </w:p>
          <w:p w14:paraId="3248F286" w14:textId="77777777" w:rsidR="00CF7392" w:rsidRPr="006B3F59" w:rsidRDefault="00CF7392" w:rsidP="009B4A0C">
            <w:pPr>
              <w:rPr>
                <w:lang w:eastAsia="cs-CZ"/>
              </w:rPr>
            </w:pPr>
            <w:r w:rsidRPr="006B3F59">
              <w:rPr>
                <w:lang w:eastAsia="cs-CZ"/>
              </w:rPr>
              <w:t>Krajinný ráz</w:t>
            </w:r>
          </w:p>
        </w:tc>
        <w:tc>
          <w:tcPr>
            <w:tcW w:w="3210" w:type="dxa"/>
          </w:tcPr>
          <w:p w14:paraId="338CC7A9" w14:textId="22A2731B" w:rsidR="00CF7392" w:rsidRPr="006B3F59" w:rsidRDefault="00CF7392" w:rsidP="009B4A0C">
            <w:pPr>
              <w:rPr>
                <w:szCs w:val="20"/>
              </w:rPr>
            </w:pPr>
            <w:r w:rsidRPr="006B3F59">
              <w:rPr>
                <w:szCs w:val="20"/>
              </w:rPr>
              <w:t xml:space="preserve">Vyšší podíl zastavěného území v kontextu stávajícího zastavěného území a nově </w:t>
            </w:r>
            <w:r w:rsidR="0088006D" w:rsidRPr="006B3F59">
              <w:rPr>
                <w:szCs w:val="20"/>
              </w:rPr>
              <w:t>vymezených ploch</w:t>
            </w:r>
            <w:r w:rsidRPr="006B3F59">
              <w:rPr>
                <w:szCs w:val="20"/>
              </w:rPr>
              <w:t xml:space="preserve"> s nepřímým spolupůsobením územního rozvoje v širším měřítku, a to vůči retenční schopnosti území v rozsahu celého </w:t>
            </w:r>
            <w:r w:rsidR="0088006D" w:rsidRPr="006B3F59">
              <w:rPr>
                <w:szCs w:val="20"/>
              </w:rPr>
              <w:t>řešeného území</w:t>
            </w:r>
            <w:r w:rsidRPr="006B3F59">
              <w:rPr>
                <w:szCs w:val="20"/>
              </w:rPr>
              <w:t>, obdobně zvýšení podílu zastavitelných ploch s potenciálním vlivem na zvýšení teplot povrchů v okolí nových staveb.</w:t>
            </w:r>
          </w:p>
          <w:p w14:paraId="3AD47516" w14:textId="35173AEB" w:rsidR="00CF7392" w:rsidRPr="006B3F59" w:rsidRDefault="00CF7392" w:rsidP="009B4A0C">
            <w:pPr>
              <w:rPr>
                <w:lang w:eastAsia="cs-CZ"/>
              </w:rPr>
            </w:pPr>
            <w:r w:rsidRPr="006B3F59">
              <w:t>Potenciálně spolupůsobit bude rovněž souběh stávajících sítí technické a dopravní infrastruktury spolu s</w:t>
            </w:r>
            <w:r w:rsidR="0088006D" w:rsidRPr="006B3F59">
              <w:t> tramvajovou tratí</w:t>
            </w:r>
            <w:r w:rsidRPr="006B3F59">
              <w:t xml:space="preserve">, které jsou vedeny v souběhu vůči krajinnému rázu, a to v rozsahu viditelnosti souběhu těchto staveb z okraje zástavby nebo otevřené krajiny. </w:t>
            </w:r>
          </w:p>
        </w:tc>
      </w:tr>
      <w:tr w:rsidR="00CF7392" w:rsidRPr="006B3F59" w14:paraId="25C46E3C" w14:textId="77777777" w:rsidTr="009B4A0C">
        <w:tc>
          <w:tcPr>
            <w:tcW w:w="3209" w:type="dxa"/>
          </w:tcPr>
          <w:p w14:paraId="2CA1E094" w14:textId="16B75E65" w:rsidR="00CF7392" w:rsidRPr="006B3F59" w:rsidRDefault="00CF7392" w:rsidP="009B4A0C">
            <w:pPr>
              <w:rPr>
                <w:lang w:eastAsia="cs-CZ"/>
              </w:rPr>
            </w:pPr>
            <w:r w:rsidRPr="006B3F59">
              <w:rPr>
                <w:lang w:eastAsia="cs-CZ"/>
              </w:rPr>
              <w:t>Dopravní stavby – stávající železniční trať</w:t>
            </w:r>
            <w:r w:rsidR="0088006D" w:rsidRPr="006B3F59">
              <w:rPr>
                <w:lang w:eastAsia="cs-CZ"/>
              </w:rPr>
              <w:t xml:space="preserve"> od Podbaby po křižovatku Roztocká</w:t>
            </w:r>
            <w:r w:rsidR="002D66C1">
              <w:rPr>
                <w:lang w:eastAsia="cs-CZ"/>
              </w:rPr>
              <w:t xml:space="preserve"> </w:t>
            </w:r>
            <w:r w:rsidR="0088006D" w:rsidRPr="006B3F59">
              <w:rPr>
                <w:lang w:eastAsia="cs-CZ"/>
              </w:rPr>
              <w:t>x</w:t>
            </w:r>
            <w:r w:rsidR="002D66C1">
              <w:rPr>
                <w:lang w:eastAsia="cs-CZ"/>
              </w:rPr>
              <w:t xml:space="preserve"> </w:t>
            </w:r>
            <w:r w:rsidR="0088006D" w:rsidRPr="006B3F59">
              <w:rPr>
                <w:lang w:eastAsia="cs-CZ"/>
              </w:rPr>
              <w:t>Kamýcká</w:t>
            </w:r>
            <w:r w:rsidRPr="006B3F59">
              <w:rPr>
                <w:lang w:eastAsia="cs-CZ"/>
              </w:rPr>
              <w:t xml:space="preserve">, ulice </w:t>
            </w:r>
            <w:r w:rsidR="0088006D" w:rsidRPr="006B3F59">
              <w:rPr>
                <w:lang w:eastAsia="cs-CZ"/>
              </w:rPr>
              <w:t>Podbabská a Roztocká tamtéž, ulice Kamýcká od křižovatky Roztocká x Kamýcká pro Výhledy</w:t>
            </w:r>
            <w:r w:rsidRPr="006B3F59">
              <w:rPr>
                <w:lang w:eastAsia="cs-CZ"/>
              </w:rPr>
              <w:t xml:space="preserve"> </w:t>
            </w:r>
          </w:p>
        </w:tc>
        <w:tc>
          <w:tcPr>
            <w:tcW w:w="3209" w:type="dxa"/>
          </w:tcPr>
          <w:p w14:paraId="59314C41" w14:textId="77777777" w:rsidR="00CF7392" w:rsidRPr="006B3F59" w:rsidRDefault="00CF7392" w:rsidP="009B4A0C">
            <w:pPr>
              <w:rPr>
                <w:lang w:eastAsia="cs-CZ"/>
              </w:rPr>
            </w:pPr>
            <w:r w:rsidRPr="006B3F59">
              <w:rPr>
                <w:lang w:eastAsia="cs-CZ"/>
              </w:rPr>
              <w:t>Voda</w:t>
            </w:r>
          </w:p>
          <w:p w14:paraId="5347462F" w14:textId="77777777" w:rsidR="00CF7392" w:rsidRPr="006B3F59" w:rsidRDefault="00CF7392" w:rsidP="009B4A0C">
            <w:pPr>
              <w:rPr>
                <w:lang w:eastAsia="cs-CZ"/>
              </w:rPr>
            </w:pPr>
            <w:r w:rsidRPr="006B3F59">
              <w:rPr>
                <w:lang w:eastAsia="cs-CZ"/>
              </w:rPr>
              <w:t>Hluková zátěž</w:t>
            </w:r>
          </w:p>
          <w:p w14:paraId="705C5A7A" w14:textId="77777777" w:rsidR="00CF7392" w:rsidRPr="006B3F59" w:rsidRDefault="00CF7392" w:rsidP="009B4A0C">
            <w:pPr>
              <w:rPr>
                <w:noProof/>
              </w:rPr>
            </w:pPr>
            <w:r w:rsidRPr="006B3F59">
              <w:rPr>
                <w:noProof/>
              </w:rPr>
              <w:t>Fauna, flóra, biodiverzita</w:t>
            </w:r>
          </w:p>
          <w:p w14:paraId="2207FF9F" w14:textId="77777777" w:rsidR="00CF7392" w:rsidRPr="006B3F59" w:rsidRDefault="00CF7392" w:rsidP="009B4A0C">
            <w:pPr>
              <w:rPr>
                <w:noProof/>
              </w:rPr>
            </w:pPr>
            <w:r w:rsidRPr="006B3F59">
              <w:rPr>
                <w:noProof/>
              </w:rPr>
              <w:t xml:space="preserve">Ochrana přírody </w:t>
            </w:r>
          </w:p>
          <w:p w14:paraId="27E62FA2" w14:textId="77777777" w:rsidR="00CF7392" w:rsidRPr="006B3F59" w:rsidRDefault="00CF7392" w:rsidP="009B4A0C">
            <w:pPr>
              <w:rPr>
                <w:noProof/>
              </w:rPr>
            </w:pPr>
            <w:r w:rsidRPr="006B3F59">
              <w:rPr>
                <w:noProof/>
              </w:rPr>
              <w:t>Retenční schopnost území</w:t>
            </w:r>
          </w:p>
          <w:p w14:paraId="44BE2E85" w14:textId="77777777" w:rsidR="00CF7392" w:rsidRPr="006B3F59" w:rsidRDefault="00CF7392" w:rsidP="009B4A0C">
            <w:pPr>
              <w:rPr>
                <w:noProof/>
              </w:rPr>
            </w:pPr>
            <w:r w:rsidRPr="006B3F59">
              <w:rPr>
                <w:noProof/>
              </w:rPr>
              <w:t>Mikroklima</w:t>
            </w:r>
          </w:p>
          <w:p w14:paraId="0FB84073" w14:textId="77777777" w:rsidR="00CF7392" w:rsidRPr="006B3F59" w:rsidRDefault="00CF7392" w:rsidP="009B4A0C">
            <w:pPr>
              <w:rPr>
                <w:lang w:eastAsia="cs-CZ"/>
              </w:rPr>
            </w:pPr>
            <w:r w:rsidRPr="006B3F59">
              <w:rPr>
                <w:lang w:eastAsia="cs-CZ"/>
              </w:rPr>
              <w:t>Krajinný ráz</w:t>
            </w:r>
          </w:p>
          <w:p w14:paraId="4F0B87E5" w14:textId="6B21279A" w:rsidR="0088006D" w:rsidRPr="006B3F59" w:rsidRDefault="0088006D" w:rsidP="009B4A0C">
            <w:pPr>
              <w:rPr>
                <w:lang w:eastAsia="cs-CZ"/>
              </w:rPr>
            </w:pPr>
            <w:r w:rsidRPr="006B3F59">
              <w:rPr>
                <w:lang w:eastAsia="cs-CZ"/>
              </w:rPr>
              <w:t xml:space="preserve">Nemovité kulturní </w:t>
            </w:r>
            <w:r w:rsidR="00C51945" w:rsidRPr="006B3F59">
              <w:rPr>
                <w:lang w:eastAsia="cs-CZ"/>
              </w:rPr>
              <w:t>památky – viadukt</w:t>
            </w:r>
          </w:p>
        </w:tc>
        <w:tc>
          <w:tcPr>
            <w:tcW w:w="3210" w:type="dxa"/>
          </w:tcPr>
          <w:p w14:paraId="08694565" w14:textId="399879B8" w:rsidR="00CF7392" w:rsidRPr="006B3F59" w:rsidRDefault="00CF7392" w:rsidP="009B4A0C">
            <w:pPr>
              <w:rPr>
                <w:noProof/>
                <w:lang w:eastAsia="cs-CZ"/>
              </w:rPr>
            </w:pPr>
            <w:r w:rsidRPr="006B3F59">
              <w:rPr>
                <w:noProof/>
                <w:lang w:eastAsia="cs-CZ"/>
              </w:rPr>
              <w:t>Hlukové zatížení provozem z</w:t>
            </w:r>
            <w:r w:rsidR="00DB0508">
              <w:rPr>
                <w:noProof/>
                <w:lang w:eastAsia="cs-CZ"/>
              </w:rPr>
              <w:t> </w:t>
            </w:r>
            <w:r w:rsidRPr="006B3F59">
              <w:rPr>
                <w:noProof/>
                <w:lang w:eastAsia="cs-CZ"/>
              </w:rPr>
              <w:t>ulice Mladých Běchovic, D11, I/12, železniční trať Praha – Kolín – potenciální ovlivnění stávající hlukové zátěže – vložení nového zdroje hlukové zátěže do území, spolupůsobení s</w:t>
            </w:r>
            <w:r w:rsidR="00DB0508">
              <w:rPr>
                <w:noProof/>
                <w:lang w:eastAsia="cs-CZ"/>
              </w:rPr>
              <w:t> </w:t>
            </w:r>
            <w:r w:rsidRPr="006B3F59">
              <w:rPr>
                <w:noProof/>
                <w:lang w:eastAsia="cs-CZ"/>
              </w:rPr>
              <w:t>existujícími zdroji hlukové zátěže.</w:t>
            </w:r>
          </w:p>
          <w:p w14:paraId="4997E811" w14:textId="0C21F43A" w:rsidR="00CF7392" w:rsidRPr="006B3F59" w:rsidRDefault="00C51945" w:rsidP="009B4A0C">
            <w:r w:rsidRPr="006B3F59">
              <w:rPr>
                <w:lang w:eastAsia="cs-CZ"/>
              </w:rPr>
              <w:t>Blízkost EVL</w:t>
            </w:r>
            <w:r w:rsidR="00CF7392" w:rsidRPr="006B3F59">
              <w:rPr>
                <w:lang w:eastAsia="cs-CZ"/>
              </w:rPr>
              <w:t>, PP</w:t>
            </w:r>
            <w:r w:rsidR="0088006D" w:rsidRPr="006B3F59">
              <w:rPr>
                <w:lang w:eastAsia="cs-CZ"/>
              </w:rPr>
              <w:t xml:space="preserve"> Baba a PP Podbabské Skály. Vizuální kontakt PP Šárka-Lysolaje. </w:t>
            </w:r>
            <w:r w:rsidR="00CF7392" w:rsidRPr="006B3F59">
              <w:t>Souběh stávajících sítí technické a dopravní infrastruktury spolu s</w:t>
            </w:r>
            <w:r w:rsidR="00DB0508">
              <w:t> </w:t>
            </w:r>
            <w:r w:rsidR="0088006D" w:rsidRPr="006B3F59">
              <w:t>tramvajovou tratí</w:t>
            </w:r>
            <w:r w:rsidR="00CF7392" w:rsidRPr="006B3F59">
              <w:t xml:space="preserve"> vůči kategoriím ochrany přírody, kdy vy</w:t>
            </w:r>
            <w:r w:rsidR="0088006D" w:rsidRPr="006B3F59">
              <w:t xml:space="preserve">tvoření územních předpokladů pro tramvajovou trať přispěje </w:t>
            </w:r>
            <w:r w:rsidR="00CF7392" w:rsidRPr="006B3F59">
              <w:t>k</w:t>
            </w:r>
            <w:r w:rsidR="00DB0508">
              <w:t> </w:t>
            </w:r>
            <w:r w:rsidR="00CF7392" w:rsidRPr="006B3F59">
              <w:t xml:space="preserve">zesílení existující negativní disturbance </w:t>
            </w:r>
            <w:r w:rsidR="0088006D" w:rsidRPr="006B3F59">
              <w:t>podél východního průčelí PP Baba a Podbabských skal</w:t>
            </w:r>
            <w:r w:rsidR="00CF7392" w:rsidRPr="006B3F59">
              <w:t>, a to zejména z</w:t>
            </w:r>
            <w:r w:rsidR="00DB0508">
              <w:t> </w:t>
            </w:r>
            <w:r w:rsidR="00CF7392" w:rsidRPr="006B3F59">
              <w:t xml:space="preserve">hlediska zásahu do </w:t>
            </w:r>
            <w:r w:rsidR="0088006D" w:rsidRPr="006B3F59">
              <w:t xml:space="preserve">mimolesní zeleně a doprovodné zeleně podél </w:t>
            </w:r>
            <w:r w:rsidRPr="006B3F59">
              <w:t>komunikací</w:t>
            </w:r>
            <w:r w:rsidR="0088006D" w:rsidRPr="006B3F59">
              <w:t xml:space="preserve"> </w:t>
            </w:r>
            <w:r w:rsidR="00CF7392" w:rsidRPr="006B3F59">
              <w:t>a vlivu na krajinný ráz území. Je třeba řešit v</w:t>
            </w:r>
            <w:r w:rsidR="00DB0508">
              <w:t> </w:t>
            </w:r>
            <w:r w:rsidR="00CF7392" w:rsidRPr="006B3F59">
              <w:t>navazujících řízením prostřednictvím</w:t>
            </w:r>
            <w:r w:rsidR="0088006D" w:rsidRPr="006B3F59">
              <w:t xml:space="preserve"> vhodného projekčního řešení stavby a</w:t>
            </w:r>
            <w:r w:rsidR="00CF7392" w:rsidRPr="006B3F59">
              <w:t xml:space="preserve"> </w:t>
            </w:r>
            <w:r w:rsidR="0088006D" w:rsidRPr="006B3F59">
              <w:lastRenderedPageBreak/>
              <w:t>zapojením stavby do území např. výsadbou zeleně.</w:t>
            </w:r>
          </w:p>
          <w:p w14:paraId="3F25C353" w14:textId="72767376" w:rsidR="00CF7392" w:rsidRPr="006B3F59" w:rsidRDefault="00CF7392" w:rsidP="009B4A0C">
            <w:pPr>
              <w:rPr>
                <w:szCs w:val="20"/>
              </w:rPr>
            </w:pPr>
            <w:r w:rsidRPr="006B3F59">
              <w:rPr>
                <w:szCs w:val="20"/>
              </w:rPr>
              <w:t>Vyšší podíl zastavěného území v</w:t>
            </w:r>
            <w:r w:rsidR="00DB0508">
              <w:rPr>
                <w:szCs w:val="20"/>
              </w:rPr>
              <w:t> </w:t>
            </w:r>
            <w:r w:rsidRPr="006B3F59">
              <w:rPr>
                <w:szCs w:val="20"/>
              </w:rPr>
              <w:t xml:space="preserve">kontextu stávajícího zastavěného území a nově </w:t>
            </w:r>
            <w:r w:rsidR="0088006D" w:rsidRPr="006B3F59">
              <w:rPr>
                <w:szCs w:val="20"/>
              </w:rPr>
              <w:t>vymezených ploch</w:t>
            </w:r>
            <w:r w:rsidRPr="006B3F59">
              <w:rPr>
                <w:szCs w:val="20"/>
              </w:rPr>
              <w:t xml:space="preserve"> s</w:t>
            </w:r>
            <w:r w:rsidR="00DB0508">
              <w:rPr>
                <w:szCs w:val="20"/>
              </w:rPr>
              <w:t> </w:t>
            </w:r>
            <w:r w:rsidRPr="006B3F59">
              <w:rPr>
                <w:szCs w:val="20"/>
              </w:rPr>
              <w:t>nepřímým spolupůsobením územního rozvoje v</w:t>
            </w:r>
            <w:r w:rsidR="00DB0508">
              <w:rPr>
                <w:szCs w:val="20"/>
              </w:rPr>
              <w:t> </w:t>
            </w:r>
            <w:r w:rsidRPr="006B3F59">
              <w:rPr>
                <w:szCs w:val="20"/>
              </w:rPr>
              <w:t>širším měřítku, a to vůči retenční schopnosti území v</w:t>
            </w:r>
            <w:r w:rsidR="00DB0508">
              <w:rPr>
                <w:szCs w:val="20"/>
              </w:rPr>
              <w:t> </w:t>
            </w:r>
            <w:r w:rsidRPr="006B3F59">
              <w:rPr>
                <w:szCs w:val="20"/>
              </w:rPr>
              <w:t xml:space="preserve">rozsahu celého </w:t>
            </w:r>
            <w:r w:rsidR="0088006D" w:rsidRPr="006B3F59">
              <w:rPr>
                <w:szCs w:val="20"/>
              </w:rPr>
              <w:t>řešeného území</w:t>
            </w:r>
            <w:r w:rsidRPr="006B3F59">
              <w:rPr>
                <w:szCs w:val="20"/>
              </w:rPr>
              <w:t xml:space="preserve"> obdobně zvýšení podílu zastavitelných ploch s</w:t>
            </w:r>
            <w:r w:rsidR="00DB0508">
              <w:rPr>
                <w:szCs w:val="20"/>
              </w:rPr>
              <w:t> </w:t>
            </w:r>
            <w:r w:rsidRPr="006B3F59">
              <w:rPr>
                <w:szCs w:val="20"/>
              </w:rPr>
              <w:t>potenciálním vlivem na zvýšení teplot povrchů v</w:t>
            </w:r>
            <w:r w:rsidR="00DB0508">
              <w:rPr>
                <w:szCs w:val="20"/>
              </w:rPr>
              <w:t> </w:t>
            </w:r>
            <w:r w:rsidRPr="006B3F59">
              <w:rPr>
                <w:szCs w:val="20"/>
              </w:rPr>
              <w:t>okolí nových staveb.</w:t>
            </w:r>
            <w:r w:rsidR="0088006D" w:rsidRPr="006B3F59">
              <w:rPr>
                <w:szCs w:val="20"/>
              </w:rPr>
              <w:t xml:space="preserve"> Na druhou stranu dojde k</w:t>
            </w:r>
            <w:r w:rsidR="00DB0508">
              <w:rPr>
                <w:szCs w:val="20"/>
              </w:rPr>
              <w:t> </w:t>
            </w:r>
            <w:r w:rsidR="0088006D" w:rsidRPr="006B3F59">
              <w:rPr>
                <w:szCs w:val="20"/>
              </w:rPr>
              <w:t xml:space="preserve">transformaci ploch brownfields, zároveň jsou vymezeny ploch zeleně při přechodu do krajiny, resp. environmentálně </w:t>
            </w:r>
            <w:r w:rsidR="00CD67E0" w:rsidRPr="006B3F59">
              <w:rPr>
                <w:szCs w:val="20"/>
              </w:rPr>
              <w:t xml:space="preserve">cennějších částí území. </w:t>
            </w:r>
          </w:p>
          <w:p w14:paraId="40DF8DDE" w14:textId="52FB5B34" w:rsidR="00CF7392" w:rsidRPr="006B3F59" w:rsidRDefault="00CF7392" w:rsidP="009B4A0C">
            <w:r w:rsidRPr="006B3F59">
              <w:t>Potenciálně spolupůsobit bude rovněž souběh stávajících sítí technické a dopravní infrastruktury spolu s</w:t>
            </w:r>
            <w:r w:rsidR="00DB0508">
              <w:t> </w:t>
            </w:r>
            <w:r w:rsidR="00CD67E0" w:rsidRPr="006B3F59">
              <w:t>tramvajovou tratí</w:t>
            </w:r>
            <w:r w:rsidRPr="006B3F59">
              <w:t>, které jsou vedeny v</w:t>
            </w:r>
            <w:r w:rsidR="00DB0508">
              <w:t> </w:t>
            </w:r>
            <w:r w:rsidRPr="006B3F59">
              <w:t>souběhu vůči krajinnému rázu, a to v</w:t>
            </w:r>
            <w:r w:rsidR="00DB0508">
              <w:t> </w:t>
            </w:r>
            <w:r w:rsidRPr="006B3F59">
              <w:t>rozsahu viditelnosti těchto staveb z</w:t>
            </w:r>
            <w:r w:rsidR="00DB0508">
              <w:t> </w:t>
            </w:r>
            <w:r w:rsidRPr="006B3F59">
              <w:t xml:space="preserve">okraje zástavby nebo otevřené krajiny. </w:t>
            </w:r>
          </w:p>
          <w:p w14:paraId="26C319E0" w14:textId="74F6786F" w:rsidR="00983713" w:rsidRPr="006B3F59" w:rsidRDefault="00983713" w:rsidP="009B4A0C">
            <w:pPr>
              <w:rPr>
                <w:lang w:eastAsia="cs-CZ"/>
              </w:rPr>
            </w:pPr>
            <w:r w:rsidRPr="006B3F59">
              <w:rPr>
                <w:bCs/>
              </w:rPr>
              <w:t>Vizuálně spolupůsobit bude nová tramvajová trať spolu s</w:t>
            </w:r>
            <w:r w:rsidR="00DB0508">
              <w:rPr>
                <w:bCs/>
              </w:rPr>
              <w:t> </w:t>
            </w:r>
            <w:r w:rsidRPr="006B3F59">
              <w:rPr>
                <w:bCs/>
              </w:rPr>
              <w:t>existujícími dopravními stavbami v</w:t>
            </w:r>
            <w:r w:rsidR="00DB0508">
              <w:rPr>
                <w:bCs/>
              </w:rPr>
              <w:t> </w:t>
            </w:r>
            <w:r w:rsidRPr="006B3F59">
              <w:rPr>
                <w:bCs/>
              </w:rPr>
              <w:t>tomto prostor</w:t>
            </w:r>
            <w:r w:rsidR="004625F0" w:rsidRPr="006B3F59">
              <w:rPr>
                <w:bCs/>
              </w:rPr>
              <w:t>u,</w:t>
            </w:r>
            <w:r w:rsidRPr="006B3F59">
              <w:rPr>
                <w:bCs/>
              </w:rPr>
              <w:t xml:space="preserve"> tj. ulicí Podbabská a železniční tratí, přičemž návrh počítá s</w:t>
            </w:r>
            <w:r w:rsidR="00DB0508">
              <w:rPr>
                <w:bCs/>
              </w:rPr>
              <w:t> </w:t>
            </w:r>
            <w:r w:rsidRPr="006B3F59">
              <w:rPr>
                <w:bCs/>
              </w:rPr>
              <w:t>přimknutím tramvajové trati výškově i směrově k</w:t>
            </w:r>
            <w:r w:rsidR="00DB0508">
              <w:rPr>
                <w:bCs/>
              </w:rPr>
              <w:t> </w:t>
            </w:r>
            <w:r w:rsidRPr="006B3F59">
              <w:rPr>
                <w:bCs/>
              </w:rPr>
              <w:t>trati železniční. Územní plán</w:t>
            </w:r>
            <w:r w:rsidR="004625F0" w:rsidRPr="006B3F59">
              <w:rPr>
                <w:bCs/>
              </w:rPr>
              <w:t>,</w:t>
            </w:r>
            <w:r w:rsidRPr="006B3F59">
              <w:rPr>
                <w:bCs/>
              </w:rPr>
              <w:t xml:space="preserve"> a tedy ani jeho posouzení vlivů na životní prostředí sice neřeší konkrétní stavby v</w:t>
            </w:r>
            <w:r w:rsidR="00DB0508">
              <w:rPr>
                <w:bCs/>
              </w:rPr>
              <w:t> </w:t>
            </w:r>
            <w:r w:rsidRPr="006B3F59">
              <w:rPr>
                <w:bCs/>
              </w:rPr>
              <w:t>řešených plochách, v</w:t>
            </w:r>
            <w:r w:rsidR="00DB0508">
              <w:rPr>
                <w:bCs/>
              </w:rPr>
              <w:t> </w:t>
            </w:r>
            <w:r w:rsidRPr="006B3F59">
              <w:rPr>
                <w:bCs/>
              </w:rPr>
              <w:t>této souvislosti je však třeba upozornit na existenci nemovité kulturní památky Viaduktu stávající železniční dráhy v</w:t>
            </w:r>
            <w:r w:rsidR="00DB0508">
              <w:rPr>
                <w:bCs/>
              </w:rPr>
              <w:t> </w:t>
            </w:r>
            <w:r w:rsidRPr="006B3F59">
              <w:rPr>
                <w:bCs/>
              </w:rPr>
              <w:t>ulici V</w:t>
            </w:r>
            <w:r w:rsidR="00DB0508">
              <w:rPr>
                <w:bCs/>
              </w:rPr>
              <w:t> </w:t>
            </w:r>
            <w:r w:rsidRPr="006B3F59">
              <w:rPr>
                <w:bCs/>
              </w:rPr>
              <w:t>Podbabě, jejíž vizuální působení bude případným mostem přimknutým k</w:t>
            </w:r>
            <w:r w:rsidR="00DB0508">
              <w:rPr>
                <w:bCs/>
              </w:rPr>
              <w:t> </w:t>
            </w:r>
            <w:r w:rsidRPr="006B3F59">
              <w:rPr>
                <w:bCs/>
              </w:rPr>
              <w:t>tomuto viaduktu dotčeno.</w:t>
            </w:r>
          </w:p>
        </w:tc>
      </w:tr>
      <w:tr w:rsidR="00CF7392" w:rsidRPr="006B3F59" w14:paraId="00429ACB" w14:textId="77777777" w:rsidTr="009B4A0C">
        <w:tc>
          <w:tcPr>
            <w:tcW w:w="3209" w:type="dxa"/>
          </w:tcPr>
          <w:p w14:paraId="5B44A9F4" w14:textId="2E7727CC" w:rsidR="00CF7392" w:rsidRPr="006B3F59" w:rsidRDefault="00CF7392" w:rsidP="009B4A0C">
            <w:pPr>
              <w:rPr>
                <w:lang w:eastAsia="cs-CZ"/>
              </w:rPr>
            </w:pPr>
            <w:r w:rsidRPr="006B3F59">
              <w:rPr>
                <w:lang w:eastAsia="cs-CZ"/>
              </w:rPr>
              <w:t xml:space="preserve">Rekreační plochy </w:t>
            </w:r>
            <w:r w:rsidR="00CD67E0" w:rsidRPr="006B3F59">
              <w:rPr>
                <w:lang w:eastAsia="cs-CZ"/>
              </w:rPr>
              <w:t xml:space="preserve">– </w:t>
            </w:r>
            <w:r w:rsidR="00C51945" w:rsidRPr="006B3F59">
              <w:rPr>
                <w:lang w:eastAsia="cs-CZ"/>
              </w:rPr>
              <w:t>ZMK podél</w:t>
            </w:r>
            <w:r w:rsidR="00CD67E0" w:rsidRPr="006B3F59">
              <w:rPr>
                <w:lang w:eastAsia="cs-CZ"/>
              </w:rPr>
              <w:t xml:space="preserve"> Vltavy, v</w:t>
            </w:r>
            <w:r w:rsidR="00DB0508">
              <w:rPr>
                <w:lang w:eastAsia="cs-CZ"/>
              </w:rPr>
              <w:t> </w:t>
            </w:r>
            <w:r w:rsidR="00CD67E0" w:rsidRPr="006B3F59">
              <w:rPr>
                <w:lang w:eastAsia="cs-CZ"/>
              </w:rPr>
              <w:t xml:space="preserve">Podbabě a nad Podbabskými skalami. Střelnice. </w:t>
            </w:r>
          </w:p>
        </w:tc>
        <w:tc>
          <w:tcPr>
            <w:tcW w:w="3209" w:type="dxa"/>
          </w:tcPr>
          <w:p w14:paraId="1982A695" w14:textId="77777777" w:rsidR="00CF7392" w:rsidRPr="006B3F59" w:rsidRDefault="00CF7392" w:rsidP="009B4A0C">
            <w:pPr>
              <w:rPr>
                <w:lang w:eastAsia="cs-CZ"/>
              </w:rPr>
            </w:pPr>
            <w:r w:rsidRPr="006B3F59">
              <w:rPr>
                <w:lang w:eastAsia="cs-CZ"/>
              </w:rPr>
              <w:t>Obyvatelstvo a veřejné zdraví</w:t>
            </w:r>
          </w:p>
          <w:p w14:paraId="0F963228" w14:textId="77777777" w:rsidR="00CD67E0" w:rsidRPr="006B3F59" w:rsidRDefault="00CD67E0" w:rsidP="009B4A0C">
            <w:pPr>
              <w:rPr>
                <w:lang w:eastAsia="cs-CZ"/>
              </w:rPr>
            </w:pPr>
            <w:r w:rsidRPr="006B3F59">
              <w:rPr>
                <w:lang w:eastAsia="cs-CZ"/>
              </w:rPr>
              <w:t>Krajinný ráz</w:t>
            </w:r>
          </w:p>
          <w:p w14:paraId="7438D15A" w14:textId="306768F1" w:rsidR="00CD67E0" w:rsidRPr="006B3F59" w:rsidRDefault="00CD67E0" w:rsidP="009B4A0C">
            <w:pPr>
              <w:rPr>
                <w:lang w:eastAsia="cs-CZ"/>
              </w:rPr>
            </w:pPr>
            <w:r w:rsidRPr="006B3F59">
              <w:rPr>
                <w:lang w:eastAsia="cs-CZ"/>
              </w:rPr>
              <w:t>Biotopy zvláště chráněných druhů</w:t>
            </w:r>
          </w:p>
        </w:tc>
        <w:tc>
          <w:tcPr>
            <w:tcW w:w="3210" w:type="dxa"/>
          </w:tcPr>
          <w:p w14:paraId="42C4501F" w14:textId="605B33D4" w:rsidR="00CF7392" w:rsidRPr="006B3F59" w:rsidRDefault="00CD67E0" w:rsidP="009B4A0C">
            <w:pPr>
              <w:rPr>
                <w:lang w:eastAsia="cs-CZ"/>
              </w:rPr>
            </w:pPr>
            <w:r w:rsidRPr="006B3F59">
              <w:rPr>
                <w:lang w:eastAsia="cs-CZ"/>
              </w:rPr>
              <w:t>Bez přímého dotčení. Spolupůsobit bude vedení tramvajové trati v</w:t>
            </w:r>
            <w:r w:rsidR="00DB0508">
              <w:rPr>
                <w:lang w:eastAsia="cs-CZ"/>
              </w:rPr>
              <w:t> </w:t>
            </w:r>
            <w:r w:rsidRPr="006B3F59">
              <w:rPr>
                <w:lang w:eastAsia="cs-CZ"/>
              </w:rPr>
              <w:t>souběhu s</w:t>
            </w:r>
            <w:r w:rsidR="00DB0508">
              <w:rPr>
                <w:lang w:eastAsia="cs-CZ"/>
              </w:rPr>
              <w:t> </w:t>
            </w:r>
            <w:r w:rsidRPr="006B3F59">
              <w:rPr>
                <w:lang w:eastAsia="cs-CZ"/>
              </w:rPr>
              <w:t>ostatními dopravními stavbami vůči vizuálnímu kontextu Baby a Podbabských skal. K</w:t>
            </w:r>
            <w:r w:rsidR="00DB0508">
              <w:rPr>
                <w:lang w:eastAsia="cs-CZ"/>
              </w:rPr>
              <w:t> </w:t>
            </w:r>
            <w:r w:rsidRPr="006B3F59">
              <w:rPr>
                <w:lang w:eastAsia="cs-CZ"/>
              </w:rPr>
              <w:t>omezení rekreačního využití území nedojde</w:t>
            </w:r>
            <w:r w:rsidR="004625F0" w:rsidRPr="006B3F59">
              <w:rPr>
                <w:lang w:eastAsia="cs-CZ"/>
              </w:rPr>
              <w:t>, naopak změna vymezuje další plochy rekreace a zeleně</w:t>
            </w:r>
            <w:r w:rsidRPr="006B3F59">
              <w:rPr>
                <w:lang w:eastAsia="cs-CZ"/>
              </w:rPr>
              <w:t xml:space="preserve">. </w:t>
            </w:r>
            <w:r w:rsidRPr="006B3F59">
              <w:rPr>
                <w:lang w:eastAsia="cs-CZ"/>
              </w:rPr>
              <w:lastRenderedPageBreak/>
              <w:t>Lze očekávat zvýšený tlak návštěvníků v</w:t>
            </w:r>
            <w:r w:rsidR="00DB0508">
              <w:rPr>
                <w:lang w:eastAsia="cs-CZ"/>
              </w:rPr>
              <w:t> </w:t>
            </w:r>
            <w:r w:rsidRPr="006B3F59">
              <w:rPr>
                <w:lang w:eastAsia="cs-CZ"/>
              </w:rPr>
              <w:t>prostoru Podbabských skal, v</w:t>
            </w:r>
            <w:r w:rsidR="00DB0508">
              <w:rPr>
                <w:lang w:eastAsia="cs-CZ"/>
              </w:rPr>
              <w:t> </w:t>
            </w:r>
            <w:r w:rsidRPr="006B3F59">
              <w:rPr>
                <w:lang w:eastAsia="cs-CZ"/>
              </w:rPr>
              <w:t>důsledku zlepšení přístupnosti tohoto území spolu s</w:t>
            </w:r>
            <w:r w:rsidR="00DB0508">
              <w:rPr>
                <w:lang w:eastAsia="cs-CZ"/>
              </w:rPr>
              <w:t> </w:t>
            </w:r>
            <w:r w:rsidRPr="006B3F59">
              <w:rPr>
                <w:lang w:eastAsia="cs-CZ"/>
              </w:rPr>
              <w:t>rozvoje</w:t>
            </w:r>
            <w:r w:rsidR="004625F0" w:rsidRPr="006B3F59">
              <w:rPr>
                <w:lang w:eastAsia="cs-CZ"/>
              </w:rPr>
              <w:t>m</w:t>
            </w:r>
            <w:r w:rsidRPr="006B3F59">
              <w:rPr>
                <w:lang w:eastAsia="cs-CZ"/>
              </w:rPr>
              <w:t xml:space="preserve"> rezidenční čtvrti.</w:t>
            </w:r>
          </w:p>
        </w:tc>
      </w:tr>
      <w:tr w:rsidR="00CF7392" w:rsidRPr="006B3F59" w14:paraId="270BA13C" w14:textId="77777777" w:rsidTr="009B4A0C">
        <w:tc>
          <w:tcPr>
            <w:tcW w:w="9628" w:type="dxa"/>
            <w:gridSpan w:val="3"/>
          </w:tcPr>
          <w:p w14:paraId="163915F2" w14:textId="672BC4B3" w:rsidR="00CF7392" w:rsidRPr="006B3F59" w:rsidRDefault="00CF7392" w:rsidP="009B4A0C">
            <w:pPr>
              <w:rPr>
                <w:b/>
                <w:bCs/>
                <w:lang w:eastAsia="cs-CZ"/>
              </w:rPr>
            </w:pPr>
            <w:r w:rsidRPr="006B3F59">
              <w:rPr>
                <w:b/>
                <w:bCs/>
                <w:lang w:eastAsia="cs-CZ"/>
              </w:rPr>
              <w:t>Spolupůsobící skutečnosti uvažované nebo v</w:t>
            </w:r>
            <w:r w:rsidR="00DB0508">
              <w:rPr>
                <w:b/>
                <w:bCs/>
                <w:lang w:eastAsia="cs-CZ"/>
              </w:rPr>
              <w:t> </w:t>
            </w:r>
            <w:r w:rsidRPr="006B3F59">
              <w:rPr>
                <w:b/>
                <w:bCs/>
                <w:lang w:eastAsia="cs-CZ"/>
              </w:rPr>
              <w:t>realizaci</w:t>
            </w:r>
          </w:p>
        </w:tc>
      </w:tr>
      <w:tr w:rsidR="00CF7392" w:rsidRPr="006B3F59" w14:paraId="4BB9E73C" w14:textId="77777777" w:rsidTr="009B4A0C">
        <w:tc>
          <w:tcPr>
            <w:tcW w:w="3209" w:type="dxa"/>
          </w:tcPr>
          <w:p w14:paraId="0435451C" w14:textId="77777777" w:rsidR="00CF7392" w:rsidRPr="006B3F59" w:rsidRDefault="00CF7392" w:rsidP="009B4A0C">
            <w:r w:rsidRPr="006B3F59">
              <w:rPr>
                <w:b/>
                <w:bCs/>
                <w:lang w:eastAsia="cs-CZ"/>
              </w:rPr>
              <w:t xml:space="preserve">Spolupůsobící skutečnosti </w:t>
            </w:r>
          </w:p>
        </w:tc>
        <w:tc>
          <w:tcPr>
            <w:tcW w:w="3209" w:type="dxa"/>
          </w:tcPr>
          <w:p w14:paraId="0AA905B6" w14:textId="77777777" w:rsidR="00CF7392" w:rsidRPr="006B3F59" w:rsidRDefault="00CF7392" w:rsidP="009B4A0C">
            <w:pPr>
              <w:rPr>
                <w:lang w:eastAsia="cs-CZ"/>
              </w:rPr>
            </w:pPr>
            <w:r w:rsidRPr="006B3F59">
              <w:rPr>
                <w:b/>
                <w:bCs/>
                <w:lang w:eastAsia="cs-CZ"/>
              </w:rPr>
              <w:t>Potenciálně ovlivněné složky ŽP</w:t>
            </w:r>
          </w:p>
        </w:tc>
        <w:tc>
          <w:tcPr>
            <w:tcW w:w="3210" w:type="dxa"/>
          </w:tcPr>
          <w:p w14:paraId="114CD5FC" w14:textId="0C2D5781" w:rsidR="00CF7392" w:rsidRPr="006B3F59" w:rsidRDefault="00CF7392" w:rsidP="009B4A0C">
            <w:pPr>
              <w:pStyle w:val="Odrky1"/>
              <w:numPr>
                <w:ilvl w:val="0"/>
                <w:numId w:val="0"/>
              </w:numPr>
            </w:pPr>
            <w:r w:rsidRPr="006B3F59">
              <w:rPr>
                <w:b/>
                <w:bCs/>
                <w:lang w:eastAsia="cs-CZ"/>
              </w:rPr>
              <w:t>Spolupůsobení ve vztahu k</w:t>
            </w:r>
            <w:r w:rsidR="00DB0508">
              <w:rPr>
                <w:b/>
                <w:bCs/>
                <w:lang w:eastAsia="cs-CZ"/>
              </w:rPr>
              <w:t> </w:t>
            </w:r>
            <w:r w:rsidRPr="006B3F59">
              <w:rPr>
                <w:b/>
                <w:bCs/>
                <w:lang w:eastAsia="cs-CZ"/>
              </w:rPr>
              <w:t>AZÚR HMP</w:t>
            </w:r>
          </w:p>
        </w:tc>
      </w:tr>
      <w:tr w:rsidR="00CF7392" w:rsidRPr="006B3F59" w14:paraId="44D3B312" w14:textId="77777777" w:rsidTr="009B4A0C">
        <w:tc>
          <w:tcPr>
            <w:tcW w:w="3209" w:type="dxa"/>
          </w:tcPr>
          <w:p w14:paraId="1D4FB169" w14:textId="77777777" w:rsidR="00CF7392" w:rsidRPr="006B3F59" w:rsidRDefault="00CF7392" w:rsidP="009B4A0C">
            <w:r w:rsidRPr="006B3F59">
              <w:t>Stavba D0 51</w:t>
            </w:r>
            <w:r w:rsidR="00CD67E0" w:rsidRPr="006B3F59">
              <w:t>8</w:t>
            </w:r>
            <w:r w:rsidRPr="006B3F59">
              <w:t xml:space="preserve"> SOKP</w:t>
            </w:r>
          </w:p>
          <w:p w14:paraId="35E8B599" w14:textId="3910EAB8" w:rsidR="004625F0" w:rsidRPr="006B3F59" w:rsidRDefault="004625F0" w:rsidP="009B4A0C">
            <w:pPr>
              <w:rPr>
                <w:lang w:eastAsia="cs-CZ"/>
              </w:rPr>
            </w:pPr>
            <w:r w:rsidRPr="006B3F59">
              <w:t>Změna územního plánu Z</w:t>
            </w:r>
            <w:r w:rsidR="00DB0508">
              <w:t> </w:t>
            </w:r>
            <w:r w:rsidRPr="006B3F59">
              <w:t>2784/00</w:t>
            </w:r>
            <w:r w:rsidR="00D3594B" w:rsidRPr="006B3F59">
              <w:t xml:space="preserve"> upravující detaily v</w:t>
            </w:r>
            <w:r w:rsidR="00DB0508">
              <w:t> </w:t>
            </w:r>
            <w:r w:rsidR="00D3594B" w:rsidRPr="006B3F59">
              <w:t>souvislosti s</w:t>
            </w:r>
            <w:r w:rsidR="00DB0508">
              <w:t> </w:t>
            </w:r>
            <w:r w:rsidR="00D3594B" w:rsidRPr="006B3F59">
              <w:t xml:space="preserve">aktuálním </w:t>
            </w:r>
            <w:r w:rsidR="00C51945" w:rsidRPr="006B3F59">
              <w:t>vývojem projektové</w:t>
            </w:r>
            <w:r w:rsidR="00D3594B" w:rsidRPr="006B3F59">
              <w:t xml:space="preserve"> přípravy DO 518 SOKP</w:t>
            </w:r>
          </w:p>
        </w:tc>
        <w:tc>
          <w:tcPr>
            <w:tcW w:w="3209" w:type="dxa"/>
          </w:tcPr>
          <w:p w14:paraId="3B8B8F64" w14:textId="1676D97E" w:rsidR="00CF7392" w:rsidRPr="006B3F59" w:rsidRDefault="00CF7392" w:rsidP="009B4A0C">
            <w:pPr>
              <w:rPr>
                <w:lang w:eastAsia="cs-CZ"/>
              </w:rPr>
            </w:pPr>
            <w:r w:rsidRPr="006B3F59">
              <w:rPr>
                <w:lang w:eastAsia="cs-CZ"/>
              </w:rPr>
              <w:t xml:space="preserve">Bez přímé územní souvislosti </w:t>
            </w:r>
            <w:r w:rsidR="00CD67E0" w:rsidRPr="006B3F59">
              <w:rPr>
                <w:lang w:eastAsia="cs-CZ"/>
              </w:rPr>
              <w:t>s</w:t>
            </w:r>
            <w:r w:rsidR="00DB0508">
              <w:rPr>
                <w:lang w:eastAsia="cs-CZ"/>
              </w:rPr>
              <w:t> </w:t>
            </w:r>
            <w:r w:rsidR="00CD67E0" w:rsidRPr="006B3F59">
              <w:rPr>
                <w:lang w:eastAsia="cs-CZ"/>
              </w:rPr>
              <w:t xml:space="preserve">výjimkou posunutí portálu přivaděče Rybářka </w:t>
            </w:r>
          </w:p>
          <w:p w14:paraId="7408BCE0" w14:textId="77777777" w:rsidR="00CF7392" w:rsidRPr="006B3F59" w:rsidRDefault="00CF7392" w:rsidP="009B4A0C">
            <w:pPr>
              <w:rPr>
                <w:lang w:eastAsia="cs-CZ"/>
              </w:rPr>
            </w:pPr>
            <w:r w:rsidRPr="006B3F59">
              <w:rPr>
                <w:lang w:eastAsia="cs-CZ"/>
              </w:rPr>
              <w:t>Obyvatelstvo a veřejné zdraví</w:t>
            </w:r>
          </w:p>
        </w:tc>
        <w:tc>
          <w:tcPr>
            <w:tcW w:w="3210" w:type="dxa"/>
          </w:tcPr>
          <w:p w14:paraId="0E42DD81" w14:textId="43048D76" w:rsidR="00CF7392" w:rsidRPr="006B3F59" w:rsidRDefault="00CF7392" w:rsidP="009B4A0C">
            <w:pPr>
              <w:pStyle w:val="Odrky1"/>
              <w:numPr>
                <w:ilvl w:val="0"/>
                <w:numId w:val="0"/>
              </w:numPr>
            </w:pPr>
            <w:r w:rsidRPr="006B3F59">
              <w:t>Stavba D0 51</w:t>
            </w:r>
            <w:r w:rsidR="00CD67E0" w:rsidRPr="006B3F59">
              <w:t>8</w:t>
            </w:r>
            <w:r w:rsidRPr="006B3F59">
              <w:t xml:space="preserve"> SOKP bude realizována v</w:t>
            </w:r>
            <w:r w:rsidR="00DB0508">
              <w:t> </w:t>
            </w:r>
            <w:r w:rsidRPr="006B3F59">
              <w:t>obdob</w:t>
            </w:r>
            <w:r w:rsidR="00CD67E0" w:rsidRPr="006B3F59">
              <w:t>í po, resp. souběžně s</w:t>
            </w:r>
            <w:r w:rsidR="00DB0508">
              <w:t> </w:t>
            </w:r>
            <w:r w:rsidRPr="006B3F59">
              <w:t xml:space="preserve">realizací zde posuzované </w:t>
            </w:r>
            <w:r w:rsidR="00CD67E0" w:rsidRPr="006B3F59">
              <w:t>tramvajové trati, terminálu Výhledy a rozvoje území Suchdola a Vhledů</w:t>
            </w:r>
            <w:r w:rsidRPr="006B3F59">
              <w:t>, spolupůsobit tak bude především v</w:t>
            </w:r>
            <w:r w:rsidR="00DB0508">
              <w:t> </w:t>
            </w:r>
            <w:r w:rsidRPr="006B3F59">
              <w:t>kontextu SOKP v</w:t>
            </w:r>
            <w:r w:rsidR="00DB0508">
              <w:t> </w:t>
            </w:r>
            <w:r w:rsidRPr="006B3F59">
              <w:t xml:space="preserve">tomto úseku a </w:t>
            </w:r>
            <w:r w:rsidR="00CD67E0" w:rsidRPr="006B3F59">
              <w:t>přivaděče Rybářka</w:t>
            </w:r>
            <w:r w:rsidRPr="006B3F59">
              <w:t xml:space="preserve">, které odvedou dopravu ze zastavěného území </w:t>
            </w:r>
            <w:r w:rsidR="00CD67E0" w:rsidRPr="006B3F59">
              <w:t>Sedlce a Prahy 6</w:t>
            </w:r>
            <w:r w:rsidRPr="006B3F59">
              <w:t xml:space="preserve"> a zároveň přispějí ke zlepšení dopravní situace na území aglomerace především jejího </w:t>
            </w:r>
            <w:r w:rsidR="00B8412E" w:rsidRPr="006B3F59">
              <w:t>severozápadního</w:t>
            </w:r>
            <w:r w:rsidRPr="006B3F59">
              <w:t xml:space="preserve"> sektoru.</w:t>
            </w:r>
          </w:p>
          <w:p w14:paraId="363868B8" w14:textId="539DFF36" w:rsidR="00CF7392" w:rsidRPr="006B3F59" w:rsidRDefault="00CF7392" w:rsidP="009B4A0C">
            <w:r w:rsidRPr="006B3F59">
              <w:t>Dojde k</w:t>
            </w:r>
            <w:r w:rsidR="00DB0508">
              <w:t> </w:t>
            </w:r>
            <w:r w:rsidRPr="006B3F59">
              <w:t>pozitivnímu synergickému spolupůsobení vlivu z</w:t>
            </w:r>
            <w:r w:rsidR="00DB0508">
              <w:t> </w:t>
            </w:r>
            <w:r w:rsidRPr="006B3F59">
              <w:t xml:space="preserve">hlediska přerozdělení dopravních zátěží ve prospěch </w:t>
            </w:r>
            <w:r w:rsidR="00D3594B" w:rsidRPr="006B3F59">
              <w:t>nadřazené dopravní infrastruktury</w:t>
            </w:r>
            <w:r w:rsidRPr="006B3F59">
              <w:t xml:space="preserve"> oproti průjezdu rezidenčními oblastmi, v</w:t>
            </w:r>
            <w:r w:rsidR="00DB0508">
              <w:t> </w:t>
            </w:r>
            <w:r w:rsidRPr="006B3F59">
              <w:t xml:space="preserve">kontextu vybavení území kapacitní </w:t>
            </w:r>
            <w:r w:rsidR="00D3594B" w:rsidRPr="006B3F59">
              <w:t>bezemisní VHD</w:t>
            </w:r>
            <w:r w:rsidRPr="006B3F59">
              <w:t xml:space="preserve"> </w:t>
            </w:r>
            <w:r w:rsidR="00D3594B" w:rsidRPr="006B3F59">
              <w:t>a přestupních a záchytných systémů</w:t>
            </w:r>
            <w:r w:rsidRPr="006B3F59">
              <w:t>, a předpokladu snížení individuální automobilové dopravy z</w:t>
            </w:r>
            <w:r w:rsidR="00DB0508">
              <w:t> </w:t>
            </w:r>
            <w:r w:rsidRPr="006B3F59">
              <w:t xml:space="preserve">hlediska především </w:t>
            </w:r>
            <w:r w:rsidR="00D3594B" w:rsidRPr="006B3F59">
              <w:t>dojížďky v</w:t>
            </w:r>
            <w:r w:rsidR="00DB0508">
              <w:t> </w:t>
            </w:r>
            <w:r w:rsidR="00D3594B" w:rsidRPr="006B3F59">
              <w:t>rámci aglomerace a přilehlého regionu za prací a studiem</w:t>
            </w:r>
            <w:r w:rsidRPr="006B3F59">
              <w:t>. Všechny výše zmíněné stavby tak budou vzájemně zprostředkovaně mírně pozitivně spolupůsobit ve smyslu vybavení území moderní kapacitní dopravní infrastrukturou a zlepšení stávající nevyhovující situace v</w:t>
            </w:r>
            <w:r w:rsidR="00DB0508">
              <w:t> </w:t>
            </w:r>
            <w:r w:rsidRPr="006B3F59">
              <w:t>dopravě včetně externalit s</w:t>
            </w:r>
            <w:r w:rsidR="00DB0508">
              <w:t> </w:t>
            </w:r>
            <w:r w:rsidRPr="006B3F59">
              <w:t xml:space="preserve">tím souvisejících a zvýšení bezpečnosti dopravy jako celku. </w:t>
            </w:r>
          </w:p>
          <w:p w14:paraId="2D161FEE" w14:textId="77777777" w:rsidR="00CF7392" w:rsidRPr="006B3F59" w:rsidRDefault="00CF7392" w:rsidP="009B4A0C">
            <w:pPr>
              <w:rPr>
                <w:lang w:eastAsia="cs-CZ"/>
              </w:rPr>
            </w:pPr>
          </w:p>
        </w:tc>
      </w:tr>
    </w:tbl>
    <w:p w14:paraId="0945E310" w14:textId="4553FC47" w:rsidR="00CF7392" w:rsidRPr="006B3F59" w:rsidRDefault="00CF7392" w:rsidP="00CF7392">
      <w:r w:rsidRPr="006B3F59">
        <w:t>Jiné relevantní připravované záměry nebo strategická rozhodnutí v</w:t>
      </w:r>
      <w:r w:rsidR="00DB0508">
        <w:t> </w:t>
      </w:r>
      <w:r w:rsidRPr="006B3F59">
        <w:t>území souvisejícím s</w:t>
      </w:r>
      <w:r w:rsidR="00DB0508">
        <w:t> </w:t>
      </w:r>
      <w:r w:rsidRPr="006B3F59">
        <w:t>posuzovanou změnou územního plánu nebyly v</w:t>
      </w:r>
      <w:r w:rsidR="00DB0508">
        <w:t> </w:t>
      </w:r>
      <w:r w:rsidRPr="006B3F59">
        <w:t>rámci vyhodnocení zjištěny.</w:t>
      </w:r>
    </w:p>
    <w:p w14:paraId="08898991" w14:textId="38ADD1CD" w:rsidR="00CF7392" w:rsidRPr="006B3F59" w:rsidRDefault="00DB0508" w:rsidP="00CF7392">
      <w:pPr>
        <w:rPr>
          <w:noProof/>
          <w:lang w:eastAsia="cs-CZ"/>
        </w:rPr>
        <w:sectPr w:rsidR="00CF7392" w:rsidRPr="006B3F59" w:rsidSect="009B4A0C">
          <w:headerReference w:type="default" r:id="rId113"/>
          <w:footerReference w:type="default" r:id="rId114"/>
          <w:headerReference w:type="first" r:id="rId115"/>
          <w:pgSz w:w="11906" w:h="16838" w:code="9"/>
          <w:pgMar w:top="1418" w:right="1134" w:bottom="1134" w:left="1134" w:header="709" w:footer="567" w:gutter="0"/>
          <w:cols w:space="227"/>
          <w:titlePg/>
          <w:docGrid w:linePitch="360"/>
        </w:sectPr>
      </w:pPr>
      <w:r>
        <w:rPr>
          <w:noProof/>
          <w:lang w:eastAsia="cs-CZ"/>
        </w:rPr>
        <w:t>*</w:t>
      </w:r>
    </w:p>
    <w:p w14:paraId="39E4A4E7" w14:textId="5598EF3F" w:rsidR="00312F8A" w:rsidRPr="006B3F59" w:rsidRDefault="00312F8A" w:rsidP="00D8011D">
      <w:pPr>
        <w:pStyle w:val="Normlnpsmo"/>
        <w:spacing w:after="0"/>
        <w:jc w:val="center"/>
      </w:pPr>
      <w:r w:rsidRPr="006B3F59">
        <w:rPr>
          <w:noProof/>
          <w:lang w:eastAsia="cs-CZ"/>
        </w:rPr>
        <w:lastRenderedPageBreak/>
        <w:drawing>
          <wp:anchor distT="0" distB="0" distL="114300" distR="114300" simplePos="0" relativeHeight="251667456" behindDoc="0" locked="0" layoutInCell="1" allowOverlap="1" wp14:anchorId="058DBD9C" wp14:editId="60401182">
            <wp:simplePos x="0" y="0"/>
            <wp:positionH relativeFrom="column">
              <wp:posOffset>5528945</wp:posOffset>
            </wp:positionH>
            <wp:positionV relativeFrom="paragraph">
              <wp:posOffset>-42122</wp:posOffset>
            </wp:positionV>
            <wp:extent cx="3414645" cy="2607734"/>
            <wp:effectExtent l="0" t="0" r="0" b="0"/>
            <wp:wrapNone/>
            <wp:docPr id="774367585" name="Obrázek 774367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3414645" cy="2607734"/>
                    </a:xfrm>
                    <a:prstGeom prst="rect">
                      <a:avLst/>
                    </a:prstGeom>
                  </pic:spPr>
                </pic:pic>
              </a:graphicData>
            </a:graphic>
            <wp14:sizeRelH relativeFrom="margin">
              <wp14:pctWidth>0</wp14:pctWidth>
            </wp14:sizeRelH>
            <wp14:sizeRelV relativeFrom="margin">
              <wp14:pctHeight>0</wp14:pctHeight>
            </wp14:sizeRelV>
          </wp:anchor>
        </w:drawing>
      </w:r>
      <w:r w:rsidR="00A35D72" w:rsidRPr="006B3F59">
        <w:rPr>
          <w:noProof/>
        </w:rPr>
        <w:drawing>
          <wp:inline distT="0" distB="0" distL="0" distR="0" wp14:anchorId="671F273D" wp14:editId="40ABBEF5">
            <wp:extent cx="8828807" cy="5672666"/>
            <wp:effectExtent l="0" t="0" r="0" b="0"/>
            <wp:docPr id="193653625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6536259" name=""/>
                    <pic:cNvPicPr/>
                  </pic:nvPicPr>
                  <pic:blipFill>
                    <a:blip r:embed="rId117"/>
                    <a:stretch>
                      <a:fillRect/>
                    </a:stretch>
                  </pic:blipFill>
                  <pic:spPr>
                    <a:xfrm>
                      <a:off x="0" y="0"/>
                      <a:ext cx="8840927" cy="5680453"/>
                    </a:xfrm>
                    <a:prstGeom prst="rect">
                      <a:avLst/>
                    </a:prstGeom>
                  </pic:spPr>
                </pic:pic>
              </a:graphicData>
            </a:graphic>
          </wp:inline>
        </w:drawing>
      </w:r>
    </w:p>
    <w:p w14:paraId="0E092E96" w14:textId="6E83661B" w:rsidR="00312F8A" w:rsidRPr="006B3F59" w:rsidRDefault="00312F8A" w:rsidP="00312F8A">
      <w:pPr>
        <w:pStyle w:val="Obrnadpis"/>
        <w:rPr>
          <w:rStyle w:val="ObrnadpisChar"/>
          <w:b/>
        </w:rPr>
      </w:pPr>
      <w:bookmarkStart w:id="161" w:name="_Ref136945789"/>
      <w:bookmarkStart w:id="162" w:name="_Ref136955954"/>
      <w:bookmarkStart w:id="163" w:name="_Toc138848228"/>
      <w:r w:rsidRPr="006B3F59">
        <w:rPr>
          <w:rStyle w:val="ObrnadpisChar"/>
          <w:b/>
        </w:rPr>
        <w:t>Limity přítomné v řešeném území dle ÚAP Praha, (zdroj: ÚAP, Geoportál hl.m. Prahy), cit. 30.5.2023</w:t>
      </w:r>
      <w:bookmarkEnd w:id="161"/>
      <w:bookmarkEnd w:id="162"/>
      <w:bookmarkEnd w:id="163"/>
    </w:p>
    <w:p w14:paraId="51826A23" w14:textId="17A5EE1F" w:rsidR="00BE30C9" w:rsidRPr="006B3F59" w:rsidRDefault="009B6688" w:rsidP="00D8011D">
      <w:pPr>
        <w:pStyle w:val="Normlnpsmo"/>
        <w:spacing w:after="0"/>
        <w:jc w:val="center"/>
      </w:pPr>
      <w:r w:rsidRPr="009B6688">
        <w:rPr>
          <w:noProof/>
        </w:rPr>
        <w:lastRenderedPageBreak/>
        <w:drawing>
          <wp:inline distT="0" distB="0" distL="0" distR="0" wp14:anchorId="53ACCCDD" wp14:editId="08BAC792">
            <wp:extent cx="8174355" cy="5760359"/>
            <wp:effectExtent l="0" t="0" r="0" b="0"/>
            <wp:docPr id="80471557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715575" name=""/>
                    <pic:cNvPicPr/>
                  </pic:nvPicPr>
                  <pic:blipFill>
                    <a:blip r:embed="rId118"/>
                    <a:stretch>
                      <a:fillRect/>
                    </a:stretch>
                  </pic:blipFill>
                  <pic:spPr>
                    <a:xfrm>
                      <a:off x="0" y="0"/>
                      <a:ext cx="8197460" cy="5776641"/>
                    </a:xfrm>
                    <a:prstGeom prst="rect">
                      <a:avLst/>
                    </a:prstGeom>
                  </pic:spPr>
                </pic:pic>
              </a:graphicData>
            </a:graphic>
          </wp:inline>
        </w:drawing>
      </w:r>
    </w:p>
    <w:p w14:paraId="56CB5011" w14:textId="77777777" w:rsidR="00BE30C9" w:rsidRPr="006B3F59" w:rsidRDefault="00BE30C9" w:rsidP="00BE30C9">
      <w:pPr>
        <w:pStyle w:val="Obrnadpis"/>
      </w:pPr>
      <w:bookmarkStart w:id="164" w:name="_Toc125983785"/>
      <w:bookmarkStart w:id="165" w:name="_Ref126850977"/>
      <w:bookmarkStart w:id="166" w:name="_Ref127526154"/>
      <w:bookmarkStart w:id="167" w:name="_Ref127526172"/>
      <w:bookmarkStart w:id="168" w:name="_Ref127526175"/>
      <w:bookmarkStart w:id="169" w:name="_Ref127526177"/>
      <w:bookmarkStart w:id="170" w:name="_Ref128653616"/>
      <w:bookmarkStart w:id="171" w:name="_Ref136340559"/>
      <w:bookmarkStart w:id="172" w:name="_Ref136340610"/>
      <w:bookmarkStart w:id="173" w:name="_Ref136340647"/>
      <w:bookmarkStart w:id="174" w:name="_Ref136340685"/>
      <w:bookmarkStart w:id="175" w:name="_Ref136945806"/>
      <w:bookmarkStart w:id="176" w:name="_Ref136955978"/>
      <w:bookmarkStart w:id="177" w:name="_Toc138848229"/>
      <w:bookmarkStart w:id="178" w:name="_Hlk103784868"/>
      <w:r w:rsidRPr="006B3F59">
        <w:t>Potenciální  spolupůsobení vlivů na podkladě Základní mapy ČR</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132EAF63" w14:textId="21E8AEB3" w:rsidR="00D8011D" w:rsidRPr="006B3F59" w:rsidRDefault="00D8011D" w:rsidP="00D8011D">
      <w:pPr>
        <w:rPr>
          <w:lang w:eastAsia="cs-CZ"/>
        </w:rPr>
        <w:sectPr w:rsidR="00D8011D" w:rsidRPr="006B3F59" w:rsidSect="007E1652">
          <w:headerReference w:type="default" r:id="rId119"/>
          <w:footerReference w:type="default" r:id="rId120"/>
          <w:pgSz w:w="16838" w:h="11906" w:orient="landscape" w:code="9"/>
          <w:pgMar w:top="1134" w:right="1418" w:bottom="1134" w:left="1134" w:header="709" w:footer="567" w:gutter="0"/>
          <w:cols w:space="227"/>
          <w:docGrid w:linePitch="360"/>
        </w:sectPr>
      </w:pPr>
    </w:p>
    <w:p w14:paraId="367DE336" w14:textId="77777777" w:rsidR="00794578" w:rsidRPr="006B3F59" w:rsidRDefault="00794578" w:rsidP="00BA72D5">
      <w:pPr>
        <w:pStyle w:val="Nadpis2"/>
      </w:pPr>
      <w:bookmarkStart w:id="179" w:name="_Toc103346828"/>
      <w:bookmarkStart w:id="180" w:name="_Toc103347025"/>
      <w:bookmarkStart w:id="181" w:name="_Toc103347130"/>
      <w:bookmarkStart w:id="182" w:name="_Toc103347235"/>
      <w:bookmarkStart w:id="183" w:name="_Toc103347428"/>
      <w:bookmarkStart w:id="184" w:name="_Toc103347770"/>
      <w:bookmarkStart w:id="185" w:name="_Toc531606253"/>
      <w:bookmarkStart w:id="186" w:name="_Toc29298339"/>
      <w:bookmarkStart w:id="187" w:name="_Toc138848117"/>
      <w:bookmarkEnd w:id="178"/>
      <w:bookmarkEnd w:id="179"/>
      <w:bookmarkEnd w:id="180"/>
      <w:bookmarkEnd w:id="181"/>
      <w:bookmarkEnd w:id="182"/>
      <w:bookmarkEnd w:id="183"/>
      <w:bookmarkEnd w:id="184"/>
      <w:r w:rsidRPr="006B3F59">
        <w:lastRenderedPageBreak/>
        <w:t>Současné problémy a jevy životního prostředí, které by mohly být uplatněním územně plánovací dokumentace významně ovlivněny, zejména s ohledem na zvláště chráněná území a ptačí oblasti.</w:t>
      </w:r>
      <w:bookmarkEnd w:id="185"/>
      <w:bookmarkEnd w:id="186"/>
      <w:bookmarkEnd w:id="187"/>
    </w:p>
    <w:p w14:paraId="16825AAC" w14:textId="4AE59758" w:rsidR="00794578" w:rsidRPr="006B3F59" w:rsidRDefault="00C578E8" w:rsidP="00794578">
      <w:r w:rsidRPr="006B3F59">
        <w:t>Úkolem této kapitoly je shrnout závěry analýz, provedených v kap. A.III, a identifikovat hlavní problémy složek životního prostředí v řešeném území v kontextu předmětu řešení předkládané ÚPD. Níže uvádíme stručný přehled hlavních problémů a témat životního prostředí v řešeném území, které mají vztah ke koncepci a které mohou být implementací koncepce významně ovlivněny, spolu s charakteristikou způsobu tohoto potenciálního ovlivnění, včetně spolupůsobení vlivů, jak vyplývá z analýzy v předchozí kapitole.</w:t>
      </w:r>
    </w:p>
    <w:p w14:paraId="21DD39F9" w14:textId="181B661E" w:rsidR="00794578" w:rsidRPr="006B3F59" w:rsidRDefault="00794578" w:rsidP="00A67277">
      <w:pPr>
        <w:pStyle w:val="Nadpis3"/>
      </w:pPr>
      <w:bookmarkStart w:id="188" w:name="_Toc531606254"/>
      <w:bookmarkStart w:id="189" w:name="_Toc29298340"/>
      <w:bookmarkStart w:id="190" w:name="_Toc138848118"/>
      <w:r w:rsidRPr="006B3F59">
        <w:t>Ovzduší</w:t>
      </w:r>
      <w:bookmarkEnd w:id="188"/>
      <w:r w:rsidRPr="006B3F59">
        <w:t xml:space="preserve"> </w:t>
      </w:r>
      <w:r w:rsidR="00AD4472" w:rsidRPr="006B3F59">
        <w:t>a klima</w:t>
      </w:r>
      <w:bookmarkEnd w:id="189"/>
      <w:bookmarkEnd w:id="190"/>
    </w:p>
    <w:p w14:paraId="04C9862B" w14:textId="72E90076" w:rsidR="00634FBB" w:rsidRPr="006B3F59" w:rsidRDefault="00634FBB" w:rsidP="00634FBB">
      <w:pPr>
        <w:pStyle w:val="Nadpis4"/>
        <w:tabs>
          <w:tab w:val="num" w:pos="737"/>
        </w:tabs>
        <w:ind w:left="737"/>
        <w:rPr>
          <w:lang w:eastAsia="cs-CZ"/>
        </w:rPr>
      </w:pPr>
      <w:bookmarkStart w:id="191" w:name="_Toc496705142"/>
      <w:bookmarkStart w:id="192" w:name="_Toc531606262"/>
      <w:bookmarkStart w:id="193" w:name="_Toc29298347"/>
      <w:r w:rsidRPr="006B3F59">
        <w:rPr>
          <w:lang w:eastAsia="cs-CZ"/>
        </w:rPr>
        <w:t>Ovzduší</w:t>
      </w:r>
    </w:p>
    <w:p w14:paraId="37712EAA" w14:textId="57A93ADB" w:rsidR="00EB283A" w:rsidRPr="006B3F59" w:rsidRDefault="00D16EFF" w:rsidP="00EB283A">
      <w:pPr>
        <w:pStyle w:val="Podnadpis1"/>
        <w:spacing w:before="120"/>
      </w:pPr>
      <w:r w:rsidRPr="006B3F59">
        <w:t>Limity plněny</w:t>
      </w:r>
    </w:p>
    <w:p w14:paraId="7031B5D3" w14:textId="0C4B3902" w:rsidR="009E2559" w:rsidRPr="006B3F59" w:rsidRDefault="00EB283A" w:rsidP="009E2559">
      <w:r w:rsidRPr="006B3F59">
        <w:t>Z hlediska imisní situace ovzduší je na základě jednotlivých informačních zdrojů (viz kapitola A.VII.1 a A.III.5) hodnoceno imisní zatížení</w:t>
      </w:r>
      <w:r w:rsidR="0021507F" w:rsidRPr="006B3F59">
        <w:t xml:space="preserve"> </w:t>
      </w:r>
      <w:r w:rsidRPr="006B3F59">
        <w:t>lokalit</w:t>
      </w:r>
      <w:r w:rsidR="00D2445E" w:rsidRPr="006B3F59">
        <w:t>y</w:t>
      </w:r>
      <w:r w:rsidRPr="006B3F59">
        <w:t xml:space="preserve"> jako středně znečistěné. </w:t>
      </w:r>
      <w:r w:rsidR="009E2559" w:rsidRPr="006B3F59">
        <w:t>Hodnoty průměrných ročních koncentrací B(a)P se nachází těsně pod hodnotou imisního limitu, na úrovni 0,8 až 1 ng.m</w:t>
      </w:r>
      <w:r w:rsidR="009E2559" w:rsidRPr="006B3F59">
        <w:rPr>
          <w:vertAlign w:val="superscript"/>
        </w:rPr>
        <w:t>-3</w:t>
      </w:r>
      <w:r w:rsidR="009E2559" w:rsidRPr="006B3F59">
        <w:t>, imisní limit pro průměrné roční koncentrace B(a)P je 1 ng.m</w:t>
      </w:r>
      <w:r w:rsidR="009E2559" w:rsidRPr="006B3F59">
        <w:rPr>
          <w:vertAlign w:val="superscript"/>
        </w:rPr>
        <w:t>-3</w:t>
      </w:r>
      <w:r w:rsidR="009E2559" w:rsidRPr="006B3F59">
        <w:t>. Imisní limity pro ostatní sledované škodliviny jsou v celém předmětném území s rezervou splňovány.</w:t>
      </w:r>
    </w:p>
    <w:p w14:paraId="0C180F5F" w14:textId="1220D762" w:rsidR="00EB283A" w:rsidRPr="006B3F59" w:rsidRDefault="009E2559" w:rsidP="00EB283A">
      <w:pPr>
        <w:rPr>
          <w:lang w:eastAsia="cs-CZ"/>
        </w:rPr>
      </w:pPr>
      <w:r w:rsidRPr="006B3F59">
        <w:rPr>
          <w:lang w:eastAsia="cs-CZ"/>
        </w:rPr>
        <w:t xml:space="preserve">Změna je sama o sobě opatřením pro zlepšení kvality ovzduší především z hlediska </w:t>
      </w:r>
      <w:r w:rsidR="002C5BB0" w:rsidRPr="006B3F59">
        <w:rPr>
          <w:lang w:eastAsia="cs-CZ"/>
        </w:rPr>
        <w:t>vybavení území kapacitní MHD, přestupním terminálem a parkovištěm P+R, což i v kontextu dobudování pražského okruhu především staveb 518 a 51</w:t>
      </w:r>
      <w:r w:rsidR="00AA7B13" w:rsidRPr="006B3F59">
        <w:rPr>
          <w:lang w:eastAsia="cs-CZ"/>
        </w:rPr>
        <w:t>9</w:t>
      </w:r>
      <w:r w:rsidR="002C5BB0" w:rsidRPr="006B3F59">
        <w:rPr>
          <w:lang w:eastAsia="cs-CZ"/>
        </w:rPr>
        <w:t xml:space="preserve"> přispěje ke zlepšení kvality ovzduší i dopravní situace. Zároveň dojde ke stabilizaci a zastavění ploch, které jsou dnes často skládkami sypkých materiálů</w:t>
      </w:r>
      <w:r w:rsidR="00AA7B13" w:rsidRPr="006B3F59">
        <w:rPr>
          <w:lang w:eastAsia="cs-CZ"/>
        </w:rPr>
        <w:t>, a tedy i zdrojem emisí prachových částic</w:t>
      </w:r>
      <w:r w:rsidR="002C5BB0" w:rsidRPr="006B3F59">
        <w:rPr>
          <w:lang w:eastAsia="cs-CZ"/>
        </w:rPr>
        <w:t>.</w:t>
      </w:r>
    </w:p>
    <w:p w14:paraId="18D8E0AE" w14:textId="1D06E8CB" w:rsidR="00C578E8" w:rsidRPr="006B3F59" w:rsidRDefault="00C578E8" w:rsidP="00C578E8">
      <w:pPr>
        <w:rPr>
          <w:lang w:eastAsia="cs-CZ"/>
        </w:rPr>
      </w:pPr>
      <w:r w:rsidRPr="006B3F59">
        <w:rPr>
          <w:lang w:eastAsia="cs-CZ"/>
        </w:rPr>
        <w:t>Kumulativní</w:t>
      </w:r>
      <w:r w:rsidR="00F57654" w:rsidRPr="006B3F59">
        <w:rPr>
          <w:lang w:eastAsia="cs-CZ"/>
        </w:rPr>
        <w:t>, resp.</w:t>
      </w:r>
      <w:r w:rsidRPr="006B3F59">
        <w:rPr>
          <w:lang w:eastAsia="cs-CZ"/>
        </w:rPr>
        <w:t xml:space="preserve"> synergické vlivy z hlediska emisí</w:t>
      </w:r>
      <w:r w:rsidR="006C5003" w:rsidRPr="006B3F59">
        <w:rPr>
          <w:lang w:eastAsia="cs-CZ"/>
        </w:rPr>
        <w:t>,</w:t>
      </w:r>
      <w:r w:rsidRPr="006B3F59">
        <w:rPr>
          <w:lang w:eastAsia="cs-CZ"/>
        </w:rPr>
        <w:t xml:space="preserve"> resp. stavu znečištění ovzduší v souvislosti s navrhovanou změnou v kontextu ostatních uvažovaných záměrů nebo územního rozvoje očekáváme pouze </w:t>
      </w:r>
      <w:r w:rsidR="006C5003" w:rsidRPr="006B3F59">
        <w:rPr>
          <w:lang w:eastAsia="cs-CZ"/>
        </w:rPr>
        <w:t xml:space="preserve">zprostředkovaně </w:t>
      </w:r>
      <w:r w:rsidRPr="006B3F59">
        <w:rPr>
          <w:lang w:eastAsia="cs-CZ"/>
        </w:rPr>
        <w:t>na úrovni celkového dopravního systému s nadmístním významem, jehož dobudování jako celku v kontextu snižování emisních charakteristik vozidel a přechodu k</w:t>
      </w:r>
      <w:r w:rsidR="00F57654" w:rsidRPr="006B3F59">
        <w:rPr>
          <w:lang w:eastAsia="cs-CZ"/>
        </w:rPr>
        <w:t> </w:t>
      </w:r>
      <w:r w:rsidRPr="006B3F59">
        <w:rPr>
          <w:lang w:eastAsia="cs-CZ"/>
        </w:rPr>
        <w:t>elektromobilitě</w:t>
      </w:r>
      <w:r w:rsidR="00F57654" w:rsidRPr="006B3F59">
        <w:rPr>
          <w:lang w:eastAsia="cs-CZ"/>
        </w:rPr>
        <w:t xml:space="preserve"> a </w:t>
      </w:r>
      <w:r w:rsidR="00C51945" w:rsidRPr="006B3F59">
        <w:rPr>
          <w:lang w:eastAsia="cs-CZ"/>
        </w:rPr>
        <w:t>vývojem projektové</w:t>
      </w:r>
      <w:r w:rsidR="002C5BB0" w:rsidRPr="006B3F59">
        <w:rPr>
          <w:lang w:eastAsia="cs-CZ"/>
        </w:rPr>
        <w:t xml:space="preserve"> zlepšení dopravní obsluhy</w:t>
      </w:r>
      <w:r w:rsidR="00F57654" w:rsidRPr="006B3F59">
        <w:rPr>
          <w:lang w:eastAsia="cs-CZ"/>
        </w:rPr>
        <w:t xml:space="preserve"> řešeného území VHD</w:t>
      </w:r>
      <w:r w:rsidRPr="006B3F59">
        <w:rPr>
          <w:lang w:eastAsia="cs-CZ"/>
        </w:rPr>
        <w:t xml:space="preserve"> </w:t>
      </w:r>
      <w:r w:rsidR="006C5003" w:rsidRPr="006B3F59">
        <w:rPr>
          <w:lang w:eastAsia="cs-CZ"/>
        </w:rPr>
        <w:t xml:space="preserve">Změna tak </w:t>
      </w:r>
      <w:r w:rsidR="00F57654" w:rsidRPr="006B3F59">
        <w:rPr>
          <w:lang w:eastAsia="cs-CZ"/>
        </w:rPr>
        <w:t xml:space="preserve">zprostředkovaně </w:t>
      </w:r>
      <w:r w:rsidRPr="006B3F59">
        <w:rPr>
          <w:lang w:eastAsia="cs-CZ"/>
        </w:rPr>
        <w:t xml:space="preserve">přispěje </w:t>
      </w:r>
      <w:r w:rsidR="00F57654" w:rsidRPr="006B3F59">
        <w:rPr>
          <w:lang w:eastAsia="cs-CZ"/>
        </w:rPr>
        <w:t xml:space="preserve">ke snížení </w:t>
      </w:r>
      <w:r w:rsidRPr="006B3F59">
        <w:rPr>
          <w:lang w:eastAsia="cs-CZ"/>
        </w:rPr>
        <w:t xml:space="preserve">individuální automobilové </w:t>
      </w:r>
      <w:r w:rsidR="006C5003" w:rsidRPr="006B3F59">
        <w:rPr>
          <w:lang w:eastAsia="cs-CZ"/>
        </w:rPr>
        <w:t xml:space="preserve">dopravy </w:t>
      </w:r>
      <w:r w:rsidRPr="006B3F59">
        <w:rPr>
          <w:lang w:eastAsia="cs-CZ"/>
        </w:rPr>
        <w:t>spolu s přerozdělením dopravních zátěží ve prospěch nadřazené dopravní infrastruktury</w:t>
      </w:r>
      <w:r w:rsidR="00F57654" w:rsidRPr="006B3F59">
        <w:rPr>
          <w:lang w:eastAsia="cs-CZ"/>
        </w:rPr>
        <w:t xml:space="preserve"> a prevenci suburbanizace a jí vyvolaných dopravních vztahů. Působení posuzované změny je v tomto kontextu natolik nepřímé a marginální, že podstatný potenciál pro spolupůsobení vlivů vůči kvalitě ovzduší negeneruje.</w:t>
      </w:r>
    </w:p>
    <w:p w14:paraId="7B16A6C0" w14:textId="789C7170" w:rsidR="007F7992" w:rsidRPr="006B3F59" w:rsidRDefault="007F7992" w:rsidP="007F7992">
      <w:pPr>
        <w:pStyle w:val="Nadpis3"/>
        <w:tabs>
          <w:tab w:val="clear" w:pos="709"/>
          <w:tab w:val="num" w:pos="737"/>
        </w:tabs>
        <w:ind w:left="992" w:hanging="992"/>
      </w:pPr>
      <w:bookmarkStart w:id="194" w:name="_Toc138848119"/>
      <w:r w:rsidRPr="006B3F59">
        <w:t>Voda</w:t>
      </w:r>
      <w:bookmarkEnd w:id="191"/>
      <w:bookmarkEnd w:id="194"/>
      <w:r w:rsidRPr="006B3F59">
        <w:t xml:space="preserve"> </w:t>
      </w:r>
    </w:p>
    <w:p w14:paraId="106E596D" w14:textId="540D0AF2" w:rsidR="00EB283A" w:rsidRPr="006B3F59" w:rsidRDefault="00EB283A" w:rsidP="00EB283A">
      <w:pPr>
        <w:pStyle w:val="Podnadpis1"/>
        <w:spacing w:before="120"/>
      </w:pPr>
      <w:bookmarkStart w:id="195" w:name="_Toc496705143"/>
      <w:r w:rsidRPr="006B3F59">
        <w:t xml:space="preserve">Problém: Riziko záplav </w:t>
      </w:r>
    </w:p>
    <w:p w14:paraId="261EDE11" w14:textId="7BF02C6F" w:rsidR="005E2934" w:rsidRPr="006B3F59" w:rsidRDefault="009C5210" w:rsidP="00BD7256">
      <w:r w:rsidRPr="006B3F59">
        <w:t>Dotčené území</w:t>
      </w:r>
      <w:r w:rsidR="002C5BB0" w:rsidRPr="006B3F59">
        <w:t xml:space="preserve"> okrajově zasahuje do </w:t>
      </w:r>
      <w:r w:rsidRPr="006B3F59">
        <w:t>záplavové</w:t>
      </w:r>
      <w:r w:rsidR="002C5BB0" w:rsidRPr="006B3F59">
        <w:t>ho</w:t>
      </w:r>
      <w:r w:rsidRPr="006B3F59">
        <w:t xml:space="preserve"> území Vltavy</w:t>
      </w:r>
      <w:r w:rsidR="002C5BB0" w:rsidRPr="006B3F59">
        <w:t xml:space="preserve"> v prostoru koridoru pro novou tramvajovou trať </w:t>
      </w:r>
      <w:r w:rsidR="00AA7B13" w:rsidRPr="006B3F59">
        <w:t xml:space="preserve">v profilu ulice </w:t>
      </w:r>
      <w:r w:rsidR="00C51945" w:rsidRPr="006B3F59">
        <w:t>Podbabská,</w:t>
      </w:r>
      <w:r w:rsidR="00AA7B13" w:rsidRPr="006B3F59">
        <w:t xml:space="preserve"> resp. Roztocká a </w:t>
      </w:r>
      <w:r w:rsidR="002C5BB0" w:rsidRPr="006B3F59">
        <w:t>podél stávající železniční trati, kter</w:t>
      </w:r>
      <w:r w:rsidR="00AA7B13" w:rsidRPr="006B3F59">
        <w:t>é</w:t>
      </w:r>
      <w:r w:rsidR="002C5BB0" w:rsidRPr="006B3F59">
        <w:t xml:space="preserve"> j</w:t>
      </w:r>
      <w:r w:rsidR="00AA7B13" w:rsidRPr="006B3F59">
        <w:t>sou</w:t>
      </w:r>
      <w:r w:rsidR="002C5BB0" w:rsidRPr="006B3F59">
        <w:t xml:space="preserve"> v těchto místech často hranici záplavového území</w:t>
      </w:r>
      <w:r w:rsidR="004F3948">
        <w:t xml:space="preserve"> nejvýše zaznamenané povodně </w:t>
      </w:r>
      <w:r w:rsidR="002C5BB0" w:rsidRPr="006B3F59">
        <w:t>Q</w:t>
      </w:r>
      <w:r w:rsidR="004F3948">
        <w:rPr>
          <w:vertAlign w:val="subscript"/>
        </w:rPr>
        <w:t>2002</w:t>
      </w:r>
      <w:r w:rsidR="002C5BB0" w:rsidRPr="006B3F59">
        <w:t>.</w:t>
      </w:r>
      <w:r w:rsidR="00CC1516">
        <w:t xml:space="preserve"> </w:t>
      </w:r>
      <w:r w:rsidRPr="006B3F59">
        <w:t xml:space="preserve"> </w:t>
      </w:r>
      <w:r w:rsidR="00D16EFF" w:rsidRPr="006B3F59">
        <w:t>V důsledku předkládané ÚPD</w:t>
      </w:r>
      <w:r w:rsidR="002C5BB0" w:rsidRPr="006B3F59">
        <w:t>, resp. umístění tramvajové trati,</w:t>
      </w:r>
      <w:r w:rsidR="00D16EFF" w:rsidRPr="006B3F59">
        <w:t xml:space="preserve"> nedojde k</w:t>
      </w:r>
      <w:r w:rsidR="00626279" w:rsidRPr="006B3F59">
        <w:t xml:space="preserve"> dalšímu </w:t>
      </w:r>
      <w:r w:rsidR="002C5BB0" w:rsidRPr="006B3F59">
        <w:t>omezení rozsahu</w:t>
      </w:r>
      <w:r w:rsidR="00D16EFF" w:rsidRPr="006B3F59">
        <w:t xml:space="preserve"> záplavových území</w:t>
      </w:r>
      <w:r w:rsidR="005E2934" w:rsidRPr="006B3F59">
        <w:t>.</w:t>
      </w:r>
      <w:r w:rsidR="00F57654" w:rsidRPr="006B3F59">
        <w:t xml:space="preserve"> </w:t>
      </w:r>
      <w:bookmarkStart w:id="196" w:name="_Hlk126919506"/>
      <w:r w:rsidR="00F57654" w:rsidRPr="006B3F59">
        <w:t xml:space="preserve">Kumulativní ani synergické vlivy změna negeneruje. </w:t>
      </w:r>
      <w:bookmarkEnd w:id="196"/>
    </w:p>
    <w:p w14:paraId="0AF9FD2E" w14:textId="0939F2B1" w:rsidR="00EB283A" w:rsidRPr="006B3F59" w:rsidRDefault="00EB283A" w:rsidP="00EB283A">
      <w:pPr>
        <w:pStyle w:val="Podnadpis1"/>
        <w:spacing w:before="120"/>
        <w:rPr>
          <w:i w:val="0"/>
          <w:szCs w:val="22"/>
        </w:rPr>
      </w:pPr>
      <w:r w:rsidRPr="006B3F59">
        <w:rPr>
          <w:rStyle w:val="Podnadpis2Char"/>
          <w:rFonts w:eastAsia="Arial"/>
          <w:i/>
          <w:szCs w:val="22"/>
        </w:rPr>
        <w:t>Problém: Snížení retenční schopnosti území</w:t>
      </w:r>
      <w:r w:rsidRPr="006B3F59">
        <w:rPr>
          <w:i w:val="0"/>
          <w:szCs w:val="22"/>
        </w:rPr>
        <w:t>.</w:t>
      </w:r>
    </w:p>
    <w:p w14:paraId="2B2211A9" w14:textId="65FF1D9A" w:rsidR="007654DF" w:rsidRPr="006B3F59" w:rsidRDefault="00306E4A" w:rsidP="007654DF">
      <w:pPr>
        <w:autoSpaceDE w:val="0"/>
        <w:autoSpaceDN w:val="0"/>
        <w:adjustRightInd w:val="0"/>
        <w:spacing w:before="240" w:after="240"/>
        <w:rPr>
          <w:rFonts w:cs="Arial"/>
        </w:rPr>
      </w:pPr>
      <w:bookmarkStart w:id="197" w:name="_Hlk135303720"/>
      <w:r w:rsidRPr="006B3F59">
        <w:rPr>
          <w:rFonts w:cs="Arial"/>
        </w:rPr>
        <w:t xml:space="preserve">Změna navrhuje zastavitelné plochy rozsahu </w:t>
      </w:r>
      <w:r w:rsidRPr="006B3F59">
        <w:rPr>
          <w:rFonts w:eastAsia="Times New Roman" w:cs="Arial"/>
          <w:lang w:eastAsia="cs-CZ"/>
        </w:rPr>
        <w:t>133 083 </w:t>
      </w:r>
      <w:r w:rsidRPr="006B3F59">
        <w:rPr>
          <w:rFonts w:cs="Arial"/>
        </w:rPr>
        <w:t>m</w:t>
      </w:r>
      <w:r w:rsidRPr="006B3F59">
        <w:rPr>
          <w:rFonts w:cs="Arial"/>
          <w:vertAlign w:val="superscript"/>
        </w:rPr>
        <w:t>2</w:t>
      </w:r>
      <w:r w:rsidRPr="006B3F59">
        <w:rPr>
          <w:rFonts w:cs="Arial"/>
        </w:rPr>
        <w:t>.</w:t>
      </w:r>
      <w:r w:rsidR="007654DF" w:rsidRPr="006B3F59">
        <w:rPr>
          <w:rFonts w:cs="Arial"/>
        </w:rPr>
        <w:t xml:space="preserve"> </w:t>
      </w:r>
      <w:r w:rsidRPr="006B3F59">
        <w:rPr>
          <w:rFonts w:cs="Arial"/>
        </w:rPr>
        <w:t xml:space="preserve">Oproti tomu návrh změny navrhuje plochy nezastavitelné a tímto ruší zastavitelné plochy v rozsahu </w:t>
      </w:r>
      <w:r w:rsidRPr="006B3F59">
        <w:rPr>
          <w:rFonts w:eastAsia="Times New Roman" w:cs="Arial"/>
          <w:lang w:eastAsia="cs-CZ"/>
        </w:rPr>
        <w:t xml:space="preserve">31 244 </w:t>
      </w:r>
      <w:r w:rsidRPr="006B3F59">
        <w:rPr>
          <w:rFonts w:cs="Arial"/>
        </w:rPr>
        <w:t>m</w:t>
      </w:r>
      <w:r w:rsidRPr="006B3F59">
        <w:rPr>
          <w:rFonts w:cs="Arial"/>
          <w:vertAlign w:val="superscript"/>
        </w:rPr>
        <w:t>2</w:t>
      </w:r>
      <w:r w:rsidRPr="006B3F59">
        <w:rPr>
          <w:rFonts w:cs="Arial"/>
        </w:rPr>
        <w:t>.</w:t>
      </w:r>
      <w:r w:rsidR="007654DF" w:rsidRPr="006B3F59">
        <w:rPr>
          <w:rFonts w:cs="Arial"/>
        </w:rPr>
        <w:t xml:space="preserve"> </w:t>
      </w:r>
      <w:r w:rsidRPr="006B3F59">
        <w:rPr>
          <w:rFonts w:cs="Arial"/>
        </w:rPr>
        <w:t>Finálně je ve změně navrhován nárůst zastavitelných ploch v rozsahu 101 839 m</w:t>
      </w:r>
      <w:r w:rsidRPr="006B3F59">
        <w:rPr>
          <w:rFonts w:cs="Arial"/>
          <w:vertAlign w:val="superscript"/>
        </w:rPr>
        <w:t>2</w:t>
      </w:r>
      <w:r w:rsidRPr="006B3F59">
        <w:rPr>
          <w:rFonts w:cs="Arial"/>
        </w:rPr>
        <w:t>.</w:t>
      </w:r>
      <w:r w:rsidR="007654DF" w:rsidRPr="006B3F59">
        <w:rPr>
          <w:rFonts w:cs="Arial"/>
        </w:rPr>
        <w:t xml:space="preserve"> </w:t>
      </w:r>
      <w:r w:rsidRPr="006B3F59">
        <w:rPr>
          <w:rFonts w:cs="Arial"/>
        </w:rPr>
        <w:t xml:space="preserve">Nárůst zastavitelných ploch je </w:t>
      </w:r>
      <w:r w:rsidR="007654DF" w:rsidRPr="006B3F59">
        <w:rPr>
          <w:rFonts w:cs="Arial"/>
        </w:rPr>
        <w:t xml:space="preserve">dle návrhu </w:t>
      </w:r>
      <w:r w:rsidRPr="006B3F59">
        <w:rPr>
          <w:rFonts w:cs="Arial"/>
        </w:rPr>
        <w:t xml:space="preserve">odůvodnitelný veřejnou prospěšností </w:t>
      </w:r>
      <w:r w:rsidR="00AA7B13" w:rsidRPr="006B3F59">
        <w:rPr>
          <w:rFonts w:cs="Arial"/>
        </w:rPr>
        <w:t>vybavení území dopravní a veřejnou infrastrukturou a dotvořením</w:t>
      </w:r>
      <w:r w:rsidRPr="006B3F59">
        <w:rPr>
          <w:rFonts w:cs="Arial"/>
        </w:rPr>
        <w:t xml:space="preserve"> komplexního sídla s dostatkem veřejného vybavení v návaznosti na tramvajovou trať.</w:t>
      </w:r>
      <w:r w:rsidR="007654DF" w:rsidRPr="006B3F59">
        <w:rPr>
          <w:rFonts w:cs="Arial"/>
        </w:rPr>
        <w:t xml:space="preserve"> </w:t>
      </w:r>
      <w:r w:rsidRPr="006B3F59">
        <w:rPr>
          <w:rFonts w:cs="Arial"/>
        </w:rPr>
        <w:t xml:space="preserve">Zároveň je </w:t>
      </w:r>
      <w:r w:rsidR="00AA7B13" w:rsidRPr="006B3F59">
        <w:rPr>
          <w:rFonts w:cs="Arial"/>
        </w:rPr>
        <w:t>část ploch vymezena jako plochy zeleně a nezastavitelné ploch rekreace, zejména při přechodech do volné krajiny. To se týká i ploch, které jsou dnes intenzivně využívanou ornou půdou</w:t>
      </w:r>
      <w:r w:rsidR="004E4671" w:rsidRPr="006B3F59">
        <w:rPr>
          <w:rFonts w:cs="Arial"/>
        </w:rPr>
        <w:t xml:space="preserve"> (</w:t>
      </w:r>
      <w:r w:rsidR="002E61F7" w:rsidRPr="006B3F59">
        <w:rPr>
          <w:rFonts w:cs="Arial"/>
        </w:rPr>
        <w:t>Výhledy</w:t>
      </w:r>
      <w:r w:rsidR="004E4671" w:rsidRPr="006B3F59">
        <w:rPr>
          <w:rFonts w:cs="Arial"/>
        </w:rPr>
        <w:t>)</w:t>
      </w:r>
      <w:r w:rsidR="00AA7B13" w:rsidRPr="006B3F59">
        <w:rPr>
          <w:rFonts w:cs="Arial"/>
        </w:rPr>
        <w:t xml:space="preserve"> a změna funkce na plochy zeleně jejich retenční schopnost zvýší. </w:t>
      </w:r>
    </w:p>
    <w:bookmarkEnd w:id="197"/>
    <w:p w14:paraId="33727C64" w14:textId="6DE6F384" w:rsidR="00EB283A" w:rsidRPr="006B3F59" w:rsidRDefault="009312B0" w:rsidP="007654DF">
      <w:pPr>
        <w:autoSpaceDE w:val="0"/>
        <w:autoSpaceDN w:val="0"/>
        <w:adjustRightInd w:val="0"/>
        <w:spacing w:before="240" w:after="240"/>
        <w:rPr>
          <w:rFonts w:cs="Arial"/>
        </w:rPr>
      </w:pPr>
      <w:r w:rsidRPr="006B3F59">
        <w:rPr>
          <w:rFonts w:cs="Arial"/>
          <w:lang w:eastAsia="cs-CZ"/>
        </w:rPr>
        <w:t xml:space="preserve">V důsledku řešených změn dojde k dílčímu zastavění ploch, které dnes umožňují volné vsakování dešťové vody. Týká se to především </w:t>
      </w:r>
      <w:r w:rsidR="00F57654" w:rsidRPr="006B3F59">
        <w:rPr>
          <w:rFonts w:cs="Arial"/>
          <w:lang w:eastAsia="cs-CZ"/>
        </w:rPr>
        <w:t>dosud nezastavěných ploch charakteru brownfields, které jsou z koncepčního hlediska určeny k zastavění</w:t>
      </w:r>
      <w:r w:rsidR="00D16EFF" w:rsidRPr="006B3F59">
        <w:rPr>
          <w:rFonts w:cs="Arial"/>
          <w:lang w:eastAsia="cs-CZ"/>
        </w:rPr>
        <w:t>, nicméně se i dnes jedná o území částečně zpevněné</w:t>
      </w:r>
      <w:r w:rsidR="006C5003" w:rsidRPr="006B3F59">
        <w:rPr>
          <w:rFonts w:cs="Arial"/>
          <w:lang w:eastAsia="cs-CZ"/>
        </w:rPr>
        <w:t>, z část</w:t>
      </w:r>
      <w:r w:rsidR="004E4671" w:rsidRPr="006B3F59">
        <w:rPr>
          <w:rFonts w:cs="Arial"/>
          <w:lang w:eastAsia="cs-CZ"/>
        </w:rPr>
        <w:t>i</w:t>
      </w:r>
      <w:r w:rsidR="006C5003" w:rsidRPr="006B3F59">
        <w:rPr>
          <w:rFonts w:cs="Arial"/>
          <w:lang w:eastAsia="cs-CZ"/>
        </w:rPr>
        <w:t xml:space="preserve"> využívané jako skládky stavebních materiálů jen marginálně porostlé vzrostou zel</w:t>
      </w:r>
      <w:r w:rsidR="005A0CC1" w:rsidRPr="006B3F59">
        <w:rPr>
          <w:rFonts w:cs="Arial"/>
          <w:lang w:eastAsia="cs-CZ"/>
        </w:rPr>
        <w:t>e</w:t>
      </w:r>
      <w:r w:rsidR="006C5003" w:rsidRPr="006B3F59">
        <w:rPr>
          <w:rFonts w:cs="Arial"/>
          <w:lang w:eastAsia="cs-CZ"/>
        </w:rPr>
        <w:t>ní</w:t>
      </w:r>
      <w:r w:rsidR="00F7512F" w:rsidRPr="006B3F59">
        <w:rPr>
          <w:rFonts w:cs="Arial"/>
          <w:lang w:eastAsia="cs-CZ"/>
        </w:rPr>
        <w:t xml:space="preserve"> v prostoru Nového Sedlce. V severní </w:t>
      </w:r>
      <w:r w:rsidR="00F7512F" w:rsidRPr="006B3F59">
        <w:rPr>
          <w:rFonts w:cs="Arial"/>
          <w:lang w:eastAsia="cs-CZ"/>
        </w:rPr>
        <w:lastRenderedPageBreak/>
        <w:t xml:space="preserve">části území </w:t>
      </w:r>
      <w:r w:rsidR="004E4671" w:rsidRPr="006B3F59">
        <w:rPr>
          <w:rFonts w:cs="Arial"/>
          <w:lang w:eastAsia="cs-CZ"/>
        </w:rPr>
        <w:t xml:space="preserve">v prostoru </w:t>
      </w:r>
      <w:r w:rsidR="002E61F7" w:rsidRPr="006B3F59">
        <w:rPr>
          <w:rFonts w:cs="Arial"/>
          <w:lang w:eastAsia="cs-CZ"/>
        </w:rPr>
        <w:t>Výhledů</w:t>
      </w:r>
      <w:r w:rsidR="00F7512F" w:rsidRPr="006B3F59">
        <w:rPr>
          <w:rFonts w:cs="Arial"/>
          <w:lang w:eastAsia="cs-CZ"/>
        </w:rPr>
        <w:t xml:space="preserve"> jsou vymezeny zastavitelné plochy na zemědělsky intenzivně využívaných pozemcích. V tomto prostoru bude reálné snížení retenční schopnosti území významnější</w:t>
      </w:r>
      <w:r w:rsidR="004E4671" w:rsidRPr="006B3F59">
        <w:rPr>
          <w:rFonts w:cs="Arial"/>
          <w:lang w:eastAsia="cs-CZ"/>
        </w:rPr>
        <w:t>, z pohledu územního plánu je i zde většina ploch navržena ke změně využití i v platném územním plánu</w:t>
      </w:r>
      <w:r w:rsidR="00F7512F" w:rsidRPr="006B3F59">
        <w:rPr>
          <w:rFonts w:cs="Arial"/>
          <w:lang w:eastAsia="cs-CZ"/>
        </w:rPr>
        <w:t xml:space="preserve">. Samotná tramvajová trať je vedena převážně ve zbytkových plochách a náspech a zpevněných plochách komunikací, významný vliv na retenční schopnost území negeneruje. </w:t>
      </w:r>
      <w:r w:rsidR="00D16EFF" w:rsidRPr="006B3F59">
        <w:rPr>
          <w:rFonts w:cs="Arial"/>
          <w:lang w:eastAsia="cs-CZ"/>
        </w:rPr>
        <w:t xml:space="preserve">Na druhou stranu </w:t>
      </w:r>
      <w:r w:rsidR="00F57654" w:rsidRPr="006B3F59">
        <w:rPr>
          <w:rFonts w:cs="Arial"/>
          <w:lang w:eastAsia="cs-CZ"/>
        </w:rPr>
        <w:t>změna generuje nevýznamné navýšení nezastavitelných ploch v územním plánu</w:t>
      </w:r>
      <w:r w:rsidRPr="006B3F59">
        <w:rPr>
          <w:rFonts w:cs="Arial"/>
          <w:lang w:eastAsia="cs-CZ"/>
        </w:rPr>
        <w:t xml:space="preserve">. </w:t>
      </w:r>
      <w:r w:rsidR="002B3B80" w:rsidRPr="006B3F59">
        <w:rPr>
          <w:rFonts w:cs="Arial"/>
          <w:lang w:eastAsia="cs-CZ"/>
        </w:rPr>
        <w:t>Vliv na retenční schopnost území, bude mírně negativní</w:t>
      </w:r>
      <w:r w:rsidR="00F57654" w:rsidRPr="006B3F59">
        <w:rPr>
          <w:rFonts w:cs="Arial"/>
          <w:lang w:eastAsia="cs-CZ"/>
        </w:rPr>
        <w:t xml:space="preserve"> na úrovni navazujících řízení, mírně pozitivní až marginální z hlediska posuzované ÚPD</w:t>
      </w:r>
      <w:r w:rsidR="002B3B80" w:rsidRPr="006B3F59">
        <w:rPr>
          <w:rFonts w:cs="Arial"/>
          <w:lang w:eastAsia="cs-CZ"/>
        </w:rPr>
        <w:t xml:space="preserve">. </w:t>
      </w:r>
      <w:r w:rsidRPr="006B3F59">
        <w:rPr>
          <w:rFonts w:cs="Arial"/>
          <w:lang w:eastAsia="cs-CZ"/>
        </w:rPr>
        <w:t>V územním plánu</w:t>
      </w:r>
      <w:r w:rsidR="00D16EFF" w:rsidRPr="006B3F59">
        <w:rPr>
          <w:rFonts w:cs="Arial"/>
          <w:lang w:eastAsia="cs-CZ"/>
        </w:rPr>
        <w:t xml:space="preserve"> jsou obecně</w:t>
      </w:r>
      <w:r w:rsidRPr="006B3F59">
        <w:rPr>
          <w:rFonts w:cs="Arial"/>
          <w:lang w:eastAsia="cs-CZ"/>
        </w:rPr>
        <w:t xml:space="preserve"> stanoveny podmínky pro odkanalizování ploch v závislosti na charakteru podloží a možnostech kanalizačního systému. </w:t>
      </w:r>
      <w:r w:rsidR="00F57654" w:rsidRPr="006B3F59">
        <w:t>Kumulativní ani synergické vlivy změna negeneruje</w:t>
      </w:r>
      <w:r w:rsidR="00F57654" w:rsidRPr="006B3F59">
        <w:rPr>
          <w:b/>
          <w:i/>
        </w:rPr>
        <w:t>.</w:t>
      </w:r>
    </w:p>
    <w:p w14:paraId="4A1AE863" w14:textId="77777777" w:rsidR="00EB283A" w:rsidRPr="006B3F59" w:rsidRDefault="00EB283A" w:rsidP="00EB283A">
      <w:pPr>
        <w:pStyle w:val="Podnadpis1"/>
        <w:spacing w:before="120"/>
      </w:pPr>
      <w:r w:rsidRPr="006B3F59">
        <w:t xml:space="preserve">Problém: Kvalita vody v tocích </w:t>
      </w:r>
    </w:p>
    <w:p w14:paraId="0551F290" w14:textId="173BCC55" w:rsidR="00EB283A" w:rsidRPr="006B3F59" w:rsidRDefault="00EB283A" w:rsidP="00EB283A">
      <w:pPr>
        <w:rPr>
          <w:lang w:eastAsia="cs-CZ"/>
        </w:rPr>
      </w:pPr>
      <w:r w:rsidRPr="006B3F59">
        <w:rPr>
          <w:lang w:eastAsia="cs-CZ"/>
        </w:rPr>
        <w:t xml:space="preserve">Negativní vlivy na kvalitu vody v tocích ani potenciál plošného znečištění z průmyslové výroby nebo zemědělských zdrojů nebyly v souvislosti s předkládanou změnou územního plánu zjištěny. </w:t>
      </w:r>
      <w:r w:rsidR="00F57654" w:rsidRPr="006B3F59">
        <w:rPr>
          <w:lang w:eastAsia="cs-CZ"/>
        </w:rPr>
        <w:t>Kumulativní ani synergické vlivy změna negeneruje.</w:t>
      </w:r>
    </w:p>
    <w:p w14:paraId="33D33490" w14:textId="77777777" w:rsidR="00EB283A" w:rsidRPr="006B3F59" w:rsidRDefault="00EB283A" w:rsidP="00EB283A">
      <w:pPr>
        <w:pStyle w:val="Podnadpis1"/>
      </w:pPr>
      <w:r w:rsidRPr="006B3F59">
        <w:t>Problém: Ohrožení vodních zdrojů</w:t>
      </w:r>
    </w:p>
    <w:p w14:paraId="48943F45" w14:textId="58F52DCE" w:rsidR="00EB283A" w:rsidRPr="006B3F59" w:rsidRDefault="00EB283A" w:rsidP="00EB283A">
      <w:pPr>
        <w:pStyle w:val="zkltext"/>
        <w:rPr>
          <w:sz w:val="20"/>
        </w:rPr>
      </w:pPr>
      <w:r w:rsidRPr="006B3F59">
        <w:rPr>
          <w:sz w:val="20"/>
        </w:rPr>
        <w:t xml:space="preserve">V řešeném území se vodní zdroje nenacházejí. Nepředpokládají se takové zásahy do území, aby došlo k podstatnému omezení nebo čerpání podzemních vod. </w:t>
      </w:r>
      <w:r w:rsidR="00F57654" w:rsidRPr="006B3F59">
        <w:rPr>
          <w:sz w:val="20"/>
        </w:rPr>
        <w:t>Kumulativní ani synergické vlivy změna negeneruje.</w:t>
      </w:r>
    </w:p>
    <w:p w14:paraId="7B6BE275" w14:textId="77D9415C" w:rsidR="007F7992" w:rsidRPr="006B3F59" w:rsidRDefault="004A5172" w:rsidP="007F7992">
      <w:pPr>
        <w:pStyle w:val="Nadpis3"/>
        <w:tabs>
          <w:tab w:val="clear" w:pos="709"/>
          <w:tab w:val="num" w:pos="737"/>
        </w:tabs>
        <w:ind w:left="992" w:hanging="992"/>
      </w:pPr>
      <w:bookmarkStart w:id="198" w:name="_Toc138848120"/>
      <w:bookmarkEnd w:id="195"/>
      <w:r w:rsidRPr="006B3F59">
        <w:t>Půda</w:t>
      </w:r>
      <w:bookmarkEnd w:id="198"/>
    </w:p>
    <w:p w14:paraId="74DB8AE0" w14:textId="77777777" w:rsidR="007F7992" w:rsidRPr="006B3F59" w:rsidRDefault="007F7992" w:rsidP="007F7992">
      <w:pPr>
        <w:pStyle w:val="Podnadpis1"/>
      </w:pPr>
      <w:r w:rsidRPr="006B3F59">
        <w:t>Problém: Zábory ZPF</w:t>
      </w:r>
    </w:p>
    <w:p w14:paraId="55DF49B1" w14:textId="4283565D" w:rsidR="007263BE" w:rsidRPr="006B3F59" w:rsidRDefault="007617E4" w:rsidP="007263BE">
      <w:r w:rsidRPr="006B3F59">
        <w:t>Většina půd v</w:t>
      </w:r>
      <w:r w:rsidR="007263BE" w:rsidRPr="006B3F59">
        <w:t> řešeném území</w:t>
      </w:r>
      <w:r w:rsidRPr="006B3F59">
        <w:t xml:space="preserve"> spadá do BPEJ I. či II. Z tohoto důvodu </w:t>
      </w:r>
      <w:r w:rsidR="00CC1516">
        <w:t>byla na základě podkladové stude navržena zástavba</w:t>
      </w:r>
      <w:r w:rsidRPr="006B3F59">
        <w:t xml:space="preserve"> zejména v plochách stávajících staveb či deponií zeminy</w:t>
      </w:r>
      <w:r w:rsidR="007263BE" w:rsidRPr="006B3F59">
        <w:t xml:space="preserve"> v Novém Sedlci bez nutnosti záboru ZPF</w:t>
      </w:r>
      <w:r w:rsidRPr="006B3F59">
        <w:t xml:space="preserve">. </w:t>
      </w:r>
      <w:r w:rsidR="007263BE" w:rsidRPr="006B3F59">
        <w:t xml:space="preserve">Posuzovaná změna územního plánu generuje potenciální zábor ZPF v celkovém rozsahu 18,17 ha půdy, z toho cca 16,3 ha půd I. třídy ochrany a 1,7 ha půd II. třídy ochrany. Většina záboru ZPF je situována v oblasti Výhledů. Převážná část ploch je již v územním plánu určena k zastavění, změnou jsou plochy znovu prověřeny a přeskupeny. Převážná část záborů nejhodnotnějších půd je pak tvořena zábory pro zeleň a pro travnaté plochy a pro plochy dopravní infrastruktury. Předpokládá se návrat půd do ZPF v rozsahu </w:t>
      </w:r>
      <w:r w:rsidR="004E4671" w:rsidRPr="006B3F59">
        <w:t xml:space="preserve">cca </w:t>
      </w:r>
      <w:r w:rsidR="007263BE" w:rsidRPr="006B3F59">
        <w:t xml:space="preserve">9,6 ha. </w:t>
      </w:r>
    </w:p>
    <w:p w14:paraId="2725FF00" w14:textId="0CF28CAF" w:rsidR="00D02AA7" w:rsidRPr="006B3F59" w:rsidRDefault="00F57654" w:rsidP="00D02AA7">
      <w:pPr>
        <w:rPr>
          <w:lang w:eastAsia="cs-CZ"/>
        </w:rPr>
      </w:pPr>
      <w:r w:rsidRPr="006B3F59">
        <w:t>Kumulativní ani synergické vlivy změna negeneruje.</w:t>
      </w:r>
    </w:p>
    <w:p w14:paraId="2FFD44B4" w14:textId="7F9F8E60" w:rsidR="007F7992" w:rsidRPr="006B3F59" w:rsidRDefault="007F7992" w:rsidP="00D02AA7">
      <w:pPr>
        <w:pStyle w:val="Podnadpis1"/>
      </w:pPr>
      <w:r w:rsidRPr="006B3F59">
        <w:t>Problém: Snižování rozlohy PUPFL</w:t>
      </w:r>
    </w:p>
    <w:p w14:paraId="22417A6B" w14:textId="1CC47936" w:rsidR="007F7992" w:rsidRPr="006B3F59" w:rsidRDefault="007263BE" w:rsidP="007F7992">
      <w:r w:rsidRPr="006B3F59">
        <w:t>Změnou dojde k odnětí pozemků určených k plnění funkce lesa (PUPFL) v celkové ploše 0,4321 ha ve stopě koridoru přivaděče Rybářka</w:t>
      </w:r>
      <w:r w:rsidR="004E4671" w:rsidRPr="006B3F59">
        <w:t>, kde dochází k posunu vyústění přivaděče v rámci koridoru vymezeného v ZÚR</w:t>
      </w:r>
      <w:r w:rsidRPr="006B3F59">
        <w:t>. Odnětí je zdůvodnitelné výstavbou stavby dopravní infrastruktury ve veřejném zájmu</w:t>
      </w:r>
      <w:r w:rsidR="007F7992" w:rsidRPr="006B3F59">
        <w:t>.</w:t>
      </w:r>
      <w:r w:rsidR="00F57654" w:rsidRPr="006B3F59">
        <w:t xml:space="preserve"> Kumulativní ani synergické vlivy změna negeneruje.</w:t>
      </w:r>
    </w:p>
    <w:p w14:paraId="45022A38" w14:textId="64AD52EB" w:rsidR="007F7992" w:rsidRPr="006B3F59" w:rsidRDefault="007F7992" w:rsidP="007F7992">
      <w:pPr>
        <w:pStyle w:val="Nadpis3"/>
        <w:tabs>
          <w:tab w:val="clear" w:pos="709"/>
          <w:tab w:val="num" w:pos="737"/>
        </w:tabs>
        <w:ind w:left="992" w:hanging="992"/>
      </w:pPr>
      <w:bookmarkStart w:id="199" w:name="_Toc138848121"/>
      <w:bookmarkStart w:id="200" w:name="_Toc496705144"/>
      <w:r w:rsidRPr="006B3F59">
        <w:t>Horninové prostředí</w:t>
      </w:r>
      <w:bookmarkEnd w:id="199"/>
      <w:r w:rsidRPr="006B3F59">
        <w:t xml:space="preserve"> </w:t>
      </w:r>
      <w:bookmarkEnd w:id="200"/>
    </w:p>
    <w:p w14:paraId="48201135" w14:textId="77777777" w:rsidR="00EB283A" w:rsidRPr="006B3F59" w:rsidRDefault="00EB283A" w:rsidP="00EB283A">
      <w:pPr>
        <w:pStyle w:val="Podnadpis1"/>
        <w:spacing w:before="120"/>
      </w:pPr>
      <w:bookmarkStart w:id="201" w:name="_Toc496705145"/>
      <w:r w:rsidRPr="006B3F59">
        <w:t>Problém: Zásahy do horninového prostředí</w:t>
      </w:r>
    </w:p>
    <w:p w14:paraId="79AA092B" w14:textId="0FCC029E" w:rsidR="007617E4" w:rsidRPr="006B3F59" w:rsidRDefault="007617E4" w:rsidP="007617E4">
      <w:pPr>
        <w:pStyle w:val="zkltext"/>
        <w:rPr>
          <w:sz w:val="20"/>
        </w:rPr>
      </w:pPr>
      <w:r w:rsidRPr="006B3F59">
        <w:rPr>
          <w:sz w:val="20"/>
        </w:rPr>
        <w:t>Na území se nachází dvě</w:t>
      </w:r>
      <w:r w:rsidR="004E4671" w:rsidRPr="006B3F59">
        <w:rPr>
          <w:sz w:val="20"/>
        </w:rPr>
        <w:t xml:space="preserve"> již v minulosti vytěžené</w:t>
      </w:r>
      <w:r w:rsidRPr="006B3F59">
        <w:rPr>
          <w:sz w:val="20"/>
        </w:rPr>
        <w:t xml:space="preserve"> </w:t>
      </w:r>
      <w:r w:rsidR="004E4671" w:rsidRPr="006B3F59">
        <w:rPr>
          <w:sz w:val="20"/>
        </w:rPr>
        <w:t xml:space="preserve">části </w:t>
      </w:r>
      <w:r w:rsidRPr="006B3F59">
        <w:rPr>
          <w:sz w:val="20"/>
        </w:rPr>
        <w:t>evidovan</w:t>
      </w:r>
      <w:r w:rsidR="004E4671" w:rsidRPr="006B3F59">
        <w:rPr>
          <w:sz w:val="20"/>
        </w:rPr>
        <w:t>ého</w:t>
      </w:r>
      <w:r w:rsidRPr="006B3F59">
        <w:rPr>
          <w:sz w:val="20"/>
        </w:rPr>
        <w:t xml:space="preserve"> ložiska (nevýhradní) – „Sedlec–Únětice – Cihlářská surovina“. Je zde evidováno jedno území s aktivním sesuvem půdy – toto území bude muset být detailně prověřeno a zajištěno proti dalším sesuvům.</w:t>
      </w:r>
    </w:p>
    <w:p w14:paraId="474E4967" w14:textId="159B8818" w:rsidR="007617E4" w:rsidRPr="006B3F59" w:rsidRDefault="007617E4" w:rsidP="007617E4">
      <w:pPr>
        <w:pStyle w:val="zkltext"/>
        <w:rPr>
          <w:sz w:val="20"/>
        </w:rPr>
      </w:pPr>
      <w:r w:rsidRPr="006B3F59">
        <w:rPr>
          <w:sz w:val="20"/>
        </w:rPr>
        <w:t>V současné době se většina srážek přirozeně vsakuje, případně po povrchu odtéká do vodoteče či kanalizace.</w:t>
      </w:r>
    </w:p>
    <w:p w14:paraId="114101D6" w14:textId="62EEF44D" w:rsidR="00EB283A" w:rsidRPr="006B3F59" w:rsidRDefault="00EB283A" w:rsidP="00EB283A">
      <w:pPr>
        <w:pStyle w:val="zkltext"/>
        <w:rPr>
          <w:sz w:val="20"/>
        </w:rPr>
      </w:pPr>
      <w:r w:rsidRPr="006B3F59">
        <w:rPr>
          <w:sz w:val="20"/>
        </w:rPr>
        <w:t>Při využití území se vzhledem k</w:t>
      </w:r>
      <w:r w:rsidR="00744A3D" w:rsidRPr="006B3F59">
        <w:rPr>
          <w:sz w:val="20"/>
        </w:rPr>
        <w:t> jeho dosavadnímu vývoji, stávajícímu stavu a</w:t>
      </w:r>
      <w:r w:rsidRPr="006B3F59">
        <w:rPr>
          <w:sz w:val="20"/>
        </w:rPr>
        <w:t> účelu vymezených ploch nepředpokládá významný zásah do podloží.</w:t>
      </w:r>
      <w:r w:rsidR="002B3B80" w:rsidRPr="006B3F59">
        <w:rPr>
          <w:sz w:val="20"/>
        </w:rPr>
        <w:t xml:space="preserve"> Změna negeneruje</w:t>
      </w:r>
      <w:r w:rsidR="009312B0" w:rsidRPr="006B3F59">
        <w:rPr>
          <w:sz w:val="20"/>
        </w:rPr>
        <w:t xml:space="preserve"> budování rozsáhlých podzemních prostor</w:t>
      </w:r>
      <w:r w:rsidR="00F57654" w:rsidRPr="006B3F59">
        <w:rPr>
          <w:sz w:val="20"/>
        </w:rPr>
        <w:t>, ani kumulativní, resp. synergické vlivy</w:t>
      </w:r>
      <w:r w:rsidR="009312B0" w:rsidRPr="006B3F59">
        <w:rPr>
          <w:sz w:val="20"/>
        </w:rPr>
        <w:t>.</w:t>
      </w:r>
    </w:p>
    <w:p w14:paraId="05F03195" w14:textId="77777777" w:rsidR="00EB283A" w:rsidRPr="006B3F59" w:rsidRDefault="00EB283A" w:rsidP="00EB283A">
      <w:pPr>
        <w:pStyle w:val="Podnadpis1"/>
        <w:spacing w:before="120"/>
      </w:pPr>
      <w:r w:rsidRPr="006B3F59">
        <w:t>Problém: Staré ekologické zátěže</w:t>
      </w:r>
    </w:p>
    <w:p w14:paraId="3A21A2A3" w14:textId="77777777" w:rsidR="00C6121B" w:rsidRPr="006B3F59" w:rsidRDefault="00EB283A" w:rsidP="00C6121B">
      <w:r w:rsidRPr="006B3F59">
        <w:t>V řešeném území jsou evidovány staré ekologické zátěže</w:t>
      </w:r>
      <w:r w:rsidR="002B3B80" w:rsidRPr="006B3F59">
        <w:t xml:space="preserve"> dle SEKM</w:t>
      </w:r>
      <w:r w:rsidR="00024117" w:rsidRPr="006B3F59">
        <w:t xml:space="preserve">, </w:t>
      </w:r>
      <w:r w:rsidR="009314B7" w:rsidRPr="006B3F59">
        <w:t xml:space="preserve">potenciální </w:t>
      </w:r>
      <w:r w:rsidR="00024117" w:rsidRPr="006B3F59">
        <w:t>ovlivnění ropnými látkami v</w:t>
      </w:r>
      <w:r w:rsidR="004E4671" w:rsidRPr="006B3F59">
        <w:t> prostoru Nového Sedlce na místě bývalé cihelny, bez aktuálních zdravotních rizik</w:t>
      </w:r>
      <w:r w:rsidR="00F57654" w:rsidRPr="006B3F59">
        <w:t>, mimo podrobnost řešení posuzované ÚPD</w:t>
      </w:r>
      <w:r w:rsidR="004E4671" w:rsidRPr="006B3F59">
        <w:t xml:space="preserve"> (Skládka u bývalé cihelny, ID lokality 30041018 – neprozkoumaná lokalita bez aktuálních rizik; Skládka ve vytěžených zemnících v Sedlci, ID lokality 30041019 – kontaminace je potvrzena, nereprezentuje aktuální zdravotní riziko ani rozpor s legislativou, není však vyloučena možnost dalšího šíření).</w:t>
      </w:r>
      <w:r w:rsidR="00C6121B" w:rsidRPr="006B3F59">
        <w:t xml:space="preserve"> Jedná se o skládky ve vytěžené cihelně a zemnících zavážené v dlouhém časovém období širokým spektrem odpadů, kde převládala zemina a stavební suť. </w:t>
      </w:r>
    </w:p>
    <w:p w14:paraId="6AAAD580" w14:textId="6BFE8876" w:rsidR="00EB283A" w:rsidRPr="006B3F59" w:rsidRDefault="00F57654" w:rsidP="00EB283A">
      <w:r w:rsidRPr="006B3F59">
        <w:lastRenderedPageBreak/>
        <w:t>V navazujících řízeních je v případě prokázání kontaminace</w:t>
      </w:r>
      <w:r w:rsidR="00024117" w:rsidRPr="006B3F59">
        <w:t xml:space="preserve"> (potřeba zpracovat podrobný hydrogeologický a sanační průzkum)</w:t>
      </w:r>
      <w:r w:rsidRPr="006B3F59">
        <w:t xml:space="preserve"> nutné př</w:t>
      </w:r>
      <w:r w:rsidR="00024117" w:rsidRPr="006B3F59">
        <w:t>i</w:t>
      </w:r>
      <w:r w:rsidRPr="006B3F59">
        <w:t>jmout opatř</w:t>
      </w:r>
      <w:r w:rsidR="00024117" w:rsidRPr="006B3F59">
        <w:t>e</w:t>
      </w:r>
      <w:r w:rsidRPr="006B3F59">
        <w:t xml:space="preserve">ní pro </w:t>
      </w:r>
      <w:r w:rsidR="00024117" w:rsidRPr="006B3F59">
        <w:t>zamezení negativního ovlivnění budoucích staveb</w:t>
      </w:r>
      <w:r w:rsidR="004E4671" w:rsidRPr="006B3F59">
        <w:t xml:space="preserve"> určených pro trvalé bydlení</w:t>
      </w:r>
      <w:r w:rsidR="00024117" w:rsidRPr="006B3F59">
        <w:t>, resp. jejich uživatelů např. pomocí odtěžení kontaminovaných zemin a jejich likvidace v souladu se zákonem o odpadech.</w:t>
      </w:r>
    </w:p>
    <w:p w14:paraId="24450F6F" w14:textId="77777777" w:rsidR="00DF1312" w:rsidRPr="006B3F59" w:rsidRDefault="00DF1312" w:rsidP="00DF1312">
      <w:pPr>
        <w:pStyle w:val="Podnadpis1"/>
        <w:spacing w:before="120"/>
        <w:jc w:val="both"/>
        <w:rPr>
          <w:rFonts w:eastAsia="Arial"/>
          <w:b w:val="0"/>
          <w:i w:val="0"/>
          <w:snapToGrid/>
          <w:color w:val="auto"/>
          <w:szCs w:val="22"/>
          <w:lang w:eastAsia="en-US"/>
        </w:rPr>
      </w:pPr>
      <w:r w:rsidRPr="006B3F59">
        <w:rPr>
          <w:rFonts w:eastAsia="Arial"/>
          <w:b w:val="0"/>
          <w:i w:val="0"/>
          <w:snapToGrid/>
          <w:color w:val="auto"/>
          <w:szCs w:val="22"/>
          <w:lang w:eastAsia="en-US"/>
        </w:rPr>
        <w:t xml:space="preserve">Kumulativní ani synergické vlivy změna negeneruje. </w:t>
      </w:r>
    </w:p>
    <w:p w14:paraId="14AC96D8" w14:textId="71148696" w:rsidR="007F7992" w:rsidRPr="006B3F59" w:rsidRDefault="007F7992" w:rsidP="007F7992">
      <w:pPr>
        <w:pStyle w:val="Nadpis3"/>
        <w:tabs>
          <w:tab w:val="clear" w:pos="709"/>
          <w:tab w:val="num" w:pos="737"/>
        </w:tabs>
        <w:ind w:left="992" w:hanging="992"/>
      </w:pPr>
      <w:bookmarkStart w:id="202" w:name="_Toc138848122"/>
      <w:r w:rsidRPr="006B3F59">
        <w:t xml:space="preserve">Flóra, fauna, </w:t>
      </w:r>
      <w:bookmarkEnd w:id="201"/>
      <w:r w:rsidR="00E95252" w:rsidRPr="006B3F59">
        <w:t>biodiverzita</w:t>
      </w:r>
      <w:bookmarkEnd w:id="202"/>
    </w:p>
    <w:p w14:paraId="3C23A97F" w14:textId="3E25FF9A" w:rsidR="007F7992" w:rsidRPr="006B3F59" w:rsidRDefault="007F7992" w:rsidP="007F7992">
      <w:pPr>
        <w:pStyle w:val="Podnadpis1"/>
      </w:pPr>
      <w:r w:rsidRPr="006B3F59">
        <w:t xml:space="preserve">Ohrožení ekologické stability krajiny a biotopů zvláště chráněných druhů </w:t>
      </w:r>
    </w:p>
    <w:p w14:paraId="27683089" w14:textId="5AF76ECD" w:rsidR="001A0400" w:rsidRPr="006B3F59" w:rsidRDefault="006003F4" w:rsidP="00535C9E">
      <w:r w:rsidRPr="006B3F59">
        <w:t xml:space="preserve">Nedochází k novým střetům s prvky ÚSES, které by měly vliv na jejich funkčnost. </w:t>
      </w:r>
      <w:r w:rsidR="007617E4" w:rsidRPr="006B3F59">
        <w:t>ÚSES v oblasti Výhledů je zastoupen funkčním nadregionálním biokoridorem N3/9, který navazuje na biocentrum L1/165 severně od Kamýcké ulice</w:t>
      </w:r>
      <w:r w:rsidR="005440E1" w:rsidRPr="006B3F59">
        <w:t xml:space="preserve"> s dílčími úpravami bez vlivu na funkčnost celého systému</w:t>
      </w:r>
      <w:r w:rsidR="007617E4" w:rsidRPr="006B3F59">
        <w:t>. Změna nově počítá s umístěním biocentra na parcele na východním okraji řešeného území</w:t>
      </w:r>
      <w:r w:rsidR="00C6121B" w:rsidRPr="006B3F59">
        <w:t xml:space="preserve"> v souladu s aktuálním přístupem k ÚSES v tomto území, a tím i k jeho dalšímu posílení</w:t>
      </w:r>
      <w:r w:rsidR="007617E4" w:rsidRPr="006B3F59">
        <w:t>.</w:t>
      </w:r>
    </w:p>
    <w:p w14:paraId="12113716" w14:textId="6E96B6B8" w:rsidR="001A0400" w:rsidRPr="006B3F59" w:rsidRDefault="00535C9E" w:rsidP="00535C9E">
      <w:r w:rsidRPr="006B3F59">
        <w:rPr>
          <w:rFonts w:cs="Arial"/>
        </w:rPr>
        <w:t>V</w:t>
      </w:r>
      <w:r w:rsidR="006003F4" w:rsidRPr="006B3F59">
        <w:rPr>
          <w:rFonts w:cs="Arial"/>
        </w:rPr>
        <w:t xml:space="preserve"> území dotčeném </w:t>
      </w:r>
      <w:r w:rsidR="002B3B80" w:rsidRPr="006B3F59">
        <w:rPr>
          <w:rFonts w:cs="Arial"/>
        </w:rPr>
        <w:t>posuzovanou ÚPD</w:t>
      </w:r>
      <w:r w:rsidRPr="006B3F59">
        <w:rPr>
          <w:rFonts w:cs="Arial"/>
        </w:rPr>
        <w:t xml:space="preserve"> není registrován žádný významný krajinný prvek podle zák. 114/1992 Sb., </w:t>
      </w:r>
      <w:r w:rsidR="00DA01A6" w:rsidRPr="006B3F59">
        <w:t>o ochraně přírody a krajiny, v platném znění</w:t>
      </w:r>
      <w:r w:rsidR="006003F4" w:rsidRPr="006B3F59">
        <w:t xml:space="preserve">. </w:t>
      </w:r>
      <w:r w:rsidR="004365DD" w:rsidRPr="006B3F59">
        <w:t>Niva Vltavy jako významný krajinný prvek ze zákona je v řešeném území již zastavěna.</w:t>
      </w:r>
    </w:p>
    <w:p w14:paraId="390A1B44" w14:textId="51582AC6" w:rsidR="00770949" w:rsidRPr="006B3F59" w:rsidRDefault="00770949" w:rsidP="00535C9E">
      <w:r w:rsidRPr="006B3F59">
        <w:rPr>
          <w:rFonts w:cs="Arial"/>
          <w:bCs/>
        </w:rPr>
        <w:t>Změnou dojde k navýšení ploch celoměstského systému zeleně (CSZ) v rozsahu 16 268 m². Tato úprava pozitivně ovlivní celkovou koncepci celoměstského systému zeleně v daném území a posílí jeho funkčnost. V lokalitě Výhledy prostupuje systém centrálním prostorem rozvojových území a zároveň posiluje pás v severní a západní části. V lokalitě Nový Sedlec je systém posílen především v okrajových částech od severu k jihu.</w:t>
      </w:r>
    </w:p>
    <w:p w14:paraId="7BB27ACB" w14:textId="66053024" w:rsidR="009312B0" w:rsidRDefault="003B4353" w:rsidP="009312B0">
      <w:pPr>
        <w:rPr>
          <w:rFonts w:cs="Arial"/>
        </w:rPr>
      </w:pPr>
      <w:r w:rsidRPr="00111F34">
        <w:t>Změny</w:t>
      </w:r>
      <w:r w:rsidR="002B3B80" w:rsidRPr="00111F34">
        <w:t xml:space="preserve"> využití území</w:t>
      </w:r>
      <w:r w:rsidRPr="00111F34">
        <w:t xml:space="preserve"> jsou</w:t>
      </w:r>
      <w:r w:rsidR="006C15B1" w:rsidRPr="00111F34">
        <w:t xml:space="preserve"> umístěn</w:t>
      </w:r>
      <w:r w:rsidRPr="00111F34">
        <w:t>y</w:t>
      </w:r>
      <w:r w:rsidR="006C15B1" w:rsidRPr="00111F34">
        <w:t xml:space="preserve"> do významně antropogenně ovlivněného území, v němž se nevyskytují významné biotopy</w:t>
      </w:r>
      <w:r w:rsidR="009312B0" w:rsidRPr="00111F34">
        <w:rPr>
          <w:rFonts w:cs="Arial"/>
        </w:rPr>
        <w:t xml:space="preserve">. </w:t>
      </w:r>
      <w:r w:rsidR="006B3F59" w:rsidRPr="00111F34">
        <w:rPr>
          <w:rFonts w:cs="Arial"/>
        </w:rPr>
        <w:t xml:space="preserve">Zároveň jsou </w:t>
      </w:r>
      <w:r w:rsidR="00111F34" w:rsidRPr="00111F34">
        <w:rPr>
          <w:rFonts w:cs="Arial"/>
        </w:rPr>
        <w:t xml:space="preserve">vytvořeny územní předpoklady pro vytvoření nárazníkového pásma a stabilizaci ploch zeleně pro ochranu environmentálně relativně cennějších území v navazujícím území, zejména v prostoru horní partie Podbabských skal. </w:t>
      </w:r>
    </w:p>
    <w:p w14:paraId="7CFF2369" w14:textId="171ADD1C" w:rsidR="0046206D" w:rsidRPr="00111F34" w:rsidRDefault="0046206D" w:rsidP="009312B0">
      <w:pPr>
        <w:rPr>
          <w:rFonts w:cs="Arial"/>
        </w:rPr>
      </w:pPr>
      <w:r w:rsidRPr="0046206D">
        <w:rPr>
          <w:rFonts w:cs="Arial"/>
        </w:rPr>
        <w:t>Z polohy řešeného území Z 3827/00 explicitně nevyplývají přímé územní střety s EVL ani jejími předměty ochrany. EVL byla zahrnuta do území Z 3827/00 s ohledem na funkční návaznost a propojení na okolní území mimo jiné i z pohledu změny funkčního využití na plochy ZMK s cílem územně stabilizovat souvislý pás městské krajinné zeleně, a to ve vazbě zahrnutí těchto ploch do skladebných částí ÚSES.</w:t>
      </w:r>
    </w:p>
    <w:p w14:paraId="2CC124CB" w14:textId="77777777" w:rsidR="00DF1312" w:rsidRPr="00111F34" w:rsidRDefault="00DF1312" w:rsidP="00DF1312">
      <w:pPr>
        <w:pStyle w:val="Podnadpis1"/>
        <w:spacing w:before="120"/>
        <w:jc w:val="both"/>
        <w:rPr>
          <w:rFonts w:eastAsia="Arial"/>
          <w:b w:val="0"/>
          <w:i w:val="0"/>
          <w:snapToGrid/>
          <w:color w:val="auto"/>
          <w:szCs w:val="22"/>
          <w:lang w:eastAsia="en-US"/>
        </w:rPr>
      </w:pPr>
      <w:r w:rsidRPr="00111F34">
        <w:rPr>
          <w:rFonts w:eastAsia="Arial"/>
          <w:b w:val="0"/>
          <w:i w:val="0"/>
          <w:snapToGrid/>
          <w:color w:val="auto"/>
          <w:szCs w:val="22"/>
          <w:lang w:eastAsia="en-US"/>
        </w:rPr>
        <w:t xml:space="preserve">Kumulativní ani synergické vlivy změna negeneruje. </w:t>
      </w:r>
    </w:p>
    <w:p w14:paraId="525F4899" w14:textId="77777777" w:rsidR="007F7992" w:rsidRPr="00111F34" w:rsidRDefault="007F7992" w:rsidP="007F7992">
      <w:pPr>
        <w:pStyle w:val="Nadpis3"/>
        <w:tabs>
          <w:tab w:val="clear" w:pos="709"/>
          <w:tab w:val="num" w:pos="737"/>
        </w:tabs>
        <w:ind w:left="992" w:hanging="992"/>
      </w:pPr>
      <w:bookmarkStart w:id="203" w:name="_Toc496705146"/>
      <w:bookmarkStart w:id="204" w:name="_Toc138848123"/>
      <w:r w:rsidRPr="00111F34">
        <w:t>Ochrana přírody</w:t>
      </w:r>
      <w:bookmarkEnd w:id="203"/>
      <w:bookmarkEnd w:id="204"/>
    </w:p>
    <w:p w14:paraId="2C70F079" w14:textId="7C1B2FE6" w:rsidR="007F7992" w:rsidRPr="00111F34" w:rsidRDefault="007F7992" w:rsidP="007F7992">
      <w:pPr>
        <w:pStyle w:val="Podnadpis1"/>
      </w:pPr>
      <w:r w:rsidRPr="00111F34">
        <w:t>Problém: Ochrana ZCHÚ</w:t>
      </w:r>
      <w:r w:rsidR="00C6121B" w:rsidRPr="00111F34">
        <w:t xml:space="preserve"> – územní souvislost</w:t>
      </w:r>
    </w:p>
    <w:p w14:paraId="28141B11" w14:textId="40CBEC10" w:rsidR="007617E4" w:rsidRDefault="007617E4" w:rsidP="00C6121B">
      <w:r w:rsidRPr="00111F34">
        <w:t xml:space="preserve">V řešeném území Nový Sedlec se nachází přírodní památka Podbabské skály, včetně jejího ochranného pásma, a spolu s částí ploch evropsky významné lokality (Natura 2000) – Kaňon Vltavy u Sedlce – tvoří jižní skalnatý okraj řešeného území. Návrh se snaží v maximální možné míře oddálit obytnou zástavbu od hrany Podbabských skal. </w:t>
      </w:r>
      <w:r w:rsidR="00C6121B" w:rsidRPr="00111F34">
        <w:t xml:space="preserve">Změna zlepší prostupnost i dostupnost území, a tím může potenciálně ovlivnit návštěvnost horních partií Podbabských skal. Ve změně jsou na druhou stranu vymezeny plochy zeleně a rekreační ploch </w:t>
      </w:r>
      <w:r w:rsidRPr="00111F34">
        <w:t>i na jiná místa území</w:t>
      </w:r>
      <w:r w:rsidR="00C6121B" w:rsidRPr="00111F34">
        <w:t xml:space="preserve"> s cílem diverzifikovat a rozptýlit potenciální </w:t>
      </w:r>
      <w:r w:rsidRPr="00111F34">
        <w:t>počet návštěvníků těchto chráněných oblastí. V těsném kontaktu s řešeným územím Nového Sedlce je Přírodní park Šárka – Lysolaje, který navazuje na jižní až jihozápadní hranu území</w:t>
      </w:r>
      <w:r w:rsidR="00C6121B" w:rsidRPr="00111F34">
        <w:t xml:space="preserve">. </w:t>
      </w:r>
    </w:p>
    <w:p w14:paraId="02FC301F" w14:textId="77777777" w:rsidR="0046206D" w:rsidRDefault="0046206D" w:rsidP="0046206D">
      <w:pPr>
        <w:rPr>
          <w:lang w:eastAsia="cs-CZ"/>
        </w:rPr>
      </w:pPr>
      <w:r w:rsidRPr="00111F34">
        <w:rPr>
          <w:lang w:eastAsia="cs-CZ"/>
        </w:rPr>
        <w:t>Řešené území změny zasahuje do evropsky významné lokality (EVL) soustavy NATURA 2000 a přírodní památky (PP) Podbabské skály, kde ale dochází pouze ke korekcím vymezení ÚSES. Stejně tak v přírodním parku Šárka – Lysolaje není nadále uvažováno s rozvojem zastavitelných ploch. Plochy v ochranném pásmu PP jsou uspořádány tak, aby vytvářely pomyslné „nárazníkové pásmo“ mezi připravovanou zástavbou a tímto chráněným územím, a nedošlo tak k poškození předmětu ochrany PP. Součástí tohoto nárazníkového pásma jsou plochy /SO/ pro rekreaci a plocha /VV/ představující rezervu pro školu.</w:t>
      </w:r>
    </w:p>
    <w:p w14:paraId="1D90DBD9" w14:textId="3D23F8FF" w:rsidR="00535C9E" w:rsidRPr="00111F34" w:rsidRDefault="003B4353" w:rsidP="00535C9E">
      <w:r w:rsidRPr="00111F34">
        <w:t xml:space="preserve">Do území </w:t>
      </w:r>
      <w:r w:rsidR="002B3B80" w:rsidRPr="00111F34">
        <w:t>posuzované ÚPD</w:t>
      </w:r>
      <w:r w:rsidR="00652419" w:rsidRPr="00111F34">
        <w:t xml:space="preserve"> </w:t>
      </w:r>
      <w:r w:rsidR="007F7992" w:rsidRPr="00111F34">
        <w:t xml:space="preserve">nezasahuje žádné </w:t>
      </w:r>
      <w:r w:rsidR="008E29FF" w:rsidRPr="00111F34">
        <w:t xml:space="preserve">velkoplošné </w:t>
      </w:r>
      <w:r w:rsidR="007F7992" w:rsidRPr="00111F34">
        <w:t xml:space="preserve">zvláště chráněné území podle zákona 114/1992 Sb., </w:t>
      </w:r>
      <w:bookmarkStart w:id="205" w:name="_Hlk58960221"/>
      <w:r w:rsidR="007F7992" w:rsidRPr="00111F34">
        <w:t>o ochraně přírody a krajiny, v platném znění</w:t>
      </w:r>
      <w:bookmarkEnd w:id="205"/>
      <w:r w:rsidRPr="00111F34">
        <w:t>, žádné registrované VKP ani památné stromy.</w:t>
      </w:r>
      <w:r w:rsidR="007F7992" w:rsidRPr="00111F34">
        <w:t xml:space="preserve"> </w:t>
      </w:r>
      <w:r w:rsidR="00DF1312" w:rsidRPr="00111F34">
        <w:t>Kumulativní ani synergické vlivy změna negeneruje.</w:t>
      </w:r>
    </w:p>
    <w:p w14:paraId="56B7D6F2" w14:textId="5DACBE3A" w:rsidR="00E95252" w:rsidRPr="00111F34" w:rsidRDefault="007F7992" w:rsidP="007F7992">
      <w:pPr>
        <w:pStyle w:val="Nadpis3"/>
        <w:tabs>
          <w:tab w:val="clear" w:pos="709"/>
          <w:tab w:val="num" w:pos="737"/>
        </w:tabs>
        <w:ind w:left="992" w:hanging="992"/>
      </w:pPr>
      <w:bookmarkStart w:id="206" w:name="_Toc138848124"/>
      <w:bookmarkStart w:id="207" w:name="_Toc496705147"/>
      <w:r w:rsidRPr="00111F34">
        <w:lastRenderedPageBreak/>
        <w:t xml:space="preserve">Krajina, </w:t>
      </w:r>
      <w:r w:rsidR="00E95252" w:rsidRPr="00111F34">
        <w:t>sídla a urbanismus</w:t>
      </w:r>
      <w:bookmarkEnd w:id="206"/>
    </w:p>
    <w:p w14:paraId="7B3AEE41" w14:textId="028FD51A" w:rsidR="00E95252" w:rsidRPr="00111F34" w:rsidRDefault="00E95252" w:rsidP="00E95252">
      <w:pPr>
        <w:pStyle w:val="Podnadpis1"/>
      </w:pPr>
      <w:r w:rsidRPr="00111F34">
        <w:t>Problém: Potenciál ovlivnění krajinného rázu</w:t>
      </w:r>
    </w:p>
    <w:p w14:paraId="1ED32475" w14:textId="6B00C169" w:rsidR="00E95252" w:rsidRPr="00111F34" w:rsidRDefault="00DF1312" w:rsidP="00E95252">
      <w:r w:rsidRPr="00111F34">
        <w:t>Posuzovaná koncepce vytváří územní předpoklady pro</w:t>
      </w:r>
      <w:r w:rsidR="00C6121B" w:rsidRPr="00111F34">
        <w:t xml:space="preserve"> transformaci ploch brownfields, rozvoj rezidenčních ploch,</w:t>
      </w:r>
      <w:r w:rsidR="00E95252" w:rsidRPr="00111F34">
        <w:t xml:space="preserve"> </w:t>
      </w:r>
      <w:r w:rsidR="00770949" w:rsidRPr="00111F34">
        <w:t>rozšíření ploch zeleně</w:t>
      </w:r>
      <w:r w:rsidR="00E95252" w:rsidRPr="00111F34">
        <w:t xml:space="preserve">, nelze vyloučit ani ovlivnění pohledů </w:t>
      </w:r>
      <w:r w:rsidR="00024117" w:rsidRPr="00111F34">
        <w:t>ze střední</w:t>
      </w:r>
      <w:r w:rsidR="00E95252" w:rsidRPr="00111F34">
        <w:t xml:space="preserve"> vzdálenosti (cca do 2 km)</w:t>
      </w:r>
      <w:r w:rsidR="00024117" w:rsidRPr="00111F34">
        <w:t xml:space="preserve"> v závislosti na konkrétní podobě realizované zástavby a jejím hmotovém a architektonickém pojetí, což je však mimo podrobnost územního plánu.</w:t>
      </w:r>
      <w:r w:rsidRPr="00111F34">
        <w:t xml:space="preserve"> Z pohledu územního plánu dojde ke koordinaci a sjednocení urbanistického rázu </w:t>
      </w:r>
      <w:r w:rsidR="00F8457E" w:rsidRPr="00111F34">
        <w:t>Nového Sedlce, který má dnes charakter brownfields</w:t>
      </w:r>
      <w:r w:rsidR="00C6121B" w:rsidRPr="00111F34">
        <w:t xml:space="preserve"> a realizaci zástavby s nízkou intenzitou a vysokým podílem zeleně, která negeneruje významné vlivy na krajinný ráz</w:t>
      </w:r>
      <w:r w:rsidRPr="00111F34">
        <w:t>.</w:t>
      </w:r>
    </w:p>
    <w:p w14:paraId="54077E06" w14:textId="68A17B3A" w:rsidR="00FD09AA" w:rsidRPr="00111F34" w:rsidRDefault="00024117" w:rsidP="00E95252">
      <w:r w:rsidRPr="00111F34">
        <w:t>Zástavba v řešených plochách</w:t>
      </w:r>
      <w:r w:rsidR="00E95252" w:rsidRPr="00111F34">
        <w:t xml:space="preserve"> bude spolupůsobit s již existujícími impakty v území,</w:t>
      </w:r>
      <w:r w:rsidRPr="00111F34">
        <w:t xml:space="preserve"> již realizovanou i plánovanou zástavbou, v</w:t>
      </w:r>
      <w:r w:rsidR="00E95252" w:rsidRPr="00111F34">
        <w:t xml:space="preserve">edením dopravních a technických sítí a přítomností </w:t>
      </w:r>
      <w:r w:rsidRPr="00111F34">
        <w:t>komerčních i skladovacích</w:t>
      </w:r>
      <w:r w:rsidR="00E95252" w:rsidRPr="00111F34">
        <w:t xml:space="preserve"> areálů v</w:t>
      </w:r>
      <w:r w:rsidR="00DF1312" w:rsidRPr="00111F34">
        <w:t> </w:t>
      </w:r>
      <w:r w:rsidR="00E95252" w:rsidRPr="00111F34">
        <w:t>území</w:t>
      </w:r>
      <w:r w:rsidR="00DF1312" w:rsidRPr="00111F34">
        <w:t xml:space="preserve"> i navazujících plochách.</w:t>
      </w:r>
    </w:p>
    <w:p w14:paraId="4C9AFD54" w14:textId="572FDAC3" w:rsidR="00FD09AA" w:rsidRPr="00111F34" w:rsidRDefault="00FD09AA" w:rsidP="00E95252">
      <w:pPr>
        <w:rPr>
          <w:b/>
          <w:bCs/>
        </w:rPr>
      </w:pPr>
      <w:r w:rsidRPr="00111F34">
        <w:rPr>
          <w:b/>
          <w:bCs/>
        </w:rPr>
        <w:t>Problém: Územní souvislost PP Šárka – Lysolaje</w:t>
      </w:r>
    </w:p>
    <w:p w14:paraId="61E83C5C" w14:textId="3D2FDB8A" w:rsidR="00FD09AA" w:rsidRPr="00111F34" w:rsidRDefault="00C6121B" w:rsidP="00FD09AA">
      <w:pPr>
        <w:autoSpaceDE w:val="0"/>
        <w:autoSpaceDN w:val="0"/>
        <w:adjustRightInd w:val="0"/>
        <w:rPr>
          <w:bCs/>
        </w:rPr>
      </w:pPr>
      <w:r w:rsidRPr="00111F34">
        <w:rPr>
          <w:bCs/>
        </w:rPr>
        <w:t>Dle technické studie p</w:t>
      </w:r>
      <w:r w:rsidR="00FD09AA" w:rsidRPr="00111F34">
        <w:rPr>
          <w:bCs/>
        </w:rPr>
        <w:t>o převedení tramvaje do prostoru mezi železniční trať a ulici Podbabskou severně u hydrologického ústavu tramvajová trať postupně vystoupá do úrovně železniční trati, kde je dále vedena k mostu přes ulici V Podbabě, kde je navržena obousměrná zastávka, a dále podél Roztocké ulice směrem k Sedlci, kde postupně opět přejde na úroveň terénu. V tomto prostoru sousedí ze západní strany se stávající železniční tratí hranice přírodního parku Šárka-Lysolaje</w:t>
      </w:r>
      <w:r w:rsidR="003E0E46" w:rsidRPr="00111F34">
        <w:rPr>
          <w:bCs/>
        </w:rPr>
        <w:t xml:space="preserve">, </w:t>
      </w:r>
      <w:r w:rsidR="00FD09AA" w:rsidRPr="00111F34">
        <w:rPr>
          <w:bCs/>
        </w:rPr>
        <w:t xml:space="preserve">Předmětem ochrany v tomto prostoru je především východní hrana Podbabských skal, v tomto prostoru chráněná jako jeden PP Baba a jeden ze segmentů EVL Kaňon Vltavy u Sedlce. </w:t>
      </w:r>
      <w:r w:rsidRPr="00111F34">
        <w:rPr>
          <w:bCs/>
        </w:rPr>
        <w:t>V této souvislosti b</w:t>
      </w:r>
      <w:r w:rsidR="00FD09AA" w:rsidRPr="00111F34">
        <w:rPr>
          <w:bCs/>
        </w:rPr>
        <w:t>ez přímého dotčení, vizuálně spolupůsobit bude nová tramvajová trať spolu s existujícími dopravními stavbami v tomto prostoru</w:t>
      </w:r>
      <w:r w:rsidR="003E0E46" w:rsidRPr="00111F34">
        <w:rPr>
          <w:bCs/>
        </w:rPr>
        <w:t>,</w:t>
      </w:r>
      <w:r w:rsidR="00FD09AA" w:rsidRPr="00111F34">
        <w:rPr>
          <w:bCs/>
        </w:rPr>
        <w:t xml:space="preserve"> tj. ulicí Podbabská a železniční tratí, přičemž návrh počítá s přimknutím tramvajové trati výškově i směrově k trati železniční. Navržené trasování i výškové uspořádání bylo prověřeno s ohledem na realizaci tramvajového mostu směrem k druhému břehu Vltavy a vedení tramvajové trasy směrem do Bohnic. </w:t>
      </w:r>
      <w:r w:rsidR="003E0E46" w:rsidRPr="00111F34">
        <w:rPr>
          <w:bCs/>
        </w:rPr>
        <w:t>Z</w:t>
      </w:r>
      <w:r w:rsidR="00FD09AA" w:rsidRPr="00111F34">
        <w:rPr>
          <w:bCs/>
        </w:rPr>
        <w:t xml:space="preserve">měna </w:t>
      </w:r>
      <w:r w:rsidR="003E0E46" w:rsidRPr="00111F34">
        <w:rPr>
          <w:bCs/>
        </w:rPr>
        <w:t>rozšiřuje plochy S2 po obou stranách ulice Podbabská tak,</w:t>
      </w:r>
      <w:r w:rsidR="00FD09AA" w:rsidRPr="00111F34">
        <w:rPr>
          <w:bCs/>
        </w:rPr>
        <w:t xml:space="preserve"> tak aby bylo možné zde tramvajovou trať realizovat. </w:t>
      </w:r>
    </w:p>
    <w:p w14:paraId="13F5AB9D" w14:textId="0D81454E" w:rsidR="00FD09AA" w:rsidRPr="00111F34" w:rsidRDefault="003E0E46" w:rsidP="00E95252">
      <w:r w:rsidRPr="00111F34">
        <w:t xml:space="preserve">Lze očekávat vizuální spolupůsobení se synergický účinkem v kontextu stávajícího vedení dopravních a technických sítí. </w:t>
      </w:r>
    </w:p>
    <w:p w14:paraId="0CB0E89C" w14:textId="77777777" w:rsidR="00E95252" w:rsidRPr="00111F34" w:rsidRDefault="00E95252" w:rsidP="00E95252">
      <w:pPr>
        <w:pStyle w:val="Nadpis3"/>
      </w:pPr>
      <w:bookmarkStart w:id="208" w:name="_Toc138848125"/>
      <w:bookmarkEnd w:id="207"/>
      <w:r w:rsidRPr="00111F34">
        <w:t>Hmotný majetek, nemovité památky, kulturní dědictví včetně dědictví architektonického a archeologického</w:t>
      </w:r>
      <w:bookmarkEnd w:id="208"/>
      <w:r w:rsidRPr="00111F34">
        <w:t xml:space="preserve"> </w:t>
      </w:r>
    </w:p>
    <w:p w14:paraId="79280108" w14:textId="3B2FADF0" w:rsidR="007F7992" w:rsidRPr="00111F34" w:rsidRDefault="00DF1312" w:rsidP="007F7992">
      <w:pPr>
        <w:pStyle w:val="Podnadpis1"/>
      </w:pPr>
      <w:r w:rsidRPr="00111F34">
        <w:t>P</w:t>
      </w:r>
      <w:r w:rsidR="007F7992" w:rsidRPr="00111F34">
        <w:t>amátková ochrana</w:t>
      </w:r>
    </w:p>
    <w:p w14:paraId="0EBC94AF" w14:textId="4E5BD0CE" w:rsidR="007F7992" w:rsidRPr="00111F34" w:rsidRDefault="00861FE4" w:rsidP="007F7992">
      <w:r w:rsidRPr="00111F34">
        <w:t xml:space="preserve">Jsou vytvářeny územní předpoklady pro umístění tramvajové trati do vizuálního kontextu s nemovitou kulturní památkou </w:t>
      </w:r>
      <w:r w:rsidRPr="00111F34">
        <w:rPr>
          <w:szCs w:val="20"/>
        </w:rPr>
        <w:t xml:space="preserve">Viadukt železniční tratě Praha Bubeneč – Kralupy na Vltavou – Děčín, to znamená dílčí rozšíření plochy S2 v kontaktu s tímto viaduktem. </w:t>
      </w:r>
      <w:r w:rsidR="00983713" w:rsidRPr="00111F34">
        <w:rPr>
          <w:szCs w:val="20"/>
        </w:rPr>
        <w:t>Mimo podrobnost územního plánu je řešení konkrétních staveb, nicméně lze očekávat, že v</w:t>
      </w:r>
      <w:r w:rsidR="00983713" w:rsidRPr="00111F34">
        <w:rPr>
          <w:bCs/>
        </w:rPr>
        <w:t xml:space="preserve">izuální působení památky bude případným mostem přimknutým k tomuto viaduktu dotčeno. </w:t>
      </w:r>
      <w:r w:rsidRPr="00111F34">
        <w:rPr>
          <w:szCs w:val="20"/>
        </w:rPr>
        <w:t>V navazujících řízeních je tak třeba zajisti zachování charakteru</w:t>
      </w:r>
      <w:r w:rsidR="00E928AE" w:rsidRPr="00111F34">
        <w:rPr>
          <w:szCs w:val="20"/>
        </w:rPr>
        <w:t xml:space="preserve"> území a vyznění viaduktu z pohledového hlediska. </w:t>
      </w:r>
      <w:r w:rsidR="006062A6" w:rsidRPr="00111F34">
        <w:t>Kumulativní ani synergické vlivy změna negeneruje.</w:t>
      </w:r>
    </w:p>
    <w:p w14:paraId="48657BF7" w14:textId="77777777" w:rsidR="00E95252" w:rsidRPr="00111F34" w:rsidRDefault="00E95252" w:rsidP="00E95252">
      <w:pPr>
        <w:pStyle w:val="Podnadpis1"/>
      </w:pPr>
      <w:r w:rsidRPr="00111F34">
        <w:t>Jev: Území možných archeologických nálezů</w:t>
      </w:r>
    </w:p>
    <w:p w14:paraId="78517F61" w14:textId="751712A7" w:rsidR="00E95252" w:rsidRPr="00111F34" w:rsidRDefault="004A5874" w:rsidP="00E95252">
      <w:r w:rsidRPr="00111F34">
        <w:t>Řešené plochy se nachází v území</w:t>
      </w:r>
      <w:r w:rsidR="00E95252" w:rsidRPr="00111F34">
        <w:t xml:space="preserve"> s možnými archeologickými nálezy a bude nutné postupovat v souladu s památkovým zákonem č.20/1987 Sb. Vliv koncepce v této souvislosti bude potenciálně negativní.</w:t>
      </w:r>
    </w:p>
    <w:p w14:paraId="6990A578" w14:textId="40622969" w:rsidR="00E95252" w:rsidRPr="00111F34" w:rsidRDefault="00E95252" w:rsidP="00E95252">
      <w:pPr>
        <w:rPr>
          <w:szCs w:val="16"/>
        </w:rPr>
      </w:pPr>
      <w:r w:rsidRPr="00111F34">
        <w:rPr>
          <w:szCs w:val="16"/>
        </w:rPr>
        <w:t>Vzhledem k historii pražského osídlení je třeba prakticky celé řešené území</w:t>
      </w:r>
      <w:r w:rsidR="00445FC1" w:rsidRPr="00111F34">
        <w:rPr>
          <w:szCs w:val="16"/>
        </w:rPr>
        <w:t>, s výjimkou v minulosti odtěžených ploch,</w:t>
      </w:r>
      <w:r w:rsidRPr="00111F34">
        <w:rPr>
          <w:szCs w:val="16"/>
        </w:rPr>
        <w:t xml:space="preserve"> považovat za území s potenciálem archeologických nálezů a tomu je třeba přizpůsobit přípravu a realizaci staveb. </w:t>
      </w:r>
    </w:p>
    <w:p w14:paraId="6D28E8E6" w14:textId="77777777" w:rsidR="00E95252" w:rsidRPr="00111F34" w:rsidRDefault="00E95252" w:rsidP="00E95252">
      <w:pPr>
        <w:rPr>
          <w:rFonts w:cs="Arial"/>
        </w:rPr>
      </w:pPr>
      <w:r w:rsidRPr="00111F34">
        <w:t xml:space="preserve">Neočekáváme působení kumulativních, resp. synergických vlivů. </w:t>
      </w:r>
    </w:p>
    <w:p w14:paraId="73A0ABF4" w14:textId="77777777" w:rsidR="007F7992" w:rsidRPr="00111F34" w:rsidRDefault="007F7992" w:rsidP="007F7992">
      <w:pPr>
        <w:pStyle w:val="Nadpis3"/>
        <w:tabs>
          <w:tab w:val="clear" w:pos="709"/>
          <w:tab w:val="num" w:pos="737"/>
        </w:tabs>
        <w:ind w:left="992" w:hanging="992"/>
      </w:pPr>
      <w:bookmarkStart w:id="209" w:name="_Toc496705148"/>
      <w:bookmarkStart w:id="210" w:name="_Toc138848126"/>
      <w:r w:rsidRPr="00111F34">
        <w:t>Hluk</w:t>
      </w:r>
      <w:bookmarkEnd w:id="209"/>
      <w:bookmarkEnd w:id="210"/>
    </w:p>
    <w:p w14:paraId="75F19A30" w14:textId="77777777" w:rsidR="007F7992" w:rsidRPr="00111F34" w:rsidRDefault="007F7992" w:rsidP="007F7992">
      <w:pPr>
        <w:pStyle w:val="Podnadpis1"/>
      </w:pPr>
      <w:r w:rsidRPr="00111F34">
        <w:t>Problém: Hluková zátěž obyvatelstva</w:t>
      </w:r>
    </w:p>
    <w:p w14:paraId="5F60F298" w14:textId="47AC598D" w:rsidR="00DF1312" w:rsidRPr="00111F34" w:rsidRDefault="00DF1312" w:rsidP="0031461A">
      <w:pPr>
        <w:rPr>
          <w:rFonts w:cs="Arial"/>
          <w:szCs w:val="20"/>
        </w:rPr>
      </w:pPr>
      <w:r w:rsidRPr="00111F34">
        <w:rPr>
          <w:rFonts w:cs="Arial"/>
          <w:szCs w:val="20"/>
        </w:rPr>
        <w:t xml:space="preserve">Lokalita </w:t>
      </w:r>
      <w:r w:rsidR="004706C3" w:rsidRPr="00111F34">
        <w:rPr>
          <w:rFonts w:cs="Arial"/>
          <w:szCs w:val="20"/>
        </w:rPr>
        <w:t xml:space="preserve">je </w:t>
      </w:r>
      <w:r w:rsidRPr="00111F34">
        <w:rPr>
          <w:rFonts w:cs="Arial"/>
          <w:szCs w:val="20"/>
        </w:rPr>
        <w:t xml:space="preserve">zatížena hlukem ze stávajícího provozu po ulicích </w:t>
      </w:r>
      <w:r w:rsidR="00BD7E38" w:rsidRPr="00111F34">
        <w:rPr>
          <w:rFonts w:cs="Arial"/>
          <w:szCs w:val="20"/>
        </w:rPr>
        <w:t>Kamýcká, Roztocká a Podbabská a ze železniční trati</w:t>
      </w:r>
      <w:r w:rsidRPr="00111F34">
        <w:rPr>
          <w:rFonts w:cs="Arial"/>
          <w:szCs w:val="20"/>
        </w:rPr>
        <w:t xml:space="preserve"> – potenciální ovlivnění stávající hlukové zátěže – </w:t>
      </w:r>
      <w:r w:rsidR="00FA53C6" w:rsidRPr="00111F34">
        <w:rPr>
          <w:rFonts w:cs="Arial"/>
          <w:szCs w:val="20"/>
        </w:rPr>
        <w:t xml:space="preserve">změna vytváří územní předpoklady pro </w:t>
      </w:r>
      <w:r w:rsidRPr="00111F34">
        <w:rPr>
          <w:rFonts w:cs="Arial"/>
          <w:szCs w:val="20"/>
        </w:rPr>
        <w:t xml:space="preserve">vložení nového </w:t>
      </w:r>
      <w:r w:rsidR="00FA53C6" w:rsidRPr="00111F34">
        <w:rPr>
          <w:rFonts w:cs="Arial"/>
          <w:szCs w:val="20"/>
        </w:rPr>
        <w:t xml:space="preserve">zdroje </w:t>
      </w:r>
      <w:r w:rsidRPr="00111F34">
        <w:rPr>
          <w:rFonts w:cs="Arial"/>
          <w:szCs w:val="20"/>
        </w:rPr>
        <w:t>hlukové zátěže do území, spolupůsobení s existujícími zdroji hlukové zátěže</w:t>
      </w:r>
      <w:r w:rsidR="00BD7E38" w:rsidRPr="00111F34">
        <w:rPr>
          <w:rFonts w:cs="Arial"/>
          <w:szCs w:val="20"/>
        </w:rPr>
        <w:t xml:space="preserve"> i plánovanými záměry rozvoje dopravní infrastruktury</w:t>
      </w:r>
      <w:r w:rsidRPr="00111F34">
        <w:rPr>
          <w:rFonts w:cs="Arial"/>
          <w:szCs w:val="20"/>
        </w:rPr>
        <w:t xml:space="preserve">. </w:t>
      </w:r>
    </w:p>
    <w:p w14:paraId="20B64982" w14:textId="381DE573" w:rsidR="00BD7E38" w:rsidRPr="00111F34" w:rsidRDefault="00BD7E38" w:rsidP="00BD7E38">
      <w:r w:rsidRPr="00111F34">
        <w:t xml:space="preserve">Na druhou </w:t>
      </w:r>
      <w:r w:rsidR="00FA53C6" w:rsidRPr="00111F34">
        <w:t>stranu změna</w:t>
      </w:r>
      <w:r w:rsidRPr="00111F34">
        <w:t xml:space="preserve"> vytváří územní předpoklady pro realizaci dopravního terminálu Výhledy, parkoviště P+R, vybavení území kapacitní kolejovou VHD a tím i zlepšení dopravní obsluhy území, to vše v kontextu </w:t>
      </w:r>
      <w:r w:rsidRPr="00111F34">
        <w:lastRenderedPageBreak/>
        <w:t>očekávaného vybudování SOKP stavby 518 a 519, včetně oddálení přivaděče Rybářka od obytné zástavby, což vše ve výhledu přispěje ke zlepšení dopravní situace, a tím i snížení hlukové zátěže z dopravy s nadmístním významem.</w:t>
      </w:r>
    </w:p>
    <w:p w14:paraId="4151A934" w14:textId="5A31A8D2" w:rsidR="00BD7E38" w:rsidRPr="00111F34" w:rsidRDefault="00BD7E38" w:rsidP="0031461A">
      <w:pPr>
        <w:rPr>
          <w:rFonts w:cs="Arial"/>
          <w:szCs w:val="20"/>
        </w:rPr>
      </w:pPr>
      <w:r w:rsidRPr="00111F34">
        <w:rPr>
          <w:rFonts w:cs="Arial"/>
          <w:szCs w:val="20"/>
        </w:rPr>
        <w:t>Očekávat lze potenciálně negativní vliv v důsledku vložení tramvajové trati do území se synergickým spolupůsobením s ostatními stávajícími zdroji hluku v území s místním dopadem, zároveň lze očekávat potenciálně pozitivní vliv se synergickým působením s ostatními záměry rozvoje dopravní obslužnosti s nadmístním významem.</w:t>
      </w:r>
    </w:p>
    <w:p w14:paraId="25F25FE3" w14:textId="13C16FBC" w:rsidR="00E95252" w:rsidRPr="00111F34" w:rsidRDefault="00E95252" w:rsidP="00E95252">
      <w:pPr>
        <w:pStyle w:val="Podnadpis1"/>
      </w:pPr>
      <w:r w:rsidRPr="00111F34">
        <w:t xml:space="preserve">Problém: Vysoká koncentrace dopravy – narušení pohody bydlení, obtěžování obyvatel </w:t>
      </w:r>
      <w:r w:rsidR="00896505" w:rsidRPr="00111F34">
        <w:t>rezidenční zástavby</w:t>
      </w:r>
    </w:p>
    <w:p w14:paraId="388C283D" w14:textId="77777777" w:rsidR="007B3CA6" w:rsidRPr="00111F34" w:rsidRDefault="007B3CA6" w:rsidP="00896505">
      <w:r w:rsidRPr="00111F34">
        <w:rPr>
          <w:szCs w:val="16"/>
        </w:rPr>
        <w:t>Na místní úrovni dojde posuzovanou změnou k vytvoření územních předpokladů pro vložení nového zdroje hlukové zátěže v podobě tramvajové trati do území, již dnes zatíženého provozem ve stávajících ulicích. Pozitivně spolupůsobit bude naopak přerozdělení dopravních zátěží ve prospěch nadřazené dopravní infrastruktury a bezemisní veřejné hromadné dopravy a zklidnění části ulice Kamýcká</w:t>
      </w:r>
      <w:r w:rsidRPr="00111F34">
        <w:t xml:space="preserve">. Lze očekávat převážně pozitivní vlivy na hlukovou a imisní situaci, a to jak v detailu řešení prostoru Sedlce i Dejvic, tak i v širším území při spolupůsobení dopravního systému města jako celku v kontextu dobudování nadřazené dopravní infrastruktury na úrovni okolních čtvrtí a převedení dopravních zátěží s tranzitním charakterem mimo místní subcentra s využitím nadřazené dopravní infrastruktury a systému sběrných komunikací, VHD a kapacit parkování. </w:t>
      </w:r>
    </w:p>
    <w:p w14:paraId="7EE8420E" w14:textId="61E1835D" w:rsidR="00896505" w:rsidRPr="00111F34" w:rsidRDefault="00896505" w:rsidP="00896505">
      <w:pPr>
        <w:rPr>
          <w:lang w:eastAsia="cs-CZ"/>
        </w:rPr>
      </w:pPr>
      <w:r w:rsidRPr="00111F34">
        <w:t>Na druhou stranu dojde k</w:t>
      </w:r>
      <w:r w:rsidR="008E7D3C" w:rsidRPr="00111F34">
        <w:t>e zlepšení dopravní obsluhy, a</w:t>
      </w:r>
      <w:r w:rsidRPr="00111F34">
        <w:t> </w:t>
      </w:r>
      <w:r w:rsidR="008E7D3C" w:rsidRPr="00111F34">
        <w:t xml:space="preserve">využití území a </w:t>
      </w:r>
      <w:r w:rsidRPr="00111F34">
        <w:t xml:space="preserve">transformaci </w:t>
      </w:r>
      <w:r w:rsidR="008E7D3C" w:rsidRPr="00111F34">
        <w:t>stávajících ploch brownfields</w:t>
      </w:r>
      <w:r w:rsidRPr="00111F34">
        <w:t xml:space="preserve"> s využitím pro</w:t>
      </w:r>
      <w:r w:rsidR="008E7D3C" w:rsidRPr="00111F34">
        <w:t xml:space="preserve"> dopravní infrastrukturu,</w:t>
      </w:r>
      <w:r w:rsidRPr="00111F34">
        <w:t xml:space="preserve"> kvalitní bydlení, pracovní příležitosti i občanskou a komerční vybavenost, včetně veřejných prostranství a zeleně a tím i ke zvýšení kvality života obyvatel i uživatelů.</w:t>
      </w:r>
      <w:r w:rsidR="006062A6" w:rsidRPr="00111F34">
        <w:t xml:space="preserve"> Potenciálně pozitivní spolupůsobení s ostatními probíhajícími i plánovanými záměry v souvisejícím území např. </w:t>
      </w:r>
      <w:r w:rsidR="008E7D3C" w:rsidRPr="00111F34">
        <w:t>stavby 51</w:t>
      </w:r>
      <w:r w:rsidR="00B3261C" w:rsidRPr="00111F34">
        <w:t>8</w:t>
      </w:r>
      <w:r w:rsidR="008E7D3C" w:rsidRPr="00111F34">
        <w:t xml:space="preserve"> a 519 SOKP</w:t>
      </w:r>
      <w:r w:rsidR="006062A6" w:rsidRPr="00111F34">
        <w:t xml:space="preserve">. </w:t>
      </w:r>
    </w:p>
    <w:p w14:paraId="04FABA17" w14:textId="77777777" w:rsidR="00794578" w:rsidRPr="00111F34" w:rsidRDefault="00794578" w:rsidP="00A67277">
      <w:pPr>
        <w:pStyle w:val="Nadpis3"/>
      </w:pPr>
      <w:bookmarkStart w:id="211" w:name="_Toc138848127"/>
      <w:r w:rsidRPr="00111F34">
        <w:t>Vyhodnocení vlivů na lokality soustavy Natura 2000</w:t>
      </w:r>
      <w:bookmarkEnd w:id="192"/>
      <w:bookmarkEnd w:id="193"/>
      <w:bookmarkEnd w:id="211"/>
    </w:p>
    <w:p w14:paraId="05F8C4D7" w14:textId="6768BEC1" w:rsidR="00957220" w:rsidRPr="00111F34" w:rsidRDefault="00957220" w:rsidP="00957220">
      <w:pPr>
        <w:pStyle w:val="Podnadpis1"/>
      </w:pPr>
      <w:r w:rsidRPr="00111F34">
        <w:t xml:space="preserve">Problém: </w:t>
      </w:r>
      <w:r w:rsidR="00507450" w:rsidRPr="00111F34">
        <w:t>Územní ochrana Natura 2000, potenciální o</w:t>
      </w:r>
      <w:r w:rsidRPr="00111F34">
        <w:t>hrožení předmětů ochrany EVL v řešeném území</w:t>
      </w:r>
    </w:p>
    <w:p w14:paraId="5942DC09" w14:textId="5B721EAA" w:rsidR="00F8457E" w:rsidRPr="00111F34" w:rsidRDefault="00507450" w:rsidP="00507450">
      <w:bookmarkStart w:id="212" w:name="_Toc531606258"/>
      <w:bookmarkStart w:id="213" w:name="_Toc22236563"/>
      <w:bookmarkStart w:id="214" w:name="_Toc56449370"/>
      <w:r w:rsidRPr="00111F34">
        <w:t xml:space="preserve">Koncepce navrhuje koridor tramvajové trati a územní rozvoj v Sedlci, který je v kontaktu s EVL </w:t>
      </w:r>
      <w:r w:rsidR="00F8457E" w:rsidRPr="00111F34">
        <w:t>Kaňon Vltavy u Sedlce</w:t>
      </w:r>
      <w:r w:rsidRPr="00111F34">
        <w:t xml:space="preserve">. Možný významný negativní vliv realizace navrhovaného koridoru nebyl stanoviskem orgánu ochrany přírody vyloučen, hodnocení tohoto vlivu je provedeno samostatně autorizovanou osobou, podrobněji viz část B tohoto dokumentu včetně vyhodnocení kumulativních a synergických vlivů. </w:t>
      </w:r>
    </w:p>
    <w:p w14:paraId="1974797C" w14:textId="3FB40A67" w:rsidR="00F8457E" w:rsidRPr="00111F34" w:rsidRDefault="00F8457E" w:rsidP="00507450">
      <w:r w:rsidRPr="00111F34">
        <w:t xml:space="preserve">Nejbližší evropsky významnou lokalitu (EVL) od navrhovaného záměru je EVL </w:t>
      </w:r>
      <w:r w:rsidR="00C51945" w:rsidRPr="00111F34">
        <w:t>CZ0110154 – Kaňon</w:t>
      </w:r>
      <w:r w:rsidRPr="00111F34">
        <w:t xml:space="preserve"> Vltavy u Sedlce. Tato EVL byla vymezena pro ochranu stanovišť: kontinentální opadavé křoviny, panonské skalní trávníky (</w:t>
      </w:r>
      <w:proofErr w:type="spellStart"/>
      <w:r w:rsidRPr="00111F34">
        <w:t>Stipo-Festucetalia</w:t>
      </w:r>
      <w:proofErr w:type="spellEnd"/>
      <w:r w:rsidRPr="00111F34">
        <w:t xml:space="preserve"> pallentis), polopřirozené suché trávníky a facie křovin na vápnitých podložích (</w:t>
      </w:r>
      <w:proofErr w:type="spellStart"/>
      <w:r w:rsidRPr="00111F34">
        <w:t>Festuco-Brometalia</w:t>
      </w:r>
      <w:proofErr w:type="spellEnd"/>
      <w:r w:rsidRPr="00111F34">
        <w:t>), chasmofytická vegetace silikátových skalnatých svahů a pionýrská vegetace silikátových skal (</w:t>
      </w:r>
      <w:proofErr w:type="spellStart"/>
      <w:r w:rsidRPr="00111F34">
        <w:t>Sedo-Scleranthion</w:t>
      </w:r>
      <w:proofErr w:type="spellEnd"/>
      <w:r w:rsidRPr="00111F34">
        <w:t xml:space="preserve">, </w:t>
      </w:r>
      <w:proofErr w:type="spellStart"/>
      <w:r w:rsidRPr="00111F34">
        <w:t>Sedo</w:t>
      </w:r>
      <w:proofErr w:type="spellEnd"/>
      <w:r w:rsidRPr="00111F34">
        <w:t xml:space="preserve"> albi-</w:t>
      </w:r>
      <w:proofErr w:type="spellStart"/>
      <w:r w:rsidRPr="00111F34">
        <w:t>Veronicion</w:t>
      </w:r>
      <w:proofErr w:type="spellEnd"/>
      <w:r w:rsidRPr="00111F34">
        <w:t xml:space="preserve"> </w:t>
      </w:r>
      <w:proofErr w:type="spellStart"/>
      <w:r w:rsidRPr="00111F34">
        <w:t>dillenii</w:t>
      </w:r>
      <w:proofErr w:type="spellEnd"/>
      <w:r w:rsidRPr="00111F34">
        <w:t>). Společenstva jsou ohrožen</w:t>
      </w:r>
      <w:r w:rsidR="007B3CA6" w:rsidRPr="00111F34">
        <w:t>a</w:t>
      </w:r>
      <w:r w:rsidRPr="00111F34">
        <w:t xml:space="preserve"> eutrofizací, šířením ruderálních a nepůvodních druhů, zarůstáním vyššími křovinami nebo náletem stromů. Cílem uvedené změny je koncepce zástavby v oblasti vedení ulice Kamýcká od Vltavy směrem na Suchdol, za areál ČZU až k ulici Dvorská a stabilizace tramvajové trati do Suchdola. Uvedená EVL je v územním střetu s řešeným územím a její plocha také přímo hraničí s komunikací </w:t>
      </w:r>
      <w:r w:rsidR="007B3CA6" w:rsidRPr="00111F34">
        <w:t>Suchdolská</w:t>
      </w:r>
      <w:r w:rsidRPr="00111F34">
        <w:t>, která bude dotčena stavbou tramvajové trati.</w:t>
      </w:r>
    </w:p>
    <w:p w14:paraId="730DDE65" w14:textId="7FBABB05" w:rsidR="0046206D" w:rsidRDefault="0046206D" w:rsidP="00306E4A">
      <w:pPr>
        <w:rPr>
          <w:lang w:eastAsia="cs-CZ"/>
        </w:rPr>
      </w:pPr>
      <w:r w:rsidRPr="0046206D">
        <w:rPr>
          <w:lang w:eastAsia="cs-CZ"/>
        </w:rPr>
        <w:t>Předmětná EVL sice je zahrnuta do řešeného území Z 3827/00, nicméně navržené plochy změn jsou vymezeny tak, že do území EVL prakticky nezasahují. Naopak linie okraje zástavby je navržena v oblouku, co nejdál od hrany svahu, s návrhem vymezením ploch zeleně městské a krajinné (ZMK) podél jižního obvodu rozvojového území. Řešením podél jižní hranice tohoto rozvojového území současně bude prostorově posílen pás ploch městské krajinné zeleně, jejichž část bude změnou ještě více začleněna do skladebných částí ÚSES, kde dojde k úpravám jejich současného vymezení, vč. zahrnutí jihozápadní části EVL do ÚSES. Současně lze konstatovat, že ani soubor uvažovaných nepřímých vlivů plynoucích z realizace těchto návrhových ploch, nemají potenciál narušit celistvost předmětné EVL.</w:t>
      </w:r>
    </w:p>
    <w:p w14:paraId="0354924A" w14:textId="77777777" w:rsidR="00807083" w:rsidRDefault="00807083" w:rsidP="00306E4A">
      <w:pPr>
        <w:rPr>
          <w:lang w:eastAsia="cs-CZ"/>
        </w:rPr>
      </w:pPr>
    </w:p>
    <w:p w14:paraId="2ACE734D" w14:textId="77777777" w:rsidR="00807083" w:rsidRDefault="00807083" w:rsidP="00306E4A">
      <w:pPr>
        <w:rPr>
          <w:lang w:eastAsia="cs-CZ"/>
        </w:rPr>
      </w:pPr>
    </w:p>
    <w:p w14:paraId="2AD9CFFD" w14:textId="77777777" w:rsidR="00807083" w:rsidRDefault="00807083" w:rsidP="00306E4A">
      <w:pPr>
        <w:rPr>
          <w:lang w:eastAsia="cs-CZ"/>
        </w:rPr>
      </w:pPr>
    </w:p>
    <w:p w14:paraId="139B6DC6" w14:textId="77777777" w:rsidR="00807083" w:rsidRPr="00111F34" w:rsidRDefault="00807083" w:rsidP="00306E4A">
      <w:pPr>
        <w:rPr>
          <w:lang w:eastAsia="cs-CZ"/>
        </w:rPr>
      </w:pPr>
    </w:p>
    <w:p w14:paraId="24DF1726" w14:textId="77777777" w:rsidR="00794578" w:rsidRPr="00111F34" w:rsidRDefault="00794578" w:rsidP="00BA72D5">
      <w:pPr>
        <w:pStyle w:val="Nadpis2"/>
      </w:pPr>
      <w:bookmarkStart w:id="215" w:name="_Toc531606263"/>
      <w:bookmarkStart w:id="216" w:name="_Toc29298349"/>
      <w:bookmarkStart w:id="217" w:name="_Toc138848128"/>
      <w:bookmarkEnd w:id="212"/>
      <w:bookmarkEnd w:id="213"/>
      <w:bookmarkEnd w:id="214"/>
      <w:r w:rsidRPr="00111F34">
        <w:lastRenderedPageBreak/>
        <w:t>Zhodnocení stávajících a předpokládaných vlivů územně plánovací dokumentace, včetně vlivů sekundárních, synergických, kumulativních, krátkodobých, střednědobých a dlouhodobých, trvalých a přechodných, kladných a záporných.</w:t>
      </w:r>
      <w:bookmarkEnd w:id="215"/>
      <w:bookmarkEnd w:id="216"/>
      <w:bookmarkEnd w:id="217"/>
    </w:p>
    <w:p w14:paraId="67CBE4DB" w14:textId="77777777" w:rsidR="00DF5D27" w:rsidRPr="00111F34" w:rsidRDefault="00DF5D27" w:rsidP="00DF5D27">
      <w:pPr>
        <w:pStyle w:val="Nadpis3"/>
      </w:pPr>
      <w:bookmarkStart w:id="218" w:name="_Toc355615898"/>
      <w:bookmarkStart w:id="219" w:name="_Toc408946219"/>
      <w:bookmarkStart w:id="220" w:name="_Toc531606240"/>
      <w:bookmarkStart w:id="221" w:name="_Toc29298323"/>
      <w:bookmarkStart w:id="222" w:name="_Toc116991520"/>
      <w:bookmarkStart w:id="223" w:name="_Toc138848129"/>
      <w:r w:rsidRPr="00111F34">
        <w:t>Referenční cíle ochrany ŽP a veřejného zdraví</w:t>
      </w:r>
      <w:bookmarkEnd w:id="218"/>
      <w:bookmarkEnd w:id="219"/>
      <w:bookmarkEnd w:id="220"/>
      <w:bookmarkEnd w:id="221"/>
      <w:bookmarkEnd w:id="222"/>
      <w:bookmarkEnd w:id="223"/>
    </w:p>
    <w:p w14:paraId="14178E16" w14:textId="77777777" w:rsidR="00DF5D27" w:rsidRPr="00111F34" w:rsidRDefault="00DF5D27" w:rsidP="00DF5D27">
      <w:pPr>
        <w:rPr>
          <w:rFonts w:cs="Arial"/>
        </w:rPr>
      </w:pPr>
      <w:r w:rsidRPr="00111F34">
        <w:rPr>
          <w:rFonts w:cs="Arial"/>
        </w:rPr>
        <w:t xml:space="preserve">Na základě relevantních cílů národních strategických dokumentů, zejména Strategie udržitelného rozvoje ČR - Strategický rámec udržitelného rozvoje, Politika územního rozvoje ČR, Politika ochrany životního prostředí, Akční plán zdraví a životního prostředí a strategických dokumentů na místní úrovni (podrobněji viz kapitole A.II.) spolu s analýzou stavu a hlavních problémů životního prostředí a veřejného zdraví v řešeném území a se zahrnutím determinant veřejného zdraví byl stanoven referenční rámec pro hodnocení vlivů pořizované koncepce na životní prostředí v podobě sady referenčních cílů ochrany ŽP a veřejného zdraví. Tyto cíle reprezentují pozitivní trendy v ochraně životního prostředí a veřejného zdraví dle jeho jednotlivých složek, resp. determinant veřejného zdraví. </w:t>
      </w:r>
      <w:r w:rsidRPr="00111F34">
        <w:t>Pořizované změny územního plánu hlavního města Prahy</w:t>
      </w:r>
      <w:r w:rsidRPr="00111F34">
        <w:rPr>
          <w:rFonts w:cs="Arial"/>
        </w:rPr>
        <w:t xml:space="preserve"> by měly v optimálním případě přispět k plnění těchto trendů a z tohoto hlediska jsou v rámci posouzení vlivů na životní prostředí hodnoceny.</w:t>
      </w:r>
    </w:p>
    <w:p w14:paraId="66B2A460" w14:textId="77777777" w:rsidR="00DF5D27" w:rsidRPr="00111F34" w:rsidRDefault="00DF5D27" w:rsidP="00DF5D27">
      <w:pPr>
        <w:rPr>
          <w:rFonts w:cs="Arial"/>
        </w:rPr>
      </w:pPr>
      <w:r w:rsidRPr="00111F34">
        <w:rPr>
          <w:rFonts w:cs="Arial"/>
        </w:rPr>
        <w:t>Níže uvádíme vybrané cíle ochrany životního prostředí a veřejného zdraví relevantní vzhledem k posuzovanému dokumentu, členěné dle jednotlivých sledovaných témat životního prostředí.</w:t>
      </w:r>
    </w:p>
    <w:p w14:paraId="6E58F487" w14:textId="77777777" w:rsidR="00DF5D27" w:rsidRPr="00111F34" w:rsidRDefault="00DF5D27" w:rsidP="00DF5D27">
      <w:pPr>
        <w:pStyle w:val="Tabulkanzev"/>
      </w:pPr>
      <w:bookmarkStart w:id="224" w:name="_Toc356483154"/>
      <w:bookmarkStart w:id="225" w:name="_Toc408946308"/>
      <w:bookmarkStart w:id="226" w:name="_Toc531548289"/>
      <w:bookmarkStart w:id="227" w:name="_Toc29298552"/>
      <w:bookmarkStart w:id="228" w:name="_Toc116987870"/>
      <w:bookmarkStart w:id="229" w:name="_Toc138848174"/>
      <w:r w:rsidRPr="00111F34">
        <w:t>Sada referenčních cílů ochrany ŽP</w:t>
      </w:r>
      <w:bookmarkEnd w:id="224"/>
      <w:bookmarkEnd w:id="225"/>
      <w:bookmarkEnd w:id="226"/>
      <w:bookmarkEnd w:id="227"/>
      <w:bookmarkEnd w:id="228"/>
      <w:bookmarkEnd w:id="229"/>
    </w:p>
    <w:tbl>
      <w:tblPr>
        <w:tblW w:w="49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59"/>
        <w:gridCol w:w="6002"/>
      </w:tblGrid>
      <w:tr w:rsidR="00DF5D27" w:rsidRPr="00111F34" w14:paraId="244B0819" w14:textId="77777777" w:rsidTr="00B34C98">
        <w:trPr>
          <w:trHeight w:val="348"/>
          <w:jc w:val="center"/>
        </w:trPr>
        <w:tc>
          <w:tcPr>
            <w:tcW w:w="1861" w:type="pct"/>
            <w:shd w:val="clear" w:color="auto" w:fill="808080" w:themeFill="background1" w:themeFillShade="80"/>
            <w:noWrap/>
          </w:tcPr>
          <w:p w14:paraId="65A9D055" w14:textId="77777777" w:rsidR="00DF5D27" w:rsidRPr="00111F34" w:rsidRDefault="00DF5D27" w:rsidP="00B34C98">
            <w:pPr>
              <w:spacing w:before="40" w:after="40"/>
              <w:jc w:val="left"/>
              <w:rPr>
                <w:b/>
                <w:color w:val="FFFFFF" w:themeColor="background1"/>
                <w:sz w:val="18"/>
              </w:rPr>
            </w:pPr>
            <w:r w:rsidRPr="00111F34">
              <w:rPr>
                <w:b/>
                <w:color w:val="FFFFFF" w:themeColor="background1"/>
                <w:sz w:val="18"/>
              </w:rPr>
              <w:t>Složka/téma ŽP</w:t>
            </w:r>
          </w:p>
        </w:tc>
        <w:tc>
          <w:tcPr>
            <w:tcW w:w="3139" w:type="pct"/>
            <w:shd w:val="clear" w:color="auto" w:fill="808080" w:themeFill="background1" w:themeFillShade="80"/>
            <w:noWrap/>
          </w:tcPr>
          <w:p w14:paraId="3EAA3F4B" w14:textId="77777777" w:rsidR="00DF5D27" w:rsidRPr="00111F34" w:rsidRDefault="00DF5D27" w:rsidP="00B34C98">
            <w:pPr>
              <w:spacing w:before="40" w:after="40"/>
              <w:jc w:val="left"/>
              <w:rPr>
                <w:b/>
                <w:color w:val="FFFFFF" w:themeColor="background1"/>
                <w:sz w:val="18"/>
              </w:rPr>
            </w:pPr>
            <w:r w:rsidRPr="00111F34">
              <w:rPr>
                <w:b/>
                <w:color w:val="FFFFFF" w:themeColor="background1"/>
                <w:sz w:val="18"/>
              </w:rPr>
              <w:t>Referenční cíl ochrany ŽP a veřejného zdraví</w:t>
            </w:r>
          </w:p>
        </w:tc>
      </w:tr>
      <w:tr w:rsidR="00DF5D27" w:rsidRPr="00111F34" w14:paraId="2FE5E3F3" w14:textId="77777777" w:rsidTr="00B34C98">
        <w:trPr>
          <w:cantSplit/>
          <w:trHeight w:val="211"/>
          <w:jc w:val="center"/>
        </w:trPr>
        <w:tc>
          <w:tcPr>
            <w:tcW w:w="1861" w:type="pct"/>
            <w:vMerge w:val="restart"/>
            <w:noWrap/>
          </w:tcPr>
          <w:p w14:paraId="6D82777A" w14:textId="77777777" w:rsidR="00DF5D27" w:rsidRPr="00111F34" w:rsidRDefault="00DF5D27" w:rsidP="00B34C98">
            <w:pPr>
              <w:spacing w:before="40" w:after="40"/>
              <w:jc w:val="left"/>
              <w:rPr>
                <w:rFonts w:cs="Arial"/>
                <w:sz w:val="18"/>
                <w:szCs w:val="18"/>
              </w:rPr>
            </w:pPr>
            <w:r w:rsidRPr="00111F34">
              <w:rPr>
                <w:rFonts w:cs="Arial"/>
                <w:sz w:val="18"/>
                <w:szCs w:val="18"/>
              </w:rPr>
              <w:t>1. obyvatelstvo a veřejné zdraví</w:t>
            </w:r>
          </w:p>
        </w:tc>
        <w:tc>
          <w:tcPr>
            <w:tcW w:w="3139" w:type="pct"/>
          </w:tcPr>
          <w:p w14:paraId="412E7FB4" w14:textId="77777777" w:rsidR="00DF5D27" w:rsidRPr="00111F34" w:rsidRDefault="00DF5D27" w:rsidP="00B34C98">
            <w:pPr>
              <w:spacing w:before="40" w:after="40"/>
              <w:jc w:val="left"/>
              <w:rPr>
                <w:rFonts w:cs="Arial"/>
                <w:sz w:val="18"/>
                <w:szCs w:val="18"/>
              </w:rPr>
            </w:pPr>
            <w:r w:rsidRPr="00111F34">
              <w:rPr>
                <w:rFonts w:cs="Arial"/>
                <w:sz w:val="18"/>
                <w:szCs w:val="18"/>
              </w:rPr>
              <w:t>1.1 zlepšit kvalitu života obyvatel sídel a sociální determinanty lidského zdraví</w:t>
            </w:r>
          </w:p>
        </w:tc>
      </w:tr>
      <w:tr w:rsidR="00DF5D27" w:rsidRPr="00111F34" w14:paraId="7FEDB146" w14:textId="77777777" w:rsidTr="00B34C98">
        <w:trPr>
          <w:cantSplit/>
          <w:trHeight w:val="102"/>
          <w:jc w:val="center"/>
        </w:trPr>
        <w:tc>
          <w:tcPr>
            <w:tcW w:w="1861" w:type="pct"/>
            <w:vMerge/>
            <w:noWrap/>
          </w:tcPr>
          <w:p w14:paraId="2166A6AA" w14:textId="77777777" w:rsidR="00DF5D27" w:rsidRPr="00111F34" w:rsidRDefault="00DF5D27" w:rsidP="00B34C98">
            <w:pPr>
              <w:spacing w:before="40" w:after="40"/>
              <w:jc w:val="left"/>
              <w:rPr>
                <w:rFonts w:cs="Arial"/>
                <w:sz w:val="18"/>
                <w:szCs w:val="18"/>
              </w:rPr>
            </w:pPr>
          </w:p>
        </w:tc>
        <w:tc>
          <w:tcPr>
            <w:tcW w:w="3139" w:type="pct"/>
          </w:tcPr>
          <w:p w14:paraId="7A1482DF" w14:textId="77777777" w:rsidR="00DF5D27" w:rsidRPr="00111F34" w:rsidRDefault="00DF5D27" w:rsidP="00B34C98">
            <w:pPr>
              <w:spacing w:before="40" w:after="40"/>
              <w:jc w:val="left"/>
              <w:rPr>
                <w:rFonts w:cs="Arial"/>
                <w:sz w:val="18"/>
                <w:szCs w:val="18"/>
              </w:rPr>
            </w:pPr>
            <w:r w:rsidRPr="00111F34">
              <w:rPr>
                <w:rFonts w:cs="Arial"/>
                <w:sz w:val="18"/>
                <w:szCs w:val="18"/>
              </w:rPr>
              <w:t>1.2 podporovat environmentálně šetrné formy rekreace a zdravý životní styl</w:t>
            </w:r>
          </w:p>
        </w:tc>
      </w:tr>
      <w:tr w:rsidR="00DF5D27" w:rsidRPr="00111F34" w14:paraId="523ABE31" w14:textId="77777777" w:rsidTr="00B34C98">
        <w:trPr>
          <w:cantSplit/>
          <w:trHeight w:val="102"/>
          <w:jc w:val="center"/>
        </w:trPr>
        <w:tc>
          <w:tcPr>
            <w:tcW w:w="1861" w:type="pct"/>
            <w:vMerge/>
            <w:noWrap/>
          </w:tcPr>
          <w:p w14:paraId="5CB6CBD4" w14:textId="77777777" w:rsidR="00DF5D27" w:rsidRPr="00111F34" w:rsidRDefault="00DF5D27" w:rsidP="00B34C98">
            <w:pPr>
              <w:spacing w:before="40" w:after="40"/>
              <w:jc w:val="left"/>
              <w:rPr>
                <w:rFonts w:cs="Arial"/>
                <w:sz w:val="18"/>
                <w:szCs w:val="18"/>
              </w:rPr>
            </w:pPr>
          </w:p>
        </w:tc>
        <w:tc>
          <w:tcPr>
            <w:tcW w:w="3139" w:type="pct"/>
          </w:tcPr>
          <w:p w14:paraId="6BB67887" w14:textId="77777777" w:rsidR="00DF5D27" w:rsidRPr="00111F34" w:rsidRDefault="00DF5D27" w:rsidP="00B34C98">
            <w:pPr>
              <w:spacing w:before="40" w:after="40"/>
              <w:jc w:val="left"/>
              <w:rPr>
                <w:rFonts w:cs="Arial"/>
                <w:sz w:val="18"/>
                <w:szCs w:val="18"/>
              </w:rPr>
            </w:pPr>
            <w:r w:rsidRPr="00111F34">
              <w:rPr>
                <w:rFonts w:cs="Arial"/>
                <w:sz w:val="18"/>
                <w:szCs w:val="18"/>
              </w:rPr>
              <w:t>1.3 pomocí prevence chránit životní prostředí a obyvatelstvo před důsledky přírodních a antropogenních krizových situací</w:t>
            </w:r>
          </w:p>
        </w:tc>
      </w:tr>
      <w:tr w:rsidR="00DF5D27" w:rsidRPr="00111F34" w14:paraId="35125EA3" w14:textId="77777777" w:rsidTr="00B34C98">
        <w:trPr>
          <w:trHeight w:val="295"/>
          <w:jc w:val="center"/>
        </w:trPr>
        <w:tc>
          <w:tcPr>
            <w:tcW w:w="1861" w:type="pct"/>
            <w:shd w:val="clear" w:color="auto" w:fill="808080" w:themeFill="background1" w:themeFillShade="80"/>
            <w:noWrap/>
          </w:tcPr>
          <w:p w14:paraId="329F2E0D" w14:textId="77777777" w:rsidR="00DF5D27" w:rsidRPr="00111F34" w:rsidRDefault="00DF5D27" w:rsidP="00B34C98">
            <w:pPr>
              <w:spacing w:before="40" w:after="40"/>
              <w:jc w:val="left"/>
              <w:rPr>
                <w:color w:val="FFFFFF" w:themeColor="background1"/>
                <w:sz w:val="18"/>
              </w:rPr>
            </w:pPr>
            <w:r w:rsidRPr="00111F34">
              <w:rPr>
                <w:color w:val="FFFFFF" w:themeColor="background1"/>
                <w:sz w:val="18"/>
              </w:rPr>
              <w:t>2. flóra, fauna, biodiverzita, ochrana přírody</w:t>
            </w:r>
          </w:p>
        </w:tc>
        <w:tc>
          <w:tcPr>
            <w:tcW w:w="3139" w:type="pct"/>
            <w:shd w:val="clear" w:color="auto" w:fill="808080" w:themeFill="background1" w:themeFillShade="80"/>
          </w:tcPr>
          <w:p w14:paraId="1FB670CE" w14:textId="77777777" w:rsidR="00DF5D27" w:rsidRPr="00111F34" w:rsidRDefault="00DF5D27" w:rsidP="00B34C98">
            <w:pPr>
              <w:spacing w:before="40" w:after="40"/>
              <w:jc w:val="left"/>
              <w:rPr>
                <w:color w:val="FFFFFF" w:themeColor="background1"/>
                <w:sz w:val="18"/>
              </w:rPr>
            </w:pPr>
            <w:r w:rsidRPr="00111F34">
              <w:rPr>
                <w:color w:val="FFFFFF" w:themeColor="background1"/>
                <w:sz w:val="18"/>
              </w:rPr>
              <w:t>2.1 chránit ohniska biodiverzity a omezovat fragmentaci krajiny</w:t>
            </w:r>
          </w:p>
        </w:tc>
      </w:tr>
      <w:tr w:rsidR="00DF5D27" w:rsidRPr="00111F34" w14:paraId="69F573CE" w14:textId="77777777" w:rsidTr="00B34C98">
        <w:trPr>
          <w:trHeight w:val="394"/>
          <w:jc w:val="center"/>
        </w:trPr>
        <w:tc>
          <w:tcPr>
            <w:tcW w:w="1861" w:type="pct"/>
            <w:vMerge w:val="restart"/>
            <w:noWrap/>
          </w:tcPr>
          <w:p w14:paraId="1CC557DA" w14:textId="77777777" w:rsidR="00DF5D27" w:rsidRPr="00111F34" w:rsidRDefault="00DF5D27" w:rsidP="00B34C98">
            <w:pPr>
              <w:spacing w:before="40" w:after="40"/>
              <w:jc w:val="left"/>
              <w:rPr>
                <w:rFonts w:cs="Arial"/>
                <w:sz w:val="18"/>
                <w:szCs w:val="18"/>
              </w:rPr>
            </w:pPr>
            <w:r w:rsidRPr="00111F34">
              <w:rPr>
                <w:rFonts w:cs="Arial"/>
                <w:sz w:val="18"/>
                <w:szCs w:val="18"/>
              </w:rPr>
              <w:t>3. půda a horninové prostředí</w:t>
            </w:r>
          </w:p>
        </w:tc>
        <w:tc>
          <w:tcPr>
            <w:tcW w:w="3139" w:type="pct"/>
          </w:tcPr>
          <w:p w14:paraId="59C8085B" w14:textId="77777777" w:rsidR="00DF5D27" w:rsidRPr="00111F34" w:rsidRDefault="00DF5D27" w:rsidP="00B34C98">
            <w:pPr>
              <w:spacing w:before="40" w:after="40"/>
              <w:jc w:val="left"/>
              <w:rPr>
                <w:rFonts w:cs="Arial"/>
                <w:sz w:val="18"/>
                <w:szCs w:val="18"/>
              </w:rPr>
            </w:pPr>
            <w:r w:rsidRPr="00111F34">
              <w:rPr>
                <w:rFonts w:cs="Arial"/>
                <w:sz w:val="18"/>
                <w:szCs w:val="18"/>
              </w:rPr>
              <w:t>3.1 omezovat nové trvalé zábory ZPF a PUPFL a zabezpečit ochranu ekologických funkcí půdy</w:t>
            </w:r>
          </w:p>
        </w:tc>
      </w:tr>
      <w:tr w:rsidR="00DF5D27" w:rsidRPr="00111F34" w14:paraId="20B03C72" w14:textId="77777777" w:rsidTr="00B34C98">
        <w:trPr>
          <w:trHeight w:val="393"/>
          <w:jc w:val="center"/>
        </w:trPr>
        <w:tc>
          <w:tcPr>
            <w:tcW w:w="1861" w:type="pct"/>
            <w:vMerge/>
            <w:noWrap/>
          </w:tcPr>
          <w:p w14:paraId="0868A37F" w14:textId="77777777" w:rsidR="00DF5D27" w:rsidRPr="00111F34" w:rsidRDefault="00DF5D27" w:rsidP="00B34C98">
            <w:pPr>
              <w:spacing w:before="40" w:after="40"/>
              <w:jc w:val="left"/>
              <w:rPr>
                <w:rFonts w:cs="Arial"/>
                <w:sz w:val="18"/>
                <w:szCs w:val="18"/>
              </w:rPr>
            </w:pPr>
          </w:p>
        </w:tc>
        <w:tc>
          <w:tcPr>
            <w:tcW w:w="3139" w:type="pct"/>
          </w:tcPr>
          <w:p w14:paraId="3154E3B4" w14:textId="77777777" w:rsidR="00DF5D27" w:rsidRPr="00111F34" w:rsidRDefault="00DF5D27" w:rsidP="00B34C98">
            <w:pPr>
              <w:spacing w:before="40" w:after="40"/>
              <w:jc w:val="left"/>
              <w:rPr>
                <w:rFonts w:cs="Arial"/>
                <w:sz w:val="18"/>
                <w:szCs w:val="18"/>
              </w:rPr>
            </w:pPr>
            <w:r w:rsidRPr="00111F34">
              <w:rPr>
                <w:rFonts w:cs="Arial"/>
                <w:sz w:val="18"/>
                <w:szCs w:val="18"/>
              </w:rPr>
              <w:t>3.2 chránit nerostné bohatství a předcházet geologickým rizikům</w:t>
            </w:r>
          </w:p>
        </w:tc>
      </w:tr>
      <w:tr w:rsidR="00DF5D27" w:rsidRPr="00111F34" w14:paraId="47642171" w14:textId="77777777" w:rsidTr="00B34C98">
        <w:trPr>
          <w:trHeight w:val="225"/>
          <w:jc w:val="center"/>
        </w:trPr>
        <w:tc>
          <w:tcPr>
            <w:tcW w:w="1861" w:type="pct"/>
            <w:shd w:val="clear" w:color="auto" w:fill="808080" w:themeFill="background1" w:themeFillShade="80"/>
            <w:noWrap/>
          </w:tcPr>
          <w:p w14:paraId="240BA2E7" w14:textId="77777777" w:rsidR="00DF5D27" w:rsidRPr="00111F34" w:rsidRDefault="00DF5D27" w:rsidP="00B34C98">
            <w:pPr>
              <w:spacing w:before="40" w:after="40"/>
              <w:jc w:val="left"/>
              <w:rPr>
                <w:color w:val="FFFFFF" w:themeColor="background1"/>
                <w:sz w:val="18"/>
              </w:rPr>
            </w:pPr>
            <w:r w:rsidRPr="00111F34">
              <w:rPr>
                <w:color w:val="FFFFFF" w:themeColor="background1"/>
                <w:sz w:val="18"/>
              </w:rPr>
              <w:t>4. voda</w:t>
            </w:r>
          </w:p>
        </w:tc>
        <w:tc>
          <w:tcPr>
            <w:tcW w:w="3139" w:type="pct"/>
            <w:shd w:val="clear" w:color="auto" w:fill="808080" w:themeFill="background1" w:themeFillShade="80"/>
          </w:tcPr>
          <w:p w14:paraId="6D754850" w14:textId="77777777" w:rsidR="00DF5D27" w:rsidRPr="00111F34" w:rsidRDefault="00DF5D27" w:rsidP="00B34C98">
            <w:pPr>
              <w:spacing w:before="40" w:after="40"/>
              <w:jc w:val="left"/>
              <w:rPr>
                <w:color w:val="FFFFFF" w:themeColor="background1"/>
                <w:sz w:val="18"/>
              </w:rPr>
            </w:pPr>
            <w:r w:rsidRPr="00111F34">
              <w:rPr>
                <w:color w:val="FFFFFF" w:themeColor="background1"/>
                <w:sz w:val="18"/>
              </w:rPr>
              <w:t>4.1 posilovat retenční funkci krajiny a zlepšovat ekol. funkce vodních útvarů podzemních i povrchových vod</w:t>
            </w:r>
          </w:p>
        </w:tc>
      </w:tr>
      <w:tr w:rsidR="00DF5D27" w:rsidRPr="00111F34" w14:paraId="37171B97" w14:textId="77777777" w:rsidTr="00B34C98">
        <w:trPr>
          <w:trHeight w:val="450"/>
          <w:jc w:val="center"/>
        </w:trPr>
        <w:tc>
          <w:tcPr>
            <w:tcW w:w="1861" w:type="pct"/>
            <w:vMerge w:val="restart"/>
            <w:noWrap/>
          </w:tcPr>
          <w:p w14:paraId="6763D9F8" w14:textId="77777777" w:rsidR="00DF5D27" w:rsidRPr="00111F34" w:rsidRDefault="00DF5D27" w:rsidP="00B34C98">
            <w:pPr>
              <w:spacing w:before="40" w:after="40"/>
              <w:jc w:val="left"/>
              <w:rPr>
                <w:rFonts w:cs="Arial"/>
                <w:sz w:val="18"/>
                <w:szCs w:val="18"/>
              </w:rPr>
            </w:pPr>
            <w:r w:rsidRPr="00111F34">
              <w:rPr>
                <w:rFonts w:cs="Arial"/>
                <w:sz w:val="18"/>
                <w:szCs w:val="18"/>
              </w:rPr>
              <w:t>5. ovzduší, klima</w:t>
            </w:r>
          </w:p>
        </w:tc>
        <w:tc>
          <w:tcPr>
            <w:tcW w:w="3139" w:type="pct"/>
          </w:tcPr>
          <w:p w14:paraId="7CADEAD6" w14:textId="77777777" w:rsidR="00DF5D27" w:rsidRPr="00111F34" w:rsidRDefault="00DF5D27" w:rsidP="00B34C98">
            <w:pPr>
              <w:spacing w:before="40" w:after="40"/>
              <w:jc w:val="left"/>
              <w:rPr>
                <w:rFonts w:cs="Arial"/>
                <w:sz w:val="18"/>
                <w:szCs w:val="18"/>
              </w:rPr>
            </w:pPr>
            <w:r w:rsidRPr="00111F34">
              <w:rPr>
                <w:rFonts w:cs="Arial"/>
                <w:sz w:val="18"/>
                <w:szCs w:val="18"/>
              </w:rPr>
              <w:t>5.1 snižovat znečištění ovzduší s důrazem na NOx, B(a)P a PM10</w:t>
            </w:r>
          </w:p>
        </w:tc>
      </w:tr>
      <w:tr w:rsidR="00DF5D27" w:rsidRPr="00111F34" w14:paraId="785A0DE5" w14:textId="77777777" w:rsidTr="00B34C98">
        <w:trPr>
          <w:trHeight w:val="450"/>
          <w:jc w:val="center"/>
        </w:trPr>
        <w:tc>
          <w:tcPr>
            <w:tcW w:w="1861" w:type="pct"/>
            <w:vMerge/>
            <w:noWrap/>
          </w:tcPr>
          <w:p w14:paraId="0C8A2F79" w14:textId="77777777" w:rsidR="00DF5D27" w:rsidRPr="00111F34" w:rsidRDefault="00DF5D27" w:rsidP="00B34C98">
            <w:pPr>
              <w:spacing w:before="40" w:after="40"/>
              <w:jc w:val="left"/>
              <w:rPr>
                <w:rFonts w:cs="Arial"/>
                <w:sz w:val="18"/>
                <w:szCs w:val="18"/>
              </w:rPr>
            </w:pPr>
          </w:p>
        </w:tc>
        <w:tc>
          <w:tcPr>
            <w:tcW w:w="3139" w:type="pct"/>
          </w:tcPr>
          <w:p w14:paraId="2C4BF09A" w14:textId="77777777" w:rsidR="00DF5D27" w:rsidRPr="00111F34" w:rsidRDefault="00DF5D27" w:rsidP="00B34C98">
            <w:pPr>
              <w:spacing w:before="40" w:after="40"/>
              <w:jc w:val="left"/>
              <w:rPr>
                <w:rFonts w:cs="Arial"/>
                <w:sz w:val="18"/>
                <w:szCs w:val="18"/>
              </w:rPr>
            </w:pPr>
            <w:r w:rsidRPr="00111F34">
              <w:rPr>
                <w:rFonts w:cs="Arial"/>
                <w:sz w:val="18"/>
                <w:szCs w:val="18"/>
              </w:rPr>
              <w:t>5.2 pomocí územně plánovacích opatření snižovat působení tepelného ostrova města</w:t>
            </w:r>
          </w:p>
        </w:tc>
      </w:tr>
      <w:tr w:rsidR="00DF5D27" w:rsidRPr="00111F34" w14:paraId="54B32D48" w14:textId="77777777" w:rsidTr="00B34C98">
        <w:trPr>
          <w:trHeight w:val="231"/>
          <w:jc w:val="center"/>
        </w:trPr>
        <w:tc>
          <w:tcPr>
            <w:tcW w:w="1861" w:type="pct"/>
            <w:shd w:val="clear" w:color="auto" w:fill="808080" w:themeFill="background1" w:themeFillShade="80"/>
            <w:noWrap/>
          </w:tcPr>
          <w:p w14:paraId="31D4151C" w14:textId="77777777" w:rsidR="00DF5D27" w:rsidRPr="00111F34" w:rsidRDefault="00DF5D27" w:rsidP="00B34C98">
            <w:pPr>
              <w:spacing w:before="40" w:after="40"/>
              <w:jc w:val="left"/>
              <w:rPr>
                <w:color w:val="FFFFFF" w:themeColor="background1"/>
                <w:sz w:val="18"/>
              </w:rPr>
            </w:pPr>
            <w:r w:rsidRPr="00111F34">
              <w:rPr>
                <w:color w:val="FFFFFF" w:themeColor="background1"/>
                <w:sz w:val="18"/>
              </w:rPr>
              <w:t>6. hluková zátěž</w:t>
            </w:r>
          </w:p>
        </w:tc>
        <w:tc>
          <w:tcPr>
            <w:tcW w:w="3139" w:type="pct"/>
            <w:shd w:val="clear" w:color="auto" w:fill="808080" w:themeFill="background1" w:themeFillShade="80"/>
          </w:tcPr>
          <w:p w14:paraId="303AA405" w14:textId="77777777" w:rsidR="00DF5D27" w:rsidRPr="00111F34" w:rsidRDefault="00DF5D27" w:rsidP="00B34C98">
            <w:pPr>
              <w:spacing w:before="40" w:after="40"/>
              <w:jc w:val="left"/>
              <w:rPr>
                <w:color w:val="FFFFFF" w:themeColor="background1"/>
                <w:sz w:val="18"/>
              </w:rPr>
            </w:pPr>
            <w:r w:rsidRPr="00111F34">
              <w:rPr>
                <w:color w:val="FFFFFF" w:themeColor="background1"/>
                <w:sz w:val="18"/>
              </w:rPr>
              <w:t>6.1 snižovat expozici hluku prostředky územního plánování</w:t>
            </w:r>
          </w:p>
        </w:tc>
      </w:tr>
      <w:tr w:rsidR="00DF5D27" w:rsidRPr="00111F34" w14:paraId="6A52CEDE" w14:textId="77777777" w:rsidTr="00B34C98">
        <w:trPr>
          <w:cantSplit/>
          <w:trHeight w:val="64"/>
          <w:jc w:val="center"/>
        </w:trPr>
        <w:tc>
          <w:tcPr>
            <w:tcW w:w="1861" w:type="pct"/>
            <w:vMerge w:val="restart"/>
            <w:shd w:val="clear" w:color="auto" w:fill="auto"/>
            <w:noWrap/>
          </w:tcPr>
          <w:p w14:paraId="78DCF859" w14:textId="77777777" w:rsidR="00DF5D27" w:rsidRPr="00111F34" w:rsidRDefault="00DF5D27" w:rsidP="00B34C98">
            <w:pPr>
              <w:spacing w:before="40" w:after="40"/>
              <w:jc w:val="left"/>
              <w:rPr>
                <w:rFonts w:cs="Arial"/>
                <w:sz w:val="18"/>
                <w:szCs w:val="18"/>
              </w:rPr>
            </w:pPr>
            <w:r w:rsidRPr="00111F34">
              <w:rPr>
                <w:rFonts w:cs="Arial"/>
                <w:sz w:val="18"/>
                <w:szCs w:val="18"/>
              </w:rPr>
              <w:t>7. sídla, urbanismus</w:t>
            </w:r>
          </w:p>
        </w:tc>
        <w:tc>
          <w:tcPr>
            <w:tcW w:w="3139" w:type="pct"/>
            <w:shd w:val="clear" w:color="auto" w:fill="auto"/>
          </w:tcPr>
          <w:p w14:paraId="50305C53" w14:textId="77777777" w:rsidR="00DF5D27" w:rsidRPr="00111F34" w:rsidRDefault="00DF5D27" w:rsidP="00B34C98">
            <w:pPr>
              <w:spacing w:before="40" w:after="40"/>
              <w:jc w:val="left"/>
              <w:rPr>
                <w:rFonts w:cs="Arial"/>
                <w:sz w:val="18"/>
                <w:szCs w:val="18"/>
              </w:rPr>
            </w:pPr>
            <w:r w:rsidRPr="00111F34">
              <w:rPr>
                <w:rFonts w:cs="Arial"/>
                <w:sz w:val="18"/>
                <w:szCs w:val="18"/>
              </w:rPr>
              <w:t>7.1 efektivním územním plánováním přispět k optimalizaci územního rozvoje sídel a ochraně přírody a krajiny</w:t>
            </w:r>
          </w:p>
        </w:tc>
      </w:tr>
      <w:tr w:rsidR="00DF5D27" w:rsidRPr="00111F34" w14:paraId="374B3CE1" w14:textId="77777777" w:rsidTr="00B34C98">
        <w:trPr>
          <w:cantSplit/>
          <w:trHeight w:val="224"/>
          <w:jc w:val="center"/>
        </w:trPr>
        <w:tc>
          <w:tcPr>
            <w:tcW w:w="1861" w:type="pct"/>
            <w:vMerge/>
            <w:shd w:val="clear" w:color="auto" w:fill="auto"/>
            <w:noWrap/>
          </w:tcPr>
          <w:p w14:paraId="05D6F803" w14:textId="77777777" w:rsidR="00DF5D27" w:rsidRPr="00111F34" w:rsidRDefault="00DF5D27" w:rsidP="00B34C98">
            <w:pPr>
              <w:spacing w:before="40" w:after="40"/>
              <w:jc w:val="left"/>
              <w:rPr>
                <w:rFonts w:cs="Arial"/>
                <w:sz w:val="18"/>
                <w:szCs w:val="18"/>
              </w:rPr>
            </w:pPr>
          </w:p>
        </w:tc>
        <w:tc>
          <w:tcPr>
            <w:tcW w:w="3139" w:type="pct"/>
            <w:shd w:val="clear" w:color="auto" w:fill="auto"/>
          </w:tcPr>
          <w:p w14:paraId="22F54B01" w14:textId="77777777" w:rsidR="00DF5D27" w:rsidRPr="00111F34" w:rsidRDefault="00DF5D27" w:rsidP="00B34C98">
            <w:pPr>
              <w:spacing w:before="40" w:after="40"/>
              <w:jc w:val="left"/>
              <w:rPr>
                <w:rFonts w:cs="Arial"/>
                <w:sz w:val="18"/>
                <w:szCs w:val="18"/>
              </w:rPr>
            </w:pPr>
            <w:r w:rsidRPr="00111F34">
              <w:rPr>
                <w:rFonts w:cs="Arial"/>
                <w:sz w:val="18"/>
                <w:szCs w:val="18"/>
              </w:rPr>
              <w:t>7.2 snižovat zatížení dopravní sítě v sídlech zejména tranzitní a nákladní silniční dopravou</w:t>
            </w:r>
          </w:p>
        </w:tc>
      </w:tr>
      <w:tr w:rsidR="00DF5D27" w:rsidRPr="00111F34" w14:paraId="55A46154" w14:textId="77777777" w:rsidTr="00B34C98">
        <w:trPr>
          <w:cantSplit/>
          <w:trHeight w:val="224"/>
          <w:jc w:val="center"/>
        </w:trPr>
        <w:tc>
          <w:tcPr>
            <w:tcW w:w="1861" w:type="pct"/>
            <w:shd w:val="clear" w:color="auto" w:fill="808080" w:themeFill="background1" w:themeFillShade="80"/>
            <w:noWrap/>
          </w:tcPr>
          <w:p w14:paraId="5C6B6392" w14:textId="77777777" w:rsidR="00DF5D27" w:rsidRPr="00111F34" w:rsidRDefault="00DF5D27" w:rsidP="00B34C98">
            <w:pPr>
              <w:spacing w:before="40" w:after="40"/>
              <w:jc w:val="left"/>
              <w:rPr>
                <w:color w:val="FFFFFF" w:themeColor="background1"/>
                <w:sz w:val="18"/>
              </w:rPr>
            </w:pPr>
            <w:r w:rsidRPr="00111F34">
              <w:rPr>
                <w:color w:val="FFFFFF" w:themeColor="background1"/>
                <w:sz w:val="18"/>
              </w:rPr>
              <w:t>8. hmotné statky a kulturní dědictví včetně architektonického a archeologického dědictví</w:t>
            </w:r>
          </w:p>
        </w:tc>
        <w:tc>
          <w:tcPr>
            <w:tcW w:w="3139" w:type="pct"/>
            <w:shd w:val="clear" w:color="auto" w:fill="808080" w:themeFill="background1" w:themeFillShade="80"/>
          </w:tcPr>
          <w:p w14:paraId="1ED7BE18" w14:textId="77777777" w:rsidR="00DF5D27" w:rsidRPr="00111F34" w:rsidRDefault="00DF5D27" w:rsidP="00B34C98">
            <w:pPr>
              <w:spacing w:before="40" w:after="40"/>
              <w:jc w:val="left"/>
              <w:rPr>
                <w:color w:val="FFFFFF" w:themeColor="background1"/>
                <w:sz w:val="18"/>
              </w:rPr>
            </w:pPr>
            <w:r w:rsidRPr="00111F34">
              <w:rPr>
                <w:color w:val="FFFFFF" w:themeColor="background1"/>
                <w:sz w:val="18"/>
              </w:rPr>
              <w:t>8.1 chránit kulturní, architektonické a archeologické dědictví</w:t>
            </w:r>
          </w:p>
        </w:tc>
      </w:tr>
      <w:tr w:rsidR="00DF5D27" w:rsidRPr="00111F34" w14:paraId="14072F8A" w14:textId="77777777" w:rsidTr="00B34C98">
        <w:trPr>
          <w:trHeight w:val="327"/>
          <w:jc w:val="center"/>
        </w:trPr>
        <w:tc>
          <w:tcPr>
            <w:tcW w:w="1861" w:type="pct"/>
            <w:noWrap/>
          </w:tcPr>
          <w:p w14:paraId="1E36BFB7" w14:textId="77777777" w:rsidR="00DF5D27" w:rsidRPr="00111F34" w:rsidRDefault="00DF5D27" w:rsidP="00B34C98">
            <w:pPr>
              <w:spacing w:before="40" w:after="40"/>
              <w:jc w:val="left"/>
              <w:rPr>
                <w:rFonts w:cs="Arial"/>
                <w:sz w:val="18"/>
                <w:szCs w:val="18"/>
              </w:rPr>
            </w:pPr>
            <w:r w:rsidRPr="00111F34">
              <w:rPr>
                <w:rFonts w:cs="Arial"/>
                <w:sz w:val="18"/>
                <w:szCs w:val="18"/>
              </w:rPr>
              <w:t>9. krajina</w:t>
            </w:r>
          </w:p>
        </w:tc>
        <w:tc>
          <w:tcPr>
            <w:tcW w:w="3139" w:type="pct"/>
          </w:tcPr>
          <w:p w14:paraId="35658E0C" w14:textId="77777777" w:rsidR="00DF5D27" w:rsidRPr="00111F34" w:rsidRDefault="00DF5D27" w:rsidP="00B34C98">
            <w:pPr>
              <w:spacing w:before="40" w:after="40"/>
              <w:jc w:val="left"/>
              <w:rPr>
                <w:rFonts w:cs="Arial"/>
                <w:sz w:val="18"/>
                <w:szCs w:val="18"/>
              </w:rPr>
            </w:pPr>
            <w:r w:rsidRPr="00111F34">
              <w:rPr>
                <w:rFonts w:cs="Arial"/>
                <w:sz w:val="18"/>
                <w:szCs w:val="18"/>
              </w:rPr>
              <w:t>9.1 chránit krajinný ráz</w:t>
            </w:r>
          </w:p>
        </w:tc>
      </w:tr>
    </w:tbl>
    <w:p w14:paraId="72B7780D" w14:textId="77777777" w:rsidR="00DF5D27" w:rsidRPr="00111F34" w:rsidRDefault="00DF5D27" w:rsidP="00DF5D27">
      <w:pPr>
        <w:spacing w:before="0"/>
        <w:jc w:val="left"/>
        <w:rPr>
          <w:rFonts w:eastAsia="Times New Roman"/>
          <w:b/>
          <w:color w:val="0070C0"/>
          <w:sz w:val="18"/>
          <w:szCs w:val="18"/>
          <w:lang w:eastAsia="cs-CZ"/>
        </w:rPr>
      </w:pPr>
      <w:bookmarkStart w:id="230" w:name="_Toc29298553"/>
      <w:r w:rsidRPr="00111F34">
        <w:br w:type="page"/>
      </w:r>
    </w:p>
    <w:p w14:paraId="03859066" w14:textId="77777777" w:rsidR="00DF5D27" w:rsidRPr="00111F34" w:rsidRDefault="00DF5D27" w:rsidP="00DF5D27">
      <w:pPr>
        <w:pStyle w:val="Tabulkanzev"/>
      </w:pPr>
      <w:bookmarkStart w:id="231" w:name="_Toc116987871"/>
      <w:bookmarkStart w:id="232" w:name="_Toc138848175"/>
      <w:r w:rsidRPr="00111F34">
        <w:lastRenderedPageBreak/>
        <w:t>Charakteristika referenčních cílů ochrany ŽP a způsobu hodnocení</w:t>
      </w:r>
      <w:bookmarkEnd w:id="230"/>
      <w:bookmarkEnd w:id="231"/>
      <w:bookmarkEnd w:id="232"/>
      <w:r w:rsidRPr="00111F34">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948"/>
        <w:gridCol w:w="3840"/>
        <w:gridCol w:w="3840"/>
      </w:tblGrid>
      <w:tr w:rsidR="00DF5D27" w:rsidRPr="00111F34" w14:paraId="2B3D7F33" w14:textId="77777777" w:rsidTr="00B34C98">
        <w:trPr>
          <w:trHeight w:val="348"/>
          <w:tblHeader/>
          <w:jc w:val="center"/>
        </w:trPr>
        <w:tc>
          <w:tcPr>
            <w:tcW w:w="1012" w:type="pct"/>
            <w:shd w:val="clear" w:color="auto" w:fill="808080" w:themeFill="background1" w:themeFillShade="80"/>
          </w:tcPr>
          <w:p w14:paraId="36014E54" w14:textId="77777777" w:rsidR="00DF5D27" w:rsidRPr="00111F34" w:rsidRDefault="00DF5D27" w:rsidP="00B34C98">
            <w:pPr>
              <w:spacing w:before="40" w:after="40"/>
              <w:jc w:val="left"/>
              <w:rPr>
                <w:b/>
                <w:color w:val="FFFFFF" w:themeColor="background1"/>
                <w:sz w:val="18"/>
              </w:rPr>
            </w:pPr>
            <w:r w:rsidRPr="00111F34">
              <w:rPr>
                <w:b/>
                <w:color w:val="FFFFFF" w:themeColor="background1"/>
                <w:sz w:val="18"/>
              </w:rPr>
              <w:t>Referenční cíl ochrany ŽP a veřejného zdraví</w:t>
            </w:r>
          </w:p>
        </w:tc>
        <w:tc>
          <w:tcPr>
            <w:tcW w:w="1994" w:type="pct"/>
            <w:shd w:val="clear" w:color="auto" w:fill="808080" w:themeFill="background1" w:themeFillShade="80"/>
          </w:tcPr>
          <w:p w14:paraId="6B26CBF9" w14:textId="77777777" w:rsidR="00DF5D27" w:rsidRPr="00111F34" w:rsidRDefault="00DF5D27" w:rsidP="00B34C98">
            <w:pPr>
              <w:spacing w:before="40" w:after="40"/>
              <w:jc w:val="left"/>
              <w:rPr>
                <w:b/>
                <w:color w:val="FFFFFF" w:themeColor="background1"/>
                <w:sz w:val="18"/>
              </w:rPr>
            </w:pPr>
            <w:r w:rsidRPr="00111F34">
              <w:rPr>
                <w:b/>
                <w:color w:val="FFFFFF" w:themeColor="background1"/>
                <w:sz w:val="18"/>
              </w:rPr>
              <w:t>Charakteristika cíle a způsobu vyhodnocení vlivů na referenční cíl</w:t>
            </w:r>
          </w:p>
        </w:tc>
        <w:tc>
          <w:tcPr>
            <w:tcW w:w="1994" w:type="pct"/>
            <w:shd w:val="clear" w:color="auto" w:fill="808080" w:themeFill="background1" w:themeFillShade="80"/>
          </w:tcPr>
          <w:p w14:paraId="4A6BF908" w14:textId="77777777" w:rsidR="00DF5D27" w:rsidRPr="00111F34" w:rsidRDefault="00DF5D27" w:rsidP="00B34C98">
            <w:pPr>
              <w:spacing w:before="40" w:after="40"/>
              <w:jc w:val="left"/>
              <w:rPr>
                <w:b/>
                <w:color w:val="FFFFFF" w:themeColor="background1"/>
                <w:sz w:val="18"/>
              </w:rPr>
            </w:pPr>
            <w:r w:rsidRPr="00111F34">
              <w:rPr>
                <w:b/>
                <w:color w:val="FFFFFF" w:themeColor="background1"/>
                <w:sz w:val="18"/>
              </w:rPr>
              <w:t>Charakteristika hodnocení míry vlivu</w:t>
            </w:r>
            <w:r w:rsidRPr="00111F34">
              <w:rPr>
                <w:rStyle w:val="Znakapoznpodarou"/>
                <w:b/>
                <w:color w:val="FFFFFF" w:themeColor="background1"/>
              </w:rPr>
              <w:footnoteReference w:id="4"/>
            </w:r>
            <w:r w:rsidRPr="00111F34">
              <w:rPr>
                <w:b/>
                <w:color w:val="FFFFFF" w:themeColor="background1"/>
                <w:sz w:val="18"/>
              </w:rPr>
              <w:t xml:space="preserve"> </w:t>
            </w:r>
          </w:p>
        </w:tc>
      </w:tr>
      <w:tr w:rsidR="00DF5D27" w:rsidRPr="00111F34" w14:paraId="0BA169F8" w14:textId="77777777" w:rsidTr="00B34C98">
        <w:trPr>
          <w:cantSplit/>
          <w:trHeight w:val="211"/>
          <w:jc w:val="center"/>
        </w:trPr>
        <w:tc>
          <w:tcPr>
            <w:tcW w:w="1012" w:type="pct"/>
            <w:shd w:val="clear" w:color="auto" w:fill="auto"/>
          </w:tcPr>
          <w:p w14:paraId="71459274" w14:textId="77777777" w:rsidR="00DF5D27" w:rsidRPr="00111F34" w:rsidRDefault="00DF5D27" w:rsidP="00B34C98">
            <w:pPr>
              <w:spacing w:before="40" w:after="40"/>
              <w:jc w:val="left"/>
              <w:rPr>
                <w:rFonts w:cs="Arial"/>
                <w:sz w:val="18"/>
                <w:szCs w:val="18"/>
              </w:rPr>
            </w:pPr>
            <w:r w:rsidRPr="00111F34">
              <w:rPr>
                <w:rFonts w:cs="Arial"/>
                <w:sz w:val="18"/>
                <w:szCs w:val="18"/>
              </w:rPr>
              <w:t>1.1 zlepšit kvalitu života obyvatel sídel a sociální determinanty lidského zdraví</w:t>
            </w:r>
          </w:p>
        </w:tc>
        <w:tc>
          <w:tcPr>
            <w:tcW w:w="1994" w:type="pct"/>
            <w:shd w:val="clear" w:color="auto" w:fill="auto"/>
          </w:tcPr>
          <w:p w14:paraId="15105E8F" w14:textId="77777777" w:rsidR="00DF5D27" w:rsidRPr="00111F34" w:rsidRDefault="00DF5D27" w:rsidP="00B34C98">
            <w:pPr>
              <w:spacing w:before="40" w:after="40"/>
              <w:jc w:val="left"/>
              <w:rPr>
                <w:rFonts w:cs="Arial"/>
                <w:sz w:val="18"/>
                <w:szCs w:val="18"/>
              </w:rPr>
            </w:pPr>
            <w:r w:rsidRPr="00111F34">
              <w:rPr>
                <w:rFonts w:cs="Arial"/>
                <w:sz w:val="18"/>
                <w:szCs w:val="18"/>
              </w:rPr>
              <w:t>Referenční cíl reprezentuje žádoucí trend v oblasti kvality bydlení ve městě jako sociální determinanty veřejného zdraví – zvyšování dostupnosti kvalitního bydlení spolu s občanskou vybaveností a možnostmi zaměstnanosti v místě bydliště.</w:t>
            </w:r>
          </w:p>
          <w:p w14:paraId="30085583" w14:textId="77777777" w:rsidR="00DF5D27" w:rsidRPr="00111F34" w:rsidRDefault="00DF5D27" w:rsidP="00B34C98">
            <w:pPr>
              <w:spacing w:before="40" w:after="40"/>
              <w:jc w:val="left"/>
              <w:rPr>
                <w:rFonts w:cs="Arial"/>
                <w:sz w:val="18"/>
                <w:szCs w:val="18"/>
              </w:rPr>
            </w:pPr>
          </w:p>
          <w:p w14:paraId="4AC559F5" w14:textId="77777777" w:rsidR="00DF5D27" w:rsidRPr="00111F34" w:rsidRDefault="00DF5D27" w:rsidP="00B34C98">
            <w:pPr>
              <w:spacing w:before="40" w:after="40"/>
              <w:jc w:val="left"/>
              <w:rPr>
                <w:rFonts w:cs="Arial"/>
                <w:sz w:val="18"/>
                <w:szCs w:val="18"/>
              </w:rPr>
            </w:pPr>
          </w:p>
          <w:p w14:paraId="1018DDE7" w14:textId="77777777" w:rsidR="00DF5D27" w:rsidRPr="00111F34" w:rsidRDefault="00DF5D27" w:rsidP="00B34C98">
            <w:pPr>
              <w:spacing w:before="40" w:after="40"/>
              <w:jc w:val="left"/>
              <w:rPr>
                <w:rFonts w:cs="Arial"/>
                <w:sz w:val="18"/>
                <w:szCs w:val="18"/>
              </w:rPr>
            </w:pPr>
            <w:r w:rsidRPr="00111F34">
              <w:rPr>
                <w:rFonts w:cs="Arial"/>
                <w:sz w:val="18"/>
                <w:szCs w:val="18"/>
              </w:rPr>
              <w:t xml:space="preserve">Referenční cíl byl stanoven na základě analýzy stavu, problémů a vývojových trendů sledovaných témat udržitelného rozvoje a cílů v oblasti ochrany životního prostředí a udržitelného rozvoje přijatých následujícími strategickými dokumenty na vnitrostátní úrovni: </w:t>
            </w:r>
          </w:p>
          <w:p w14:paraId="2505AEDA" w14:textId="77777777" w:rsidR="00DF5D27" w:rsidRPr="00111F34" w:rsidRDefault="00DF5D27" w:rsidP="00B34C98">
            <w:pPr>
              <w:spacing w:before="40" w:after="40"/>
              <w:jc w:val="left"/>
              <w:rPr>
                <w:rFonts w:cs="Arial"/>
                <w:sz w:val="18"/>
                <w:szCs w:val="18"/>
              </w:rPr>
            </w:pPr>
            <w:r w:rsidRPr="00111F34">
              <w:rPr>
                <w:rFonts w:cs="Arial"/>
                <w:sz w:val="18"/>
                <w:szCs w:val="18"/>
              </w:rPr>
              <w:t>NEHAP, SPŽP, ZÚR, Strategický plán hl. města Prahy.</w:t>
            </w:r>
          </w:p>
        </w:tc>
        <w:tc>
          <w:tcPr>
            <w:tcW w:w="1994" w:type="pct"/>
            <w:shd w:val="clear" w:color="auto" w:fill="auto"/>
          </w:tcPr>
          <w:p w14:paraId="6611A30E" w14:textId="77777777" w:rsidR="00DF5D27" w:rsidRPr="00111F34" w:rsidRDefault="00DF5D27" w:rsidP="00B34C98">
            <w:pPr>
              <w:spacing w:before="40" w:after="40"/>
              <w:jc w:val="left"/>
              <w:rPr>
                <w:rFonts w:cs="Arial"/>
                <w:sz w:val="18"/>
                <w:szCs w:val="18"/>
              </w:rPr>
            </w:pPr>
            <w:r w:rsidRPr="00111F34">
              <w:rPr>
                <w:rFonts w:cs="Arial"/>
                <w:sz w:val="18"/>
                <w:szCs w:val="18"/>
              </w:rPr>
              <w:t>+2 nově vymezené plochy bydlení, resp. veřejné vybavenosti k obsluze ploch bydlení nad cca 5 ha</w:t>
            </w:r>
          </w:p>
          <w:p w14:paraId="4DA94353" w14:textId="77777777" w:rsidR="00DF5D27" w:rsidRPr="00111F34" w:rsidRDefault="00DF5D27" w:rsidP="00B34C98">
            <w:pPr>
              <w:spacing w:before="40" w:after="40"/>
              <w:jc w:val="left"/>
              <w:rPr>
                <w:rFonts w:cs="Arial"/>
                <w:sz w:val="18"/>
                <w:szCs w:val="18"/>
              </w:rPr>
            </w:pPr>
            <w:r w:rsidRPr="00111F34">
              <w:rPr>
                <w:rFonts w:cs="Arial"/>
                <w:sz w:val="18"/>
                <w:szCs w:val="18"/>
              </w:rPr>
              <w:t>+1 nově vymezené plochy bydlení, resp. veřejné vybavenosti k obsluze ploch bydlení do cca 5 ha</w:t>
            </w:r>
          </w:p>
          <w:p w14:paraId="7188AEED" w14:textId="77777777" w:rsidR="00DF5D27" w:rsidRPr="00111F34" w:rsidRDefault="00DF5D27" w:rsidP="00B34C98">
            <w:pPr>
              <w:spacing w:before="40" w:after="40"/>
              <w:jc w:val="left"/>
              <w:rPr>
                <w:rFonts w:cs="Arial"/>
                <w:sz w:val="18"/>
                <w:szCs w:val="18"/>
              </w:rPr>
            </w:pPr>
            <w:r w:rsidRPr="00111F34">
              <w:rPr>
                <w:rFonts w:cs="Arial"/>
                <w:sz w:val="18"/>
                <w:szCs w:val="18"/>
              </w:rPr>
              <w:t xml:space="preserve">-1 úbytek ploch bydlení nebo občanské vybavenosti do cca 5 ha, resp. vymezení ploch bydlení v území nevhodném pro tuto funkci (s deficitem občanské vybavenosti, resp. nadlimitními zátěžemi – např. hluk, znečištění ovzduší) </w:t>
            </w:r>
          </w:p>
          <w:p w14:paraId="23ABA9E5" w14:textId="2FB37D18" w:rsidR="00DF5D27" w:rsidRPr="00111F34" w:rsidRDefault="00DF5D27" w:rsidP="00B34C98">
            <w:pPr>
              <w:spacing w:before="40" w:after="40"/>
              <w:jc w:val="left"/>
              <w:rPr>
                <w:rFonts w:cs="Arial"/>
                <w:sz w:val="18"/>
                <w:szCs w:val="18"/>
              </w:rPr>
            </w:pPr>
            <w:r w:rsidRPr="00111F34">
              <w:rPr>
                <w:rFonts w:cs="Arial"/>
                <w:sz w:val="18"/>
                <w:szCs w:val="18"/>
              </w:rPr>
              <w:t xml:space="preserve">- 2 úbytek ploch bydlení nebo občanské vybavenosti nad cca 5 </w:t>
            </w:r>
            <w:r w:rsidR="003577E4" w:rsidRPr="00111F34">
              <w:rPr>
                <w:rFonts w:cs="Arial"/>
                <w:sz w:val="18"/>
                <w:szCs w:val="18"/>
              </w:rPr>
              <w:t>ha,</w:t>
            </w:r>
            <w:r w:rsidRPr="00111F34">
              <w:rPr>
                <w:rFonts w:cs="Arial"/>
                <w:sz w:val="18"/>
                <w:szCs w:val="18"/>
              </w:rPr>
              <w:t xml:space="preserve"> resp. vymezení ploch bydlení v území nevhodném pro tuto funkci (s deficitem občanské </w:t>
            </w:r>
            <w:r w:rsidR="003577E4" w:rsidRPr="00111F34">
              <w:rPr>
                <w:rFonts w:cs="Arial"/>
                <w:sz w:val="18"/>
                <w:szCs w:val="18"/>
              </w:rPr>
              <w:t>vybavenosti,</w:t>
            </w:r>
            <w:r w:rsidRPr="00111F34">
              <w:rPr>
                <w:rFonts w:cs="Arial"/>
                <w:sz w:val="18"/>
                <w:szCs w:val="18"/>
              </w:rPr>
              <w:t xml:space="preserve"> resp. zatíženém nadlimitními zátěžemi – např. hluk, znečištění ovzduší)</w:t>
            </w:r>
          </w:p>
        </w:tc>
      </w:tr>
      <w:tr w:rsidR="00DF5D27" w:rsidRPr="00111F34" w14:paraId="707A6E00" w14:textId="77777777" w:rsidTr="00B34C98">
        <w:trPr>
          <w:cantSplit/>
          <w:trHeight w:val="102"/>
          <w:jc w:val="center"/>
        </w:trPr>
        <w:tc>
          <w:tcPr>
            <w:tcW w:w="1012" w:type="pct"/>
            <w:shd w:val="clear" w:color="auto" w:fill="auto"/>
          </w:tcPr>
          <w:p w14:paraId="4A6B1646" w14:textId="77777777" w:rsidR="00DF5D27" w:rsidRPr="00111F34" w:rsidRDefault="00DF5D27" w:rsidP="00B34C98">
            <w:pPr>
              <w:spacing w:before="40" w:after="40"/>
              <w:jc w:val="left"/>
              <w:rPr>
                <w:rFonts w:cs="Arial"/>
                <w:sz w:val="18"/>
                <w:szCs w:val="18"/>
              </w:rPr>
            </w:pPr>
            <w:r w:rsidRPr="00111F34">
              <w:rPr>
                <w:rFonts w:cs="Arial"/>
                <w:sz w:val="18"/>
                <w:szCs w:val="18"/>
              </w:rPr>
              <w:t>1.2 podporovat environmentálně šetrné formy rekreace a zdravý životní styl</w:t>
            </w:r>
          </w:p>
        </w:tc>
        <w:tc>
          <w:tcPr>
            <w:tcW w:w="1994" w:type="pct"/>
            <w:shd w:val="clear" w:color="auto" w:fill="auto"/>
          </w:tcPr>
          <w:p w14:paraId="09426AB4" w14:textId="77777777" w:rsidR="00DF5D27" w:rsidRPr="00111F34" w:rsidRDefault="00DF5D27" w:rsidP="00B34C98">
            <w:pPr>
              <w:spacing w:before="40" w:after="40"/>
              <w:jc w:val="left"/>
              <w:rPr>
                <w:rFonts w:cs="Arial"/>
                <w:sz w:val="18"/>
                <w:szCs w:val="18"/>
              </w:rPr>
            </w:pPr>
            <w:r w:rsidRPr="00111F34">
              <w:rPr>
                <w:rFonts w:cs="Arial"/>
                <w:sz w:val="18"/>
                <w:szCs w:val="18"/>
              </w:rPr>
              <w:t>Referenční cíl reprezentuje žádoucí trend v oblasti kvality života ve městě jako sociální determinanty veřejného zdraví – dostupnost zdravého trávení volného času v místě bydliště v podobě rekreačních možností v krajině (parky, veřejně dostupná krajinná zeleň, veřejná prostranství s převažujícím podílem zeleně, zahrádky).</w:t>
            </w:r>
          </w:p>
          <w:p w14:paraId="540424C0" w14:textId="77777777" w:rsidR="00DF5D27" w:rsidRPr="00111F34" w:rsidRDefault="00DF5D27" w:rsidP="00B34C98">
            <w:pPr>
              <w:spacing w:before="40" w:after="40"/>
              <w:jc w:val="left"/>
              <w:rPr>
                <w:rFonts w:cs="Arial"/>
                <w:sz w:val="18"/>
                <w:szCs w:val="18"/>
              </w:rPr>
            </w:pPr>
          </w:p>
          <w:p w14:paraId="3E02BDC8" w14:textId="77777777" w:rsidR="00DF5D27" w:rsidRPr="00111F34" w:rsidRDefault="00DF5D27" w:rsidP="00B34C98">
            <w:pPr>
              <w:spacing w:before="40" w:after="40"/>
              <w:jc w:val="left"/>
              <w:rPr>
                <w:rFonts w:cs="Arial"/>
                <w:sz w:val="18"/>
                <w:szCs w:val="18"/>
              </w:rPr>
            </w:pPr>
            <w:r w:rsidRPr="00111F34">
              <w:rPr>
                <w:rFonts w:cs="Arial"/>
                <w:sz w:val="18"/>
                <w:szCs w:val="18"/>
              </w:rPr>
              <w:t xml:space="preserve">Referenční cíl byl stanoven na základě analýzy stavu, problémů a vývojových trendů sledovaných témat udržitelného rozvoje a cílů v oblasti ochrany životního prostředí a udržitelného rozvoje přijatých následujícími strategickými dokumenty na vnitrostátní úrovni: </w:t>
            </w:r>
          </w:p>
          <w:p w14:paraId="0A3767F1" w14:textId="77777777" w:rsidR="00DF5D27" w:rsidRPr="00111F34" w:rsidRDefault="00DF5D27" w:rsidP="00B34C98">
            <w:pPr>
              <w:spacing w:before="40" w:after="40"/>
              <w:jc w:val="left"/>
              <w:rPr>
                <w:rFonts w:cs="Arial"/>
                <w:sz w:val="18"/>
                <w:szCs w:val="18"/>
              </w:rPr>
            </w:pPr>
            <w:r w:rsidRPr="00111F34">
              <w:rPr>
                <w:rFonts w:cs="Arial"/>
                <w:sz w:val="18"/>
                <w:szCs w:val="18"/>
              </w:rPr>
              <w:t>SPŽP, Zdraví 2030, Strategický plán hl. města Prahy.</w:t>
            </w:r>
          </w:p>
        </w:tc>
        <w:tc>
          <w:tcPr>
            <w:tcW w:w="1994" w:type="pct"/>
            <w:shd w:val="clear" w:color="auto" w:fill="auto"/>
          </w:tcPr>
          <w:p w14:paraId="0A9B4A91" w14:textId="77777777" w:rsidR="00DF5D27" w:rsidRPr="00111F34" w:rsidRDefault="00DF5D27" w:rsidP="00B34C98">
            <w:pPr>
              <w:spacing w:before="40" w:after="40"/>
              <w:jc w:val="left"/>
              <w:rPr>
                <w:rFonts w:cs="Arial"/>
                <w:sz w:val="18"/>
                <w:szCs w:val="18"/>
              </w:rPr>
            </w:pPr>
            <w:r w:rsidRPr="00111F34">
              <w:rPr>
                <w:rFonts w:cs="Arial"/>
                <w:sz w:val="18"/>
                <w:szCs w:val="18"/>
              </w:rPr>
              <w:t>+2 vznik ploch s využitím pro hromadnou nebo individuální rekreaci v přírodním prostředí nebo komunitní setkávání v dosahu ploch bydlení nad cca 2 ha</w:t>
            </w:r>
          </w:p>
          <w:p w14:paraId="02885121" w14:textId="77777777" w:rsidR="00DF5D27" w:rsidRPr="00111F34" w:rsidRDefault="00DF5D27" w:rsidP="00B34C98">
            <w:pPr>
              <w:spacing w:before="40" w:after="40"/>
              <w:jc w:val="left"/>
              <w:rPr>
                <w:rFonts w:cs="Arial"/>
                <w:sz w:val="18"/>
                <w:szCs w:val="18"/>
              </w:rPr>
            </w:pPr>
            <w:r w:rsidRPr="00111F34">
              <w:rPr>
                <w:rFonts w:cs="Arial"/>
                <w:sz w:val="18"/>
                <w:szCs w:val="18"/>
              </w:rPr>
              <w:t>+1 vznik ploch s využitím pro hromadnou nebo individuální rekreaci v přírodním prostředí nebo komunitní setkávání v dosahu ploch bydlení do cca 2 ha</w:t>
            </w:r>
          </w:p>
          <w:p w14:paraId="429D1829" w14:textId="77777777" w:rsidR="00DF5D27" w:rsidRPr="00111F34" w:rsidRDefault="00DF5D27" w:rsidP="00B34C98">
            <w:pPr>
              <w:spacing w:before="40" w:after="40"/>
              <w:jc w:val="left"/>
              <w:rPr>
                <w:rFonts w:cs="Arial"/>
                <w:sz w:val="18"/>
                <w:szCs w:val="18"/>
              </w:rPr>
            </w:pPr>
            <w:r w:rsidRPr="00111F34">
              <w:rPr>
                <w:rFonts w:cs="Arial"/>
                <w:sz w:val="18"/>
                <w:szCs w:val="18"/>
              </w:rPr>
              <w:t>-1 úbytek ploch s využitím pro hromadnou nebo individuální rekreaci v přírodním prostředí nebo komunitní setkávání v dosahu ploch bydlení do cca 2 ha</w:t>
            </w:r>
          </w:p>
          <w:p w14:paraId="1FB4A714" w14:textId="77777777" w:rsidR="00DF5D27" w:rsidRPr="00111F34" w:rsidRDefault="00DF5D27" w:rsidP="00B34C98">
            <w:pPr>
              <w:spacing w:before="40" w:after="40"/>
              <w:jc w:val="left"/>
              <w:rPr>
                <w:rFonts w:cs="Arial"/>
                <w:sz w:val="18"/>
                <w:szCs w:val="18"/>
              </w:rPr>
            </w:pPr>
            <w:r w:rsidRPr="00111F34">
              <w:rPr>
                <w:rFonts w:cs="Arial"/>
                <w:sz w:val="18"/>
                <w:szCs w:val="18"/>
              </w:rPr>
              <w:t>-2 úbytek ploch s využitím pro hromadnou nebo individuální rekreaci v přírodním prostředí nebo komunitní setkávání v dosahu ploch bydlení nad cca 2 ha</w:t>
            </w:r>
          </w:p>
        </w:tc>
      </w:tr>
      <w:tr w:rsidR="00DF5D27" w:rsidRPr="00111F34" w14:paraId="73826FE5" w14:textId="77777777" w:rsidTr="00B34C98">
        <w:trPr>
          <w:cantSplit/>
          <w:trHeight w:val="4336"/>
          <w:jc w:val="center"/>
        </w:trPr>
        <w:tc>
          <w:tcPr>
            <w:tcW w:w="1012" w:type="pct"/>
            <w:shd w:val="clear" w:color="auto" w:fill="auto"/>
          </w:tcPr>
          <w:p w14:paraId="23DAD7A2" w14:textId="77777777" w:rsidR="00DF5D27" w:rsidRPr="00111F34" w:rsidRDefault="00DF5D27" w:rsidP="00B34C98">
            <w:pPr>
              <w:spacing w:before="40" w:after="40"/>
              <w:jc w:val="left"/>
              <w:rPr>
                <w:rFonts w:cs="Arial"/>
                <w:sz w:val="18"/>
                <w:szCs w:val="18"/>
              </w:rPr>
            </w:pPr>
            <w:r w:rsidRPr="00111F34">
              <w:rPr>
                <w:rFonts w:cs="Arial"/>
                <w:sz w:val="18"/>
                <w:szCs w:val="18"/>
              </w:rPr>
              <w:lastRenderedPageBreak/>
              <w:t>1.3 pomocí prevence chránit životní prostředí a obyvatelstvo před důsledky přírodních a antropogenních krizových situací</w:t>
            </w:r>
          </w:p>
        </w:tc>
        <w:tc>
          <w:tcPr>
            <w:tcW w:w="1994" w:type="pct"/>
            <w:shd w:val="clear" w:color="auto" w:fill="auto"/>
          </w:tcPr>
          <w:p w14:paraId="1D8F2F68" w14:textId="77777777" w:rsidR="00DF5D27" w:rsidRPr="00111F34" w:rsidRDefault="00DF5D27" w:rsidP="00B34C98">
            <w:pPr>
              <w:spacing w:before="40" w:after="40"/>
              <w:jc w:val="left"/>
              <w:rPr>
                <w:rFonts w:cs="Arial"/>
                <w:sz w:val="18"/>
                <w:szCs w:val="18"/>
              </w:rPr>
            </w:pPr>
            <w:r w:rsidRPr="00111F34">
              <w:rPr>
                <w:rFonts w:cs="Arial"/>
                <w:sz w:val="18"/>
                <w:szCs w:val="18"/>
              </w:rPr>
              <w:t>Referenční cíl reprezentuje žádoucí trendy v oblasti bezpečnosti života ve městě jako sociální determinanty veřejného zdraví – prevenci a ochranu obyvatel z hlediska přírodních krizových situací (povodně, nedostatek vody, sesuvy půdy, polomy) resp. antropogenních krizových situací (dopravní a průmyslové havárie).</w:t>
            </w:r>
          </w:p>
          <w:p w14:paraId="191A5C2F" w14:textId="77777777" w:rsidR="00DF5D27" w:rsidRPr="00111F34" w:rsidRDefault="00DF5D27" w:rsidP="00B34C98">
            <w:pPr>
              <w:spacing w:before="40" w:after="40"/>
              <w:jc w:val="left"/>
              <w:rPr>
                <w:rFonts w:cs="Arial"/>
                <w:sz w:val="18"/>
                <w:szCs w:val="18"/>
              </w:rPr>
            </w:pPr>
          </w:p>
          <w:p w14:paraId="234F41C8" w14:textId="77777777" w:rsidR="00DF5D27" w:rsidRPr="00111F34" w:rsidRDefault="00DF5D27" w:rsidP="00B34C98">
            <w:pPr>
              <w:spacing w:before="40" w:after="40"/>
              <w:jc w:val="left"/>
              <w:rPr>
                <w:rFonts w:cs="Arial"/>
                <w:sz w:val="18"/>
                <w:szCs w:val="18"/>
              </w:rPr>
            </w:pPr>
            <w:r w:rsidRPr="00111F34">
              <w:rPr>
                <w:rFonts w:cs="Arial"/>
                <w:sz w:val="18"/>
                <w:szCs w:val="18"/>
              </w:rPr>
              <w:t xml:space="preserve">Referenční cíl byl stanoven na základě analýzy stavu, problémů a vývojových trendů sledovaných témat udržitelného rozvoje a cílů v oblasti ochrany životního prostředí a udržitelného rozvoje přijatých následujícími strategickými dokumenty na vnitrostátní úrovni: </w:t>
            </w:r>
          </w:p>
          <w:p w14:paraId="329B4CCE" w14:textId="77777777" w:rsidR="00DF5D27" w:rsidRPr="00111F34" w:rsidRDefault="00DF5D27" w:rsidP="00B34C98">
            <w:pPr>
              <w:spacing w:before="40" w:after="40"/>
              <w:jc w:val="left"/>
              <w:rPr>
                <w:rFonts w:cs="Arial"/>
                <w:sz w:val="18"/>
                <w:szCs w:val="18"/>
              </w:rPr>
            </w:pPr>
            <w:r w:rsidRPr="00111F34">
              <w:rPr>
                <w:rFonts w:cs="Arial"/>
                <w:sz w:val="18"/>
                <w:szCs w:val="18"/>
              </w:rPr>
              <w:t>ČR 2030, NEHAP, PÚR, SPŽP, ZÚR HMP, Zdraví 2030.</w:t>
            </w:r>
          </w:p>
        </w:tc>
        <w:tc>
          <w:tcPr>
            <w:tcW w:w="1994" w:type="pct"/>
            <w:shd w:val="clear" w:color="auto" w:fill="auto"/>
          </w:tcPr>
          <w:p w14:paraId="0ADE48B1" w14:textId="77777777" w:rsidR="00DF5D27" w:rsidRPr="00111F34" w:rsidRDefault="00DF5D27" w:rsidP="00B34C98">
            <w:pPr>
              <w:spacing w:before="40" w:after="40"/>
              <w:jc w:val="left"/>
              <w:rPr>
                <w:rFonts w:cs="Arial"/>
                <w:sz w:val="18"/>
                <w:szCs w:val="18"/>
              </w:rPr>
            </w:pPr>
            <w:r w:rsidRPr="00111F34">
              <w:rPr>
                <w:rFonts w:cs="Arial"/>
                <w:sz w:val="18"/>
                <w:szCs w:val="18"/>
              </w:rPr>
              <w:t>+2 vymezení zastavitelných ploch nebo koridorů nadmístního významu chráněných opatřeními pro zvýšení bezpečnosti obyvatel (PPO, protihluková opatření, sanace ekologických zátěží)</w:t>
            </w:r>
          </w:p>
          <w:p w14:paraId="0C975737" w14:textId="77777777" w:rsidR="00DF5D27" w:rsidRPr="00111F34" w:rsidRDefault="00DF5D27" w:rsidP="00B34C98">
            <w:pPr>
              <w:spacing w:before="40" w:after="40"/>
              <w:jc w:val="left"/>
              <w:rPr>
                <w:rFonts w:cs="Arial"/>
                <w:sz w:val="18"/>
                <w:szCs w:val="18"/>
              </w:rPr>
            </w:pPr>
            <w:r w:rsidRPr="00111F34">
              <w:rPr>
                <w:rFonts w:cs="Arial"/>
                <w:sz w:val="18"/>
                <w:szCs w:val="18"/>
              </w:rPr>
              <w:t>+1 vymezení zastavitelných ploch nebo koridorů místního významu chráněných opatřeními pro zvýšení bezpečnosti obyvatel (PPO, protihluková opatření, sanace ekologických zátěží)</w:t>
            </w:r>
          </w:p>
          <w:p w14:paraId="24F99334" w14:textId="77777777" w:rsidR="00DF5D27" w:rsidRPr="00111F34" w:rsidRDefault="00DF5D27" w:rsidP="00B34C98">
            <w:pPr>
              <w:spacing w:before="40" w:after="40"/>
              <w:jc w:val="left"/>
              <w:rPr>
                <w:rFonts w:cs="Arial"/>
                <w:sz w:val="18"/>
                <w:szCs w:val="18"/>
              </w:rPr>
            </w:pPr>
            <w:r w:rsidRPr="00111F34">
              <w:rPr>
                <w:rFonts w:cs="Arial"/>
                <w:sz w:val="18"/>
                <w:szCs w:val="18"/>
              </w:rPr>
              <w:t xml:space="preserve">-1 vymezení zastavitelných ploch nebo koridorů místního významu snižujících bezpečnost obyvatel (střety se záplavovými územími, sesuvnými územími, starými ekologickými zátěžemi bez sanací) </w:t>
            </w:r>
          </w:p>
          <w:p w14:paraId="1590EA8A" w14:textId="77777777" w:rsidR="00DF5D27" w:rsidRPr="00111F34" w:rsidRDefault="00DF5D27" w:rsidP="00B34C98">
            <w:pPr>
              <w:spacing w:before="40" w:after="40"/>
              <w:jc w:val="left"/>
              <w:rPr>
                <w:rFonts w:cs="Arial"/>
                <w:sz w:val="18"/>
                <w:szCs w:val="18"/>
              </w:rPr>
            </w:pPr>
            <w:r w:rsidRPr="00111F34">
              <w:rPr>
                <w:rFonts w:cs="Arial"/>
                <w:sz w:val="18"/>
                <w:szCs w:val="18"/>
              </w:rPr>
              <w:t>-2 vymezení zastavitelných ploch nebo koridorů nadmístního významu snižujících bezpečnost obyvatel (střety se záplavovými územími, sesuvnými územími, starými ekologickými zátěžemi bez sanací) bez návrhu podmínek pro zamezení rizik</w:t>
            </w:r>
          </w:p>
        </w:tc>
      </w:tr>
      <w:tr w:rsidR="00DF5D27" w:rsidRPr="00111F34" w14:paraId="53C63D3C" w14:textId="77777777" w:rsidTr="00B34C98">
        <w:trPr>
          <w:trHeight w:val="295"/>
          <w:jc w:val="center"/>
        </w:trPr>
        <w:tc>
          <w:tcPr>
            <w:tcW w:w="1012" w:type="pct"/>
            <w:shd w:val="clear" w:color="auto" w:fill="auto"/>
          </w:tcPr>
          <w:p w14:paraId="6E0B9422" w14:textId="77777777" w:rsidR="00DF5D27" w:rsidRPr="00111F34" w:rsidRDefault="00DF5D27" w:rsidP="00B34C98">
            <w:pPr>
              <w:spacing w:before="40" w:after="40"/>
              <w:jc w:val="left"/>
              <w:rPr>
                <w:rFonts w:cs="Arial"/>
                <w:sz w:val="18"/>
                <w:szCs w:val="18"/>
              </w:rPr>
            </w:pPr>
            <w:r w:rsidRPr="00111F34">
              <w:rPr>
                <w:rFonts w:cs="Arial"/>
                <w:sz w:val="18"/>
                <w:szCs w:val="18"/>
              </w:rPr>
              <w:t>2.1 chránit ohniska biodiverzity a omezovat fragmentaci krajiny</w:t>
            </w:r>
          </w:p>
        </w:tc>
        <w:tc>
          <w:tcPr>
            <w:tcW w:w="1994" w:type="pct"/>
            <w:shd w:val="clear" w:color="auto" w:fill="auto"/>
          </w:tcPr>
          <w:p w14:paraId="4D3EC494" w14:textId="77777777" w:rsidR="00DF5D27" w:rsidRPr="00111F34" w:rsidRDefault="00DF5D27" w:rsidP="00B34C98">
            <w:pPr>
              <w:spacing w:before="40" w:after="40"/>
              <w:jc w:val="left"/>
              <w:rPr>
                <w:rFonts w:cs="Arial"/>
                <w:sz w:val="18"/>
                <w:szCs w:val="18"/>
              </w:rPr>
            </w:pPr>
            <w:r w:rsidRPr="00111F34">
              <w:rPr>
                <w:rFonts w:cs="Arial"/>
                <w:sz w:val="18"/>
                <w:szCs w:val="18"/>
              </w:rPr>
              <w:t>Referenční cíl reprezentuje žádoucí trend v oblasti ochrany biotické složky krajiny a zvyšování biodiverzity – ochranu a zlepšování stavu ekosystémů a funkčních vztahů mezi nimi, ekologické stability a prostupnosti krajiny (hodnotí se střety se ZCHÚ, VKP, ÚSES, přírodě blízké části krajiny, vzrostlá zeleň a omezování prostupnosti území).</w:t>
            </w:r>
          </w:p>
          <w:p w14:paraId="7C082EB7" w14:textId="77777777" w:rsidR="00DF5D27" w:rsidRPr="00111F34" w:rsidRDefault="00DF5D27" w:rsidP="00B34C98">
            <w:pPr>
              <w:spacing w:before="40" w:after="40"/>
              <w:jc w:val="left"/>
              <w:rPr>
                <w:rFonts w:cs="Arial"/>
                <w:sz w:val="18"/>
                <w:szCs w:val="18"/>
              </w:rPr>
            </w:pPr>
          </w:p>
          <w:p w14:paraId="60F51139" w14:textId="77777777" w:rsidR="00DF5D27" w:rsidRPr="00111F34" w:rsidRDefault="00DF5D27" w:rsidP="00B34C98">
            <w:pPr>
              <w:spacing w:before="40" w:after="40"/>
              <w:jc w:val="left"/>
              <w:rPr>
                <w:rFonts w:cs="Arial"/>
                <w:sz w:val="18"/>
                <w:szCs w:val="18"/>
              </w:rPr>
            </w:pPr>
            <w:r w:rsidRPr="00111F34">
              <w:rPr>
                <w:rFonts w:cs="Arial"/>
                <w:sz w:val="18"/>
                <w:szCs w:val="18"/>
              </w:rPr>
              <w:t xml:space="preserve">Referenční cíl byl stanoven na základě analýzy stavu, problémů a vývojových trendů sledovaných témat udržitelného rozvoje a cílů v oblasti ochrany životního prostředí a udržitelného rozvoje přijatých následujícími strategickými dokumenty na vnitrostátní úrovni: </w:t>
            </w:r>
          </w:p>
          <w:p w14:paraId="34A2A388" w14:textId="77777777" w:rsidR="00DF5D27" w:rsidRPr="00111F34" w:rsidRDefault="00DF5D27" w:rsidP="00B34C98">
            <w:pPr>
              <w:spacing w:before="40" w:after="40"/>
              <w:jc w:val="left"/>
              <w:rPr>
                <w:rFonts w:cs="Arial"/>
                <w:sz w:val="18"/>
                <w:szCs w:val="18"/>
              </w:rPr>
            </w:pPr>
            <w:r w:rsidRPr="00111F34">
              <w:rPr>
                <w:rFonts w:cs="Arial"/>
                <w:sz w:val="18"/>
                <w:szCs w:val="18"/>
              </w:rPr>
              <w:t>ČR 2030, NEHAP, PÚR ČR, SPŽP, ZÚR HMP, Zdraví 2030.</w:t>
            </w:r>
          </w:p>
        </w:tc>
        <w:tc>
          <w:tcPr>
            <w:tcW w:w="1994" w:type="pct"/>
            <w:shd w:val="clear" w:color="auto" w:fill="auto"/>
          </w:tcPr>
          <w:p w14:paraId="5E685A7E" w14:textId="77777777" w:rsidR="00DF5D27" w:rsidRPr="00111F34" w:rsidRDefault="00DF5D27" w:rsidP="00B34C98">
            <w:pPr>
              <w:spacing w:before="40" w:after="40"/>
              <w:jc w:val="left"/>
              <w:rPr>
                <w:rFonts w:cs="Arial"/>
                <w:sz w:val="18"/>
                <w:szCs w:val="18"/>
              </w:rPr>
            </w:pPr>
            <w:r w:rsidRPr="00111F34">
              <w:rPr>
                <w:rFonts w:cs="Arial"/>
                <w:sz w:val="18"/>
                <w:szCs w:val="18"/>
              </w:rPr>
              <w:t>+2 vymezení přírodě blízkých ploch nad cca 2 ha</w:t>
            </w:r>
          </w:p>
          <w:p w14:paraId="6464758E" w14:textId="77777777" w:rsidR="00DF5D27" w:rsidRPr="00111F34" w:rsidRDefault="00DF5D27" w:rsidP="00B34C98">
            <w:pPr>
              <w:spacing w:before="40" w:after="40"/>
              <w:jc w:val="left"/>
              <w:rPr>
                <w:rFonts w:cs="Arial"/>
                <w:sz w:val="18"/>
                <w:szCs w:val="18"/>
              </w:rPr>
            </w:pPr>
            <w:r w:rsidRPr="00111F34">
              <w:rPr>
                <w:rFonts w:cs="Arial"/>
                <w:sz w:val="18"/>
                <w:szCs w:val="18"/>
              </w:rPr>
              <w:t>+1 vymezení přírodě blízkých ploch do cca 2 ha</w:t>
            </w:r>
          </w:p>
          <w:p w14:paraId="7CFEA3FF" w14:textId="77777777" w:rsidR="00DF5D27" w:rsidRPr="00111F34" w:rsidRDefault="00DF5D27" w:rsidP="00B34C98">
            <w:pPr>
              <w:spacing w:before="40" w:after="40"/>
              <w:jc w:val="left"/>
              <w:rPr>
                <w:rFonts w:cs="Arial"/>
                <w:sz w:val="18"/>
                <w:szCs w:val="18"/>
              </w:rPr>
            </w:pPr>
            <w:r w:rsidRPr="00111F34">
              <w:rPr>
                <w:rFonts w:cs="Arial"/>
                <w:sz w:val="18"/>
                <w:szCs w:val="18"/>
              </w:rPr>
              <w:t xml:space="preserve">-1 nahrazení ploch vzrostlé zeleně a přírodě blízkých ploch zastavitelnými plochami nebo koridory do cca 2 ha, resp., omezení prostupnosti krajiny a střety s ÚSES kompenzované pomocí nově vymezených ploch obdobných funkcí v souvisejícím území nebo podmínek využití zastavitelných ploch </w:t>
            </w:r>
          </w:p>
          <w:p w14:paraId="4FE65E8E" w14:textId="77777777" w:rsidR="00DF5D27" w:rsidRPr="00111F34" w:rsidRDefault="00DF5D27" w:rsidP="00B34C98">
            <w:pPr>
              <w:spacing w:before="40" w:after="40"/>
              <w:jc w:val="left"/>
              <w:rPr>
                <w:rFonts w:cs="Arial"/>
                <w:sz w:val="18"/>
                <w:szCs w:val="18"/>
              </w:rPr>
            </w:pPr>
            <w:r w:rsidRPr="00111F34">
              <w:rPr>
                <w:rFonts w:cs="Arial"/>
                <w:sz w:val="18"/>
                <w:szCs w:val="18"/>
              </w:rPr>
              <w:t xml:space="preserve">-2 nahrazení ploch vzrostlé zeleně a přírodě blízkých ploch zastavitelnými plochami nebo koridory nad cca 2 ha, resp., omezení prostupnosti krajiny a střety s ÚSES bez možnosti náhrady ztráty prostupnosti území v bezprostředně souvisejícím okolí </w:t>
            </w:r>
          </w:p>
        </w:tc>
      </w:tr>
      <w:tr w:rsidR="00DF5D27" w:rsidRPr="00111F34" w14:paraId="3A4371A2" w14:textId="77777777" w:rsidTr="00B34C98">
        <w:trPr>
          <w:trHeight w:val="450"/>
          <w:jc w:val="center"/>
        </w:trPr>
        <w:tc>
          <w:tcPr>
            <w:tcW w:w="1012" w:type="pct"/>
            <w:shd w:val="clear" w:color="auto" w:fill="auto"/>
          </w:tcPr>
          <w:p w14:paraId="772803DB" w14:textId="77777777" w:rsidR="00DF5D27" w:rsidRPr="00111F34" w:rsidRDefault="00DF5D27" w:rsidP="00B34C98">
            <w:pPr>
              <w:spacing w:before="40" w:after="40"/>
              <w:jc w:val="left"/>
              <w:rPr>
                <w:rFonts w:cs="Arial"/>
                <w:sz w:val="18"/>
                <w:szCs w:val="18"/>
              </w:rPr>
            </w:pPr>
            <w:r w:rsidRPr="00111F34">
              <w:rPr>
                <w:rFonts w:cs="Arial"/>
                <w:sz w:val="18"/>
                <w:szCs w:val="18"/>
              </w:rPr>
              <w:t>3.1 omezovat nové trvalé zábory ZPF a PUPFL a zabezpečit ochranu ekologických funkcí půdy</w:t>
            </w:r>
          </w:p>
        </w:tc>
        <w:tc>
          <w:tcPr>
            <w:tcW w:w="1994" w:type="pct"/>
            <w:shd w:val="clear" w:color="auto" w:fill="auto"/>
          </w:tcPr>
          <w:p w14:paraId="5528D953" w14:textId="77777777" w:rsidR="00DF5D27" w:rsidRPr="00111F34" w:rsidRDefault="00DF5D27" w:rsidP="00B34C98">
            <w:pPr>
              <w:spacing w:before="40" w:after="40"/>
              <w:jc w:val="left"/>
              <w:rPr>
                <w:rFonts w:cs="Arial"/>
                <w:sz w:val="18"/>
                <w:szCs w:val="18"/>
              </w:rPr>
            </w:pPr>
            <w:r w:rsidRPr="00111F34">
              <w:rPr>
                <w:rFonts w:cs="Arial"/>
                <w:sz w:val="18"/>
                <w:szCs w:val="18"/>
              </w:rPr>
              <w:t>Referenční cíl reprezentuje žádoucí trend v oblasti ochrany půdy – prevence záborů, umisťování zastavitelných ploch vůči třídám ochrany a organizaci půdního fondu (střety se ZPF/PUPFL – rozsah a dopady do produkčních a ekologických vlastností půdy).</w:t>
            </w:r>
          </w:p>
          <w:p w14:paraId="1B262D3B" w14:textId="77777777" w:rsidR="00DF5D27" w:rsidRPr="00111F34" w:rsidRDefault="00DF5D27" w:rsidP="00B34C98">
            <w:pPr>
              <w:spacing w:before="40" w:after="40"/>
              <w:jc w:val="left"/>
              <w:rPr>
                <w:rFonts w:cs="Arial"/>
                <w:sz w:val="18"/>
                <w:szCs w:val="18"/>
              </w:rPr>
            </w:pPr>
          </w:p>
          <w:p w14:paraId="22A1EF60" w14:textId="77777777" w:rsidR="00DF5D27" w:rsidRPr="00111F34" w:rsidRDefault="00DF5D27" w:rsidP="00B34C98">
            <w:pPr>
              <w:spacing w:before="40" w:after="40"/>
              <w:jc w:val="left"/>
              <w:rPr>
                <w:rFonts w:cs="Arial"/>
                <w:sz w:val="18"/>
                <w:szCs w:val="18"/>
              </w:rPr>
            </w:pPr>
            <w:r w:rsidRPr="00111F34">
              <w:rPr>
                <w:rFonts w:cs="Arial"/>
                <w:sz w:val="18"/>
                <w:szCs w:val="18"/>
              </w:rPr>
              <w:t xml:space="preserve">Referenční cíl byl stanoven na základě analýzy stavu, problémů a vývojových trendů sledovaných témat udržitelného rozvoje a cílů v oblasti ochrany životního prostředí a udržitelného rozvoje přijatých následujícími strategickými dokumenty na vnitrostátní úrovni: </w:t>
            </w:r>
          </w:p>
          <w:p w14:paraId="3968FF88" w14:textId="77777777" w:rsidR="00DF5D27" w:rsidRPr="00111F34" w:rsidRDefault="00DF5D27" w:rsidP="00B34C98">
            <w:pPr>
              <w:spacing w:before="40" w:after="40"/>
              <w:jc w:val="left"/>
              <w:rPr>
                <w:rFonts w:cs="Arial"/>
                <w:sz w:val="18"/>
                <w:szCs w:val="18"/>
              </w:rPr>
            </w:pPr>
            <w:r w:rsidRPr="00111F34">
              <w:rPr>
                <w:rFonts w:cs="Arial"/>
                <w:sz w:val="18"/>
                <w:szCs w:val="18"/>
              </w:rPr>
              <w:t>NEHAP, NAS, SPŽP.</w:t>
            </w:r>
          </w:p>
        </w:tc>
        <w:tc>
          <w:tcPr>
            <w:tcW w:w="1994" w:type="pct"/>
            <w:shd w:val="clear" w:color="auto" w:fill="auto"/>
          </w:tcPr>
          <w:p w14:paraId="0C1FCD17" w14:textId="77777777" w:rsidR="00DF5D27" w:rsidRPr="00111F34" w:rsidRDefault="00DF5D27" w:rsidP="00B34C98">
            <w:pPr>
              <w:spacing w:before="40" w:after="40"/>
              <w:jc w:val="left"/>
              <w:rPr>
                <w:rFonts w:cs="Arial"/>
                <w:sz w:val="18"/>
                <w:szCs w:val="18"/>
              </w:rPr>
            </w:pPr>
            <w:r w:rsidRPr="00111F34">
              <w:rPr>
                <w:rFonts w:cs="Arial"/>
                <w:sz w:val="18"/>
                <w:szCs w:val="18"/>
              </w:rPr>
              <w:t>+2 revitalizace devastovaných ploch a ploch po těžbě na ZPF nebo PUPFL nad cca 2 ha</w:t>
            </w:r>
          </w:p>
          <w:p w14:paraId="3B0BA62D" w14:textId="77777777" w:rsidR="00DF5D27" w:rsidRPr="00111F34" w:rsidRDefault="00DF5D27" w:rsidP="00B34C98">
            <w:pPr>
              <w:spacing w:before="40" w:after="40"/>
              <w:jc w:val="left"/>
              <w:rPr>
                <w:rFonts w:cs="Arial"/>
                <w:sz w:val="18"/>
                <w:szCs w:val="18"/>
              </w:rPr>
            </w:pPr>
            <w:r w:rsidRPr="00111F34">
              <w:rPr>
                <w:rFonts w:cs="Arial"/>
                <w:sz w:val="18"/>
                <w:szCs w:val="18"/>
              </w:rPr>
              <w:t>+1 revitalizace devastovaných ploch a ploch po těžbě na ZPF nebo PUPFL do cca 2 ha</w:t>
            </w:r>
          </w:p>
          <w:p w14:paraId="48F2D660" w14:textId="77777777" w:rsidR="00DF5D27" w:rsidRPr="00111F34" w:rsidRDefault="00DF5D27" w:rsidP="00B34C98">
            <w:pPr>
              <w:spacing w:before="40" w:after="40"/>
              <w:jc w:val="left"/>
              <w:rPr>
                <w:rFonts w:cs="Arial"/>
                <w:sz w:val="18"/>
                <w:szCs w:val="18"/>
              </w:rPr>
            </w:pPr>
            <w:r w:rsidRPr="00111F34">
              <w:rPr>
                <w:rFonts w:cs="Arial"/>
                <w:sz w:val="18"/>
                <w:szCs w:val="18"/>
              </w:rPr>
              <w:t>-1 úbytek ZPF/PUPFL do cca 5 ha včetně ploch kde dojde k dočasnému omezení produkčních schopností půdy (např. dočasné vynětí pro fotovoltaiku)</w:t>
            </w:r>
          </w:p>
          <w:p w14:paraId="27170C66" w14:textId="77777777" w:rsidR="00DF5D27" w:rsidRPr="00111F34" w:rsidRDefault="00DF5D27" w:rsidP="00B34C98">
            <w:pPr>
              <w:spacing w:before="40" w:after="40"/>
              <w:jc w:val="left"/>
              <w:rPr>
                <w:rFonts w:cs="Arial"/>
                <w:sz w:val="18"/>
                <w:szCs w:val="18"/>
              </w:rPr>
            </w:pPr>
            <w:r w:rsidRPr="00111F34">
              <w:rPr>
                <w:rFonts w:cs="Arial"/>
                <w:sz w:val="18"/>
                <w:szCs w:val="18"/>
              </w:rPr>
              <w:t>-2 úbytek ZPF/PUPFL nad cca 5 ha a úbytek ZPF/PUPFL v územích, kde je ho významný nedostatek, mimo proluky v zastavěném území</w:t>
            </w:r>
          </w:p>
        </w:tc>
      </w:tr>
      <w:tr w:rsidR="00DF5D27" w:rsidRPr="00111F34" w14:paraId="47AFA3F9" w14:textId="77777777" w:rsidTr="00B34C98">
        <w:trPr>
          <w:trHeight w:val="225"/>
          <w:jc w:val="center"/>
        </w:trPr>
        <w:tc>
          <w:tcPr>
            <w:tcW w:w="1012" w:type="pct"/>
            <w:shd w:val="clear" w:color="auto" w:fill="auto"/>
          </w:tcPr>
          <w:p w14:paraId="486B1FC1" w14:textId="77777777" w:rsidR="00DF5D27" w:rsidRPr="00111F34" w:rsidRDefault="00DF5D27" w:rsidP="00B34C98">
            <w:pPr>
              <w:spacing w:before="40" w:after="40"/>
              <w:jc w:val="left"/>
              <w:rPr>
                <w:rFonts w:cs="Arial"/>
                <w:sz w:val="18"/>
                <w:szCs w:val="18"/>
              </w:rPr>
            </w:pPr>
            <w:r w:rsidRPr="00111F34">
              <w:rPr>
                <w:rFonts w:cs="Arial"/>
                <w:sz w:val="18"/>
                <w:szCs w:val="18"/>
              </w:rPr>
              <w:t>3.2 chránit nerostné bohatství a předcházet geologickým rizikům</w:t>
            </w:r>
          </w:p>
        </w:tc>
        <w:tc>
          <w:tcPr>
            <w:tcW w:w="1994" w:type="pct"/>
            <w:shd w:val="clear" w:color="auto" w:fill="auto"/>
          </w:tcPr>
          <w:p w14:paraId="50AE0907" w14:textId="77777777" w:rsidR="00DF5D27" w:rsidRPr="00111F34" w:rsidRDefault="00DF5D27" w:rsidP="00B34C98">
            <w:pPr>
              <w:spacing w:before="40" w:after="40"/>
              <w:jc w:val="left"/>
              <w:rPr>
                <w:rFonts w:cs="Arial"/>
                <w:sz w:val="18"/>
                <w:szCs w:val="18"/>
              </w:rPr>
            </w:pPr>
            <w:r w:rsidRPr="00111F34">
              <w:rPr>
                <w:rFonts w:cs="Arial"/>
                <w:sz w:val="18"/>
                <w:szCs w:val="18"/>
              </w:rPr>
              <w:t>Referenční cíl reprezentuje ochranu hodnot horninového prostředí – střety s CHLÚ, dobývacím územím, poddolovaným územím, sesuvným územím, starými ekologickými zátěžemi.</w:t>
            </w:r>
          </w:p>
          <w:p w14:paraId="3F9D2A2F" w14:textId="77777777" w:rsidR="00DF5D27" w:rsidRPr="00111F34" w:rsidRDefault="00DF5D27" w:rsidP="00B34C98">
            <w:pPr>
              <w:spacing w:before="40" w:after="40"/>
              <w:jc w:val="left"/>
              <w:rPr>
                <w:rFonts w:cs="Arial"/>
                <w:sz w:val="18"/>
                <w:szCs w:val="18"/>
              </w:rPr>
            </w:pPr>
          </w:p>
          <w:p w14:paraId="0B682259" w14:textId="77777777" w:rsidR="00DF5D27" w:rsidRPr="00111F34" w:rsidRDefault="00DF5D27" w:rsidP="00B34C98">
            <w:pPr>
              <w:spacing w:before="40" w:after="40"/>
              <w:jc w:val="left"/>
              <w:rPr>
                <w:rFonts w:cs="Arial"/>
                <w:sz w:val="18"/>
                <w:szCs w:val="18"/>
              </w:rPr>
            </w:pPr>
            <w:r w:rsidRPr="00111F34">
              <w:rPr>
                <w:rFonts w:cs="Arial"/>
                <w:sz w:val="18"/>
                <w:szCs w:val="18"/>
              </w:rPr>
              <w:lastRenderedPageBreak/>
              <w:t xml:space="preserve">Referenční cíl byl stanoven na základě analýzy stavu, problémů a vývojových trendů sledovaných témat udržitelného rozvoje a cílů v oblasti ochrany životního prostředí a udržitelného rozvoje přijatých následujícími strategickými dokumenty na vnitrostátní úrovni: </w:t>
            </w:r>
          </w:p>
          <w:p w14:paraId="34FA5892" w14:textId="77777777" w:rsidR="00DF5D27" w:rsidRPr="00111F34" w:rsidRDefault="00DF5D27" w:rsidP="00B34C98">
            <w:pPr>
              <w:spacing w:before="40" w:after="40"/>
              <w:jc w:val="left"/>
              <w:rPr>
                <w:rFonts w:cs="Arial"/>
                <w:sz w:val="18"/>
                <w:szCs w:val="18"/>
              </w:rPr>
            </w:pPr>
            <w:r w:rsidRPr="00111F34">
              <w:rPr>
                <w:rFonts w:cs="Arial"/>
                <w:sz w:val="18"/>
                <w:szCs w:val="18"/>
              </w:rPr>
              <w:t>PÚR, SPŽP, ZÚR HMP.</w:t>
            </w:r>
          </w:p>
        </w:tc>
        <w:tc>
          <w:tcPr>
            <w:tcW w:w="1994" w:type="pct"/>
            <w:shd w:val="clear" w:color="auto" w:fill="auto"/>
          </w:tcPr>
          <w:p w14:paraId="0324A146" w14:textId="77777777" w:rsidR="00DF5D27" w:rsidRPr="00111F34" w:rsidRDefault="00DF5D27" w:rsidP="00B34C98">
            <w:pPr>
              <w:spacing w:before="40" w:after="40"/>
              <w:jc w:val="left"/>
              <w:rPr>
                <w:rFonts w:cs="Arial"/>
                <w:sz w:val="18"/>
                <w:szCs w:val="18"/>
              </w:rPr>
            </w:pPr>
            <w:r w:rsidRPr="00111F34">
              <w:rPr>
                <w:rFonts w:cs="Arial"/>
                <w:sz w:val="18"/>
                <w:szCs w:val="18"/>
              </w:rPr>
              <w:lastRenderedPageBreak/>
              <w:t xml:space="preserve">+2 vymezení ochranných režimů jako nezastavitelných území s lokálním a regionálním dopadem </w:t>
            </w:r>
          </w:p>
          <w:p w14:paraId="2F4BB1CE" w14:textId="77777777" w:rsidR="00DF5D27" w:rsidRPr="00111F34" w:rsidRDefault="00DF5D27" w:rsidP="00B34C98">
            <w:pPr>
              <w:spacing w:before="40" w:after="40"/>
              <w:jc w:val="left"/>
              <w:rPr>
                <w:rFonts w:cs="Arial"/>
                <w:sz w:val="18"/>
                <w:szCs w:val="18"/>
              </w:rPr>
            </w:pPr>
            <w:r w:rsidRPr="00111F34">
              <w:rPr>
                <w:rFonts w:cs="Arial"/>
                <w:sz w:val="18"/>
                <w:szCs w:val="18"/>
              </w:rPr>
              <w:t>+1 vymezení ochranných režimů jako nezastavitelných území s místním dopadem</w:t>
            </w:r>
          </w:p>
          <w:p w14:paraId="05F0E83C" w14:textId="77777777" w:rsidR="00DF5D27" w:rsidRPr="00111F34" w:rsidRDefault="00DF5D27" w:rsidP="00B34C98">
            <w:pPr>
              <w:spacing w:before="40" w:after="40"/>
              <w:jc w:val="left"/>
              <w:rPr>
                <w:rFonts w:cs="Arial"/>
                <w:sz w:val="18"/>
                <w:szCs w:val="18"/>
              </w:rPr>
            </w:pPr>
            <w:r w:rsidRPr="00111F34">
              <w:rPr>
                <w:rFonts w:cs="Arial"/>
                <w:sz w:val="18"/>
                <w:szCs w:val="18"/>
              </w:rPr>
              <w:t xml:space="preserve">-1 střet s ochrannými režimy horninového prostředí s možností kompenzace (např. </w:t>
            </w:r>
            <w:r w:rsidRPr="00111F34">
              <w:rPr>
                <w:rFonts w:cs="Arial"/>
                <w:sz w:val="18"/>
                <w:szCs w:val="18"/>
              </w:rPr>
              <w:lastRenderedPageBreak/>
              <w:t>zastavitelnost až po rekultivaci DP, sanaci starých ekologických zátěží, stabilizaci sesuvných území, technického řešení založení objektů)</w:t>
            </w:r>
          </w:p>
          <w:p w14:paraId="0609F95A" w14:textId="77777777" w:rsidR="00DF5D27" w:rsidRPr="00111F34" w:rsidRDefault="00DF5D27" w:rsidP="00B34C98">
            <w:pPr>
              <w:spacing w:before="40" w:after="40"/>
              <w:jc w:val="left"/>
              <w:rPr>
                <w:rFonts w:cs="Arial"/>
                <w:sz w:val="18"/>
                <w:szCs w:val="18"/>
              </w:rPr>
            </w:pPr>
            <w:r w:rsidRPr="00111F34">
              <w:rPr>
                <w:rFonts w:cs="Arial"/>
                <w:sz w:val="18"/>
                <w:szCs w:val="18"/>
              </w:rPr>
              <w:t xml:space="preserve">-2 střet s ochrannými režimy horninového prostředí bez možnosti kompenzace </w:t>
            </w:r>
          </w:p>
        </w:tc>
      </w:tr>
      <w:tr w:rsidR="00DF5D27" w:rsidRPr="00111F34" w14:paraId="58C780C4" w14:textId="77777777" w:rsidTr="00B34C98">
        <w:trPr>
          <w:trHeight w:val="450"/>
          <w:jc w:val="center"/>
        </w:trPr>
        <w:tc>
          <w:tcPr>
            <w:tcW w:w="1012" w:type="pct"/>
            <w:shd w:val="clear" w:color="auto" w:fill="auto"/>
          </w:tcPr>
          <w:p w14:paraId="38325CBA" w14:textId="77777777" w:rsidR="00DF5D27" w:rsidRPr="00111F34" w:rsidRDefault="00DF5D27" w:rsidP="00B34C98">
            <w:pPr>
              <w:spacing w:before="40" w:after="40"/>
              <w:jc w:val="left"/>
              <w:rPr>
                <w:rFonts w:cs="Arial"/>
                <w:sz w:val="18"/>
                <w:szCs w:val="18"/>
              </w:rPr>
            </w:pPr>
            <w:r w:rsidRPr="00111F34">
              <w:rPr>
                <w:rFonts w:cs="Arial"/>
                <w:sz w:val="18"/>
                <w:szCs w:val="18"/>
              </w:rPr>
              <w:t>4.1 posilovat retenční funkci krajiny a zlepšovat ekol. funkce vodních útvarů podzemních i povrchových vod</w:t>
            </w:r>
          </w:p>
        </w:tc>
        <w:tc>
          <w:tcPr>
            <w:tcW w:w="1994" w:type="pct"/>
            <w:shd w:val="clear" w:color="auto" w:fill="auto"/>
          </w:tcPr>
          <w:p w14:paraId="7F1C1A2B" w14:textId="77777777" w:rsidR="00DF5D27" w:rsidRPr="00111F34" w:rsidRDefault="00DF5D27" w:rsidP="00B34C98">
            <w:pPr>
              <w:spacing w:before="40" w:after="40"/>
              <w:jc w:val="left"/>
              <w:rPr>
                <w:rFonts w:cs="Arial"/>
                <w:sz w:val="18"/>
                <w:szCs w:val="18"/>
              </w:rPr>
            </w:pPr>
            <w:r w:rsidRPr="00111F34">
              <w:rPr>
                <w:rFonts w:cs="Arial"/>
                <w:sz w:val="18"/>
                <w:szCs w:val="18"/>
              </w:rPr>
              <w:t>Referenční cíl reprezentuje žádoucí trend v oblasti ochrany hydrologických charakteristik území – zachování retenční schopnosti území, proti zvyšování podílu zastavěného území, střety s vodními útvary povrchových vod, potenciál ohrožení vodních útvarů podzemních vod, střety se záplavovým územím.</w:t>
            </w:r>
          </w:p>
          <w:p w14:paraId="7424D236" w14:textId="77777777" w:rsidR="00DF5D27" w:rsidRPr="00111F34" w:rsidRDefault="00DF5D27" w:rsidP="00B34C98">
            <w:pPr>
              <w:spacing w:before="40" w:after="40"/>
              <w:jc w:val="left"/>
              <w:rPr>
                <w:rFonts w:cs="Arial"/>
                <w:sz w:val="18"/>
                <w:szCs w:val="18"/>
              </w:rPr>
            </w:pPr>
          </w:p>
          <w:p w14:paraId="43A165B7" w14:textId="77777777" w:rsidR="00DF5D27" w:rsidRPr="00111F34" w:rsidRDefault="00DF5D27" w:rsidP="00B34C98">
            <w:pPr>
              <w:spacing w:before="40" w:after="40"/>
              <w:jc w:val="left"/>
              <w:rPr>
                <w:rFonts w:cs="Arial"/>
                <w:sz w:val="18"/>
                <w:szCs w:val="18"/>
              </w:rPr>
            </w:pPr>
            <w:r w:rsidRPr="00111F34">
              <w:rPr>
                <w:rFonts w:cs="Arial"/>
                <w:sz w:val="18"/>
                <w:szCs w:val="18"/>
              </w:rPr>
              <w:t xml:space="preserve">Referenční cíl byl stanoven na základě analýzy stavu, problémů a vývojových trendů sledovaných témat udržitelného rozvoje a cílů v oblasti ochrany životního prostředí a udržitelného rozvoje přijatých následujícími strategickými dokumenty na vnitrostátní úrovni: </w:t>
            </w:r>
          </w:p>
          <w:p w14:paraId="21C80050" w14:textId="77777777" w:rsidR="00DF5D27" w:rsidRPr="00111F34" w:rsidRDefault="00DF5D27" w:rsidP="00B34C98">
            <w:pPr>
              <w:spacing w:before="40" w:after="40"/>
              <w:jc w:val="left"/>
              <w:rPr>
                <w:rFonts w:cs="Arial"/>
                <w:sz w:val="18"/>
                <w:szCs w:val="18"/>
              </w:rPr>
            </w:pPr>
            <w:r w:rsidRPr="00111F34">
              <w:rPr>
                <w:rFonts w:cs="Arial"/>
                <w:sz w:val="18"/>
                <w:szCs w:val="18"/>
              </w:rPr>
              <w:t>PÚR ČR, SPŽP, Zdraví 2030.</w:t>
            </w:r>
          </w:p>
        </w:tc>
        <w:tc>
          <w:tcPr>
            <w:tcW w:w="1994" w:type="pct"/>
            <w:shd w:val="clear" w:color="auto" w:fill="auto"/>
          </w:tcPr>
          <w:p w14:paraId="10C0C6F2" w14:textId="77777777" w:rsidR="00DF5D27" w:rsidRPr="00111F34" w:rsidRDefault="00DF5D27" w:rsidP="00B34C98">
            <w:pPr>
              <w:spacing w:before="40" w:after="40"/>
              <w:jc w:val="left"/>
              <w:rPr>
                <w:rFonts w:cs="Arial"/>
                <w:sz w:val="18"/>
                <w:szCs w:val="18"/>
              </w:rPr>
            </w:pPr>
            <w:r w:rsidRPr="00111F34">
              <w:rPr>
                <w:rFonts w:cs="Arial"/>
                <w:sz w:val="18"/>
                <w:szCs w:val="18"/>
              </w:rPr>
              <w:t>+2 rekultivace vodních toků, zvýšení retenční schopnosti území s nadmístním významem, vymezení ochranných režimů s nadmístním významem</w:t>
            </w:r>
          </w:p>
          <w:p w14:paraId="4E9CE923" w14:textId="77777777" w:rsidR="00DF5D27" w:rsidRPr="00111F34" w:rsidRDefault="00DF5D27" w:rsidP="00B34C98">
            <w:pPr>
              <w:spacing w:before="40" w:after="40"/>
              <w:jc w:val="left"/>
              <w:rPr>
                <w:rFonts w:cs="Arial"/>
                <w:sz w:val="18"/>
                <w:szCs w:val="18"/>
              </w:rPr>
            </w:pPr>
            <w:r w:rsidRPr="00111F34">
              <w:rPr>
                <w:rFonts w:cs="Arial"/>
                <w:sz w:val="18"/>
                <w:szCs w:val="18"/>
              </w:rPr>
              <w:t>+1 rekultivace vodních toků, zvýšení retenční schopnosti území s místním významem, vymezení ochranných režimů s místním významem</w:t>
            </w:r>
          </w:p>
          <w:p w14:paraId="74A8B888" w14:textId="77777777" w:rsidR="00DF5D27" w:rsidRPr="00111F34" w:rsidRDefault="00DF5D27" w:rsidP="00B34C98">
            <w:pPr>
              <w:spacing w:before="40" w:after="40"/>
              <w:jc w:val="left"/>
              <w:rPr>
                <w:rFonts w:cs="Arial"/>
                <w:sz w:val="18"/>
                <w:szCs w:val="18"/>
              </w:rPr>
            </w:pPr>
            <w:r w:rsidRPr="00111F34">
              <w:rPr>
                <w:rFonts w:cs="Arial"/>
                <w:sz w:val="18"/>
                <w:szCs w:val="18"/>
              </w:rPr>
              <w:t>-1 snížení retenční schopnosti území (nárůst zastavěného území ve smyslu nepropustných</w:t>
            </w:r>
            <w:r w:rsidRPr="00111F34">
              <w:rPr>
                <w:rStyle w:val="Znakapoznpodarou"/>
                <w:rFonts w:cs="Arial"/>
                <w:szCs w:val="18"/>
              </w:rPr>
              <w:footnoteReference w:id="5"/>
            </w:r>
            <w:r w:rsidRPr="00111F34">
              <w:rPr>
                <w:rFonts w:cs="Arial"/>
                <w:sz w:val="18"/>
                <w:szCs w:val="18"/>
              </w:rPr>
              <w:t xml:space="preserve"> ploch na úkor volného terénu v rozsahu do cca 5 ha) / vymezení zastavitelných ploch v záplavovém území s možností kompenzačních opatření (bez výstavby nadzemních staveb, podmíněných realizací PPO, zachování rozlivových možností a průchodu povodňových vod) </w:t>
            </w:r>
          </w:p>
          <w:p w14:paraId="07BC2AED" w14:textId="77777777" w:rsidR="00DF5D27" w:rsidRPr="00111F34" w:rsidRDefault="00DF5D27" w:rsidP="00B34C98">
            <w:pPr>
              <w:spacing w:before="40" w:after="40"/>
              <w:jc w:val="left"/>
              <w:rPr>
                <w:rFonts w:cs="Arial"/>
                <w:sz w:val="18"/>
                <w:szCs w:val="18"/>
              </w:rPr>
            </w:pPr>
            <w:r w:rsidRPr="00111F34">
              <w:rPr>
                <w:rFonts w:cs="Arial"/>
                <w:sz w:val="18"/>
                <w:szCs w:val="18"/>
              </w:rPr>
              <w:t>-2 snížení retenční schopnosti území (nárůst zastavěného území ve smyslu nepropustných ploch na úkor volného terénu v rozsahu nad cca 5 ha) / vymezení zastavitelných ploch v záplavovém území bez kompenzačních opatření</w:t>
            </w:r>
          </w:p>
        </w:tc>
      </w:tr>
      <w:tr w:rsidR="00DF5D27" w:rsidRPr="00111F34" w14:paraId="6173BEA4" w14:textId="77777777" w:rsidTr="00B34C98">
        <w:trPr>
          <w:trHeight w:val="450"/>
          <w:jc w:val="center"/>
        </w:trPr>
        <w:tc>
          <w:tcPr>
            <w:tcW w:w="1012" w:type="pct"/>
            <w:shd w:val="clear" w:color="auto" w:fill="auto"/>
          </w:tcPr>
          <w:p w14:paraId="78A3C1A8" w14:textId="77777777" w:rsidR="00DF5D27" w:rsidRPr="00111F34" w:rsidRDefault="00DF5D27" w:rsidP="00B34C98">
            <w:pPr>
              <w:spacing w:before="40" w:after="40"/>
              <w:jc w:val="left"/>
              <w:rPr>
                <w:rFonts w:cs="Arial"/>
                <w:sz w:val="18"/>
                <w:szCs w:val="18"/>
              </w:rPr>
            </w:pPr>
            <w:r w:rsidRPr="00111F34">
              <w:rPr>
                <w:rFonts w:cs="Arial"/>
                <w:sz w:val="18"/>
                <w:szCs w:val="18"/>
              </w:rPr>
              <w:t>5.1 snižovat znečištění ovzduší s důrazem na NOx, B(a)P a PM10</w:t>
            </w:r>
          </w:p>
        </w:tc>
        <w:tc>
          <w:tcPr>
            <w:tcW w:w="1994" w:type="pct"/>
            <w:shd w:val="clear" w:color="auto" w:fill="auto"/>
          </w:tcPr>
          <w:p w14:paraId="3D493DCC" w14:textId="77777777" w:rsidR="00DF5D27" w:rsidRPr="00111F34" w:rsidRDefault="00DF5D27" w:rsidP="00B34C98">
            <w:pPr>
              <w:spacing w:before="40" w:after="40"/>
              <w:jc w:val="left"/>
              <w:rPr>
                <w:rFonts w:cs="Arial"/>
                <w:sz w:val="18"/>
                <w:szCs w:val="18"/>
              </w:rPr>
            </w:pPr>
            <w:r w:rsidRPr="00111F34">
              <w:rPr>
                <w:rFonts w:cs="Arial"/>
                <w:sz w:val="18"/>
                <w:szCs w:val="18"/>
              </w:rPr>
              <w:t>Referenční cíl reprezentuje žádoucí trend v oblasti ochrany ovzduší vzhledem k charakteristikám stávajícího stavu a vývojových trendů sledovaných znečišťujících látek (PM</w:t>
            </w:r>
            <w:r w:rsidRPr="00111F34">
              <w:rPr>
                <w:rFonts w:cs="Arial"/>
                <w:sz w:val="18"/>
                <w:szCs w:val="18"/>
                <w:vertAlign w:val="subscript"/>
              </w:rPr>
              <w:t>10</w:t>
            </w:r>
            <w:r w:rsidRPr="00111F34">
              <w:rPr>
                <w:rFonts w:cs="Arial"/>
                <w:sz w:val="18"/>
                <w:szCs w:val="18"/>
              </w:rPr>
              <w:t>, NO</w:t>
            </w:r>
            <w:r w:rsidRPr="00111F34">
              <w:rPr>
                <w:rFonts w:cs="Arial"/>
                <w:sz w:val="18"/>
                <w:szCs w:val="18"/>
                <w:vertAlign w:val="subscript"/>
              </w:rPr>
              <w:t>2</w:t>
            </w:r>
            <w:r w:rsidRPr="00111F34">
              <w:rPr>
                <w:rFonts w:cs="Arial"/>
                <w:sz w:val="18"/>
                <w:szCs w:val="18"/>
              </w:rPr>
              <w:t>, Benzen, B (a)P) a navrhovanému využití území včetně vyvolané dopravy.</w:t>
            </w:r>
          </w:p>
          <w:p w14:paraId="3DD48703" w14:textId="77777777" w:rsidR="00DF5D27" w:rsidRPr="00111F34" w:rsidRDefault="00DF5D27" w:rsidP="00B34C98">
            <w:pPr>
              <w:spacing w:before="40" w:after="40"/>
              <w:jc w:val="left"/>
              <w:rPr>
                <w:rFonts w:cs="Arial"/>
                <w:sz w:val="18"/>
                <w:szCs w:val="18"/>
              </w:rPr>
            </w:pPr>
          </w:p>
          <w:p w14:paraId="1D4C5802" w14:textId="77777777" w:rsidR="00DF5D27" w:rsidRPr="00111F34" w:rsidRDefault="00DF5D27" w:rsidP="00B34C98">
            <w:pPr>
              <w:spacing w:before="40" w:after="40"/>
              <w:jc w:val="left"/>
              <w:rPr>
                <w:rFonts w:cs="Arial"/>
                <w:sz w:val="18"/>
                <w:szCs w:val="18"/>
              </w:rPr>
            </w:pPr>
            <w:r w:rsidRPr="00111F34">
              <w:rPr>
                <w:rFonts w:cs="Arial"/>
                <w:sz w:val="18"/>
                <w:szCs w:val="18"/>
              </w:rPr>
              <w:t xml:space="preserve">Referenční cíl byl stanoven na základě analýzy stavu, problémů a vývojových trendů sledovaných témat udržitelného rozvoje a cílů v oblasti ochrany životního prostředí a udržitelného rozvoje přijatých následujícími strategickými dokumenty na vnitrostátní úrovni: </w:t>
            </w:r>
          </w:p>
          <w:p w14:paraId="14D8F702" w14:textId="77777777" w:rsidR="00DF5D27" w:rsidRPr="00111F34" w:rsidRDefault="00DF5D27" w:rsidP="00B34C98">
            <w:pPr>
              <w:spacing w:before="40" w:after="40"/>
              <w:jc w:val="left"/>
              <w:rPr>
                <w:rFonts w:cs="Arial"/>
                <w:sz w:val="18"/>
                <w:szCs w:val="18"/>
              </w:rPr>
            </w:pPr>
            <w:r w:rsidRPr="00111F34">
              <w:rPr>
                <w:rFonts w:cs="Arial"/>
                <w:sz w:val="18"/>
                <w:szCs w:val="18"/>
              </w:rPr>
              <w:t>ČR 2030, SPŽP, NEHAP, Plán udržitelné mobility Prahy a okolí.</w:t>
            </w:r>
          </w:p>
        </w:tc>
        <w:tc>
          <w:tcPr>
            <w:tcW w:w="1994" w:type="pct"/>
            <w:shd w:val="clear" w:color="auto" w:fill="auto"/>
          </w:tcPr>
          <w:p w14:paraId="6288B6A1" w14:textId="77777777" w:rsidR="00DF5D27" w:rsidRPr="00111F34" w:rsidRDefault="00DF5D27" w:rsidP="00B34C98">
            <w:pPr>
              <w:spacing w:before="40" w:after="40"/>
              <w:jc w:val="left"/>
              <w:rPr>
                <w:rFonts w:cs="Arial"/>
                <w:sz w:val="18"/>
                <w:szCs w:val="18"/>
              </w:rPr>
            </w:pPr>
            <w:r w:rsidRPr="00111F34">
              <w:rPr>
                <w:rFonts w:cs="Arial"/>
                <w:sz w:val="18"/>
                <w:szCs w:val="18"/>
              </w:rPr>
              <w:t>+2 vymezení ploch a koridorů s potenciálem snížení znečištění ovzduší (koridory pro bezemisní dopravu, plochy izolační zeleně, obchvaty) s nadmístním významem s funkčním vztahem k rezidenčním územím</w:t>
            </w:r>
          </w:p>
          <w:p w14:paraId="31D33374" w14:textId="77777777" w:rsidR="00DF5D27" w:rsidRPr="00111F34" w:rsidRDefault="00DF5D27" w:rsidP="00B34C98">
            <w:pPr>
              <w:spacing w:before="40" w:after="40"/>
              <w:jc w:val="left"/>
              <w:rPr>
                <w:rFonts w:cs="Arial"/>
                <w:sz w:val="18"/>
                <w:szCs w:val="18"/>
              </w:rPr>
            </w:pPr>
            <w:r w:rsidRPr="00111F34">
              <w:rPr>
                <w:rFonts w:cs="Arial"/>
                <w:sz w:val="18"/>
                <w:szCs w:val="18"/>
              </w:rPr>
              <w:t>+1 vymezení ploch a koridorů s potenciálem snížení znečištění ovzduší (koridory pro bezemisní dopravu, plochy izolační zeleně, obchvaty) s místním významem s funkčním vztahem k rezidenčním územím</w:t>
            </w:r>
          </w:p>
          <w:p w14:paraId="0E69B160" w14:textId="77777777" w:rsidR="00DF5D27" w:rsidRPr="00111F34" w:rsidRDefault="00DF5D27" w:rsidP="00B34C98">
            <w:pPr>
              <w:spacing w:before="40" w:after="40"/>
              <w:jc w:val="left"/>
              <w:rPr>
                <w:rFonts w:cs="Arial"/>
                <w:sz w:val="18"/>
                <w:szCs w:val="18"/>
              </w:rPr>
            </w:pPr>
            <w:r w:rsidRPr="00111F34">
              <w:rPr>
                <w:rFonts w:cs="Arial"/>
                <w:sz w:val="18"/>
                <w:szCs w:val="18"/>
              </w:rPr>
              <w:t>-1 umístění zdrojů znečištění ovzduší a vyvolané dopravy (plochy lehkého průmyslu, komerce a logistiky do cca 5 ha) s funkčním vztahem k rezidenčním územím</w:t>
            </w:r>
          </w:p>
          <w:p w14:paraId="07C66740" w14:textId="77777777" w:rsidR="00DF5D27" w:rsidRPr="00111F34" w:rsidRDefault="00DF5D27" w:rsidP="00B34C98">
            <w:pPr>
              <w:spacing w:before="40" w:after="40"/>
              <w:jc w:val="left"/>
              <w:rPr>
                <w:rFonts w:cs="Arial"/>
                <w:sz w:val="18"/>
                <w:szCs w:val="18"/>
              </w:rPr>
            </w:pPr>
            <w:r w:rsidRPr="00111F34">
              <w:rPr>
                <w:rFonts w:cs="Arial"/>
                <w:sz w:val="18"/>
                <w:szCs w:val="18"/>
              </w:rPr>
              <w:t>-2 umístění zdrojů znečištění ovzduší a vyvolané dopravy (plochy těžkého průmyslu, energetiky a povrchové těžby a plochy lehkého průmyslu, komerce a logistiky nad 5 ha) s funkčním vztahem k rezidenčním územím</w:t>
            </w:r>
          </w:p>
        </w:tc>
      </w:tr>
      <w:tr w:rsidR="00DF5D27" w:rsidRPr="00111F34" w14:paraId="3FE6C1DB" w14:textId="77777777" w:rsidTr="00B34C98">
        <w:trPr>
          <w:trHeight w:val="231"/>
          <w:jc w:val="center"/>
        </w:trPr>
        <w:tc>
          <w:tcPr>
            <w:tcW w:w="1012" w:type="pct"/>
            <w:shd w:val="clear" w:color="auto" w:fill="auto"/>
          </w:tcPr>
          <w:p w14:paraId="306582DB" w14:textId="77777777" w:rsidR="00DF5D27" w:rsidRPr="00111F34" w:rsidRDefault="00DF5D27" w:rsidP="00B34C98">
            <w:pPr>
              <w:spacing w:before="40" w:after="40"/>
              <w:jc w:val="left"/>
              <w:rPr>
                <w:rFonts w:cs="Arial"/>
                <w:sz w:val="18"/>
                <w:szCs w:val="18"/>
              </w:rPr>
            </w:pPr>
            <w:r w:rsidRPr="00111F34">
              <w:rPr>
                <w:rFonts w:cs="Arial"/>
                <w:sz w:val="18"/>
                <w:szCs w:val="18"/>
              </w:rPr>
              <w:t>5.2 pomocí územně plánovacích opatření snižovat působení tepelného ostrova města</w:t>
            </w:r>
          </w:p>
        </w:tc>
        <w:tc>
          <w:tcPr>
            <w:tcW w:w="1994" w:type="pct"/>
            <w:shd w:val="clear" w:color="auto" w:fill="auto"/>
          </w:tcPr>
          <w:p w14:paraId="4159C6E7" w14:textId="77777777" w:rsidR="00DF5D27" w:rsidRPr="00111F34" w:rsidRDefault="00DF5D27" w:rsidP="00B34C98">
            <w:pPr>
              <w:spacing w:before="40" w:after="40"/>
              <w:jc w:val="left"/>
              <w:rPr>
                <w:rFonts w:cs="Arial"/>
                <w:sz w:val="18"/>
                <w:szCs w:val="18"/>
              </w:rPr>
            </w:pPr>
            <w:r w:rsidRPr="00111F34">
              <w:rPr>
                <w:rFonts w:cs="Arial"/>
                <w:sz w:val="18"/>
                <w:szCs w:val="18"/>
              </w:rPr>
              <w:t>Referenční cíl reprezentuje žádoucí trend v oblasti prevence a adaptace na klimatickou změnu – zachování zeleně a zadržení vody v krajině nezvyšovat podíl zastavěného území, nezvyšovat odlesňování, nezvyšovat produkci CO</w:t>
            </w:r>
            <w:r w:rsidRPr="00111F34">
              <w:rPr>
                <w:rFonts w:cs="Arial"/>
                <w:sz w:val="18"/>
                <w:szCs w:val="18"/>
                <w:vertAlign w:val="subscript"/>
              </w:rPr>
              <w:t>2</w:t>
            </w:r>
            <w:r w:rsidRPr="00111F34">
              <w:rPr>
                <w:rFonts w:cs="Arial"/>
                <w:sz w:val="18"/>
                <w:szCs w:val="18"/>
              </w:rPr>
              <w:t xml:space="preserve"> – např. živočišná výroba, letecká doprava.</w:t>
            </w:r>
          </w:p>
          <w:p w14:paraId="2C30605D" w14:textId="77777777" w:rsidR="00DF5D27" w:rsidRPr="00111F34" w:rsidRDefault="00DF5D27" w:rsidP="00B34C98">
            <w:pPr>
              <w:spacing w:before="40" w:after="40"/>
              <w:jc w:val="left"/>
              <w:rPr>
                <w:rFonts w:cs="Arial"/>
                <w:sz w:val="18"/>
                <w:szCs w:val="18"/>
              </w:rPr>
            </w:pPr>
          </w:p>
          <w:p w14:paraId="56ED9E75" w14:textId="77777777" w:rsidR="00DF5D27" w:rsidRPr="00111F34" w:rsidRDefault="00DF5D27" w:rsidP="00B34C98">
            <w:pPr>
              <w:spacing w:before="40" w:after="40"/>
              <w:jc w:val="left"/>
              <w:rPr>
                <w:rFonts w:cs="Arial"/>
                <w:sz w:val="18"/>
                <w:szCs w:val="18"/>
              </w:rPr>
            </w:pPr>
            <w:r w:rsidRPr="00111F34">
              <w:rPr>
                <w:rFonts w:cs="Arial"/>
                <w:sz w:val="18"/>
                <w:szCs w:val="18"/>
              </w:rPr>
              <w:t xml:space="preserve">Referenční cíl byl stanoven na základě analýzy stavu, problémů a vývojových trendů sledovaných témat udržitelného rozvoje a cílů v oblasti ochrany životního prostředí a udržitelného rozvoje přijatých následujícími strategickými dokumenty na vnitrostátní úrovni: </w:t>
            </w:r>
          </w:p>
          <w:p w14:paraId="74E4E410" w14:textId="77777777" w:rsidR="00DF5D27" w:rsidRPr="00111F34" w:rsidRDefault="00DF5D27" w:rsidP="00B34C98">
            <w:pPr>
              <w:spacing w:before="40" w:after="40"/>
              <w:jc w:val="left"/>
              <w:rPr>
                <w:rFonts w:cs="Arial"/>
                <w:sz w:val="18"/>
                <w:szCs w:val="18"/>
              </w:rPr>
            </w:pPr>
            <w:r w:rsidRPr="00111F34">
              <w:rPr>
                <w:rFonts w:cs="Arial"/>
                <w:sz w:val="18"/>
                <w:szCs w:val="18"/>
              </w:rPr>
              <w:t xml:space="preserve">ČR 2030, SPŽP, </w:t>
            </w:r>
          </w:p>
        </w:tc>
        <w:tc>
          <w:tcPr>
            <w:tcW w:w="1994" w:type="pct"/>
            <w:shd w:val="clear" w:color="auto" w:fill="auto"/>
          </w:tcPr>
          <w:p w14:paraId="0C0E39CB" w14:textId="77777777" w:rsidR="00DF5D27" w:rsidRPr="00111F34" w:rsidRDefault="00DF5D27" w:rsidP="00B34C98">
            <w:pPr>
              <w:spacing w:before="40" w:after="40"/>
              <w:jc w:val="left"/>
              <w:rPr>
                <w:rFonts w:cs="Arial"/>
                <w:sz w:val="18"/>
                <w:szCs w:val="18"/>
              </w:rPr>
            </w:pPr>
            <w:r w:rsidRPr="00111F34">
              <w:rPr>
                <w:rFonts w:cs="Arial"/>
                <w:sz w:val="18"/>
                <w:szCs w:val="18"/>
              </w:rPr>
              <w:lastRenderedPageBreak/>
              <w:t>+ 2 zalesňování a zvyšování rozlohy mimolesní zeleně a vodních ploch v krajině nad cca 5 ha</w:t>
            </w:r>
          </w:p>
          <w:p w14:paraId="18CBDD84" w14:textId="77777777" w:rsidR="00DF5D27" w:rsidRPr="00111F34" w:rsidRDefault="00DF5D27" w:rsidP="00B34C98">
            <w:pPr>
              <w:spacing w:before="40" w:after="40"/>
              <w:jc w:val="left"/>
              <w:rPr>
                <w:rFonts w:cs="Arial"/>
                <w:sz w:val="18"/>
                <w:szCs w:val="18"/>
              </w:rPr>
            </w:pPr>
            <w:r w:rsidRPr="00111F34">
              <w:rPr>
                <w:rFonts w:cs="Arial"/>
                <w:sz w:val="18"/>
                <w:szCs w:val="18"/>
              </w:rPr>
              <w:t>+1 zalesňování a zvyšování rozlohy mimolesní zeleně a vodních ploch v krajině do cca 5 ha</w:t>
            </w:r>
          </w:p>
          <w:p w14:paraId="5FFDD057" w14:textId="77777777" w:rsidR="00DF5D27" w:rsidRPr="00111F34" w:rsidRDefault="00DF5D27" w:rsidP="00B34C98">
            <w:pPr>
              <w:spacing w:before="40" w:after="40"/>
              <w:jc w:val="left"/>
              <w:rPr>
                <w:rFonts w:cs="Arial"/>
                <w:sz w:val="18"/>
                <w:szCs w:val="18"/>
              </w:rPr>
            </w:pPr>
            <w:r w:rsidRPr="00111F34">
              <w:rPr>
                <w:rFonts w:cs="Arial"/>
                <w:sz w:val="18"/>
                <w:szCs w:val="18"/>
              </w:rPr>
              <w:lastRenderedPageBreak/>
              <w:t>-1 odlesňování, zvyšování rozlohy zastavěných ploch na úkor volné krajiny nebo zeleně a vymezení ploch intenzivní živočišné výroby a letecké dopravy do cca 5 ha</w:t>
            </w:r>
          </w:p>
          <w:p w14:paraId="272E8D12" w14:textId="77777777" w:rsidR="00DF5D27" w:rsidRPr="00111F34" w:rsidRDefault="00DF5D27" w:rsidP="00B34C98">
            <w:pPr>
              <w:spacing w:before="40" w:after="40"/>
              <w:jc w:val="left"/>
              <w:rPr>
                <w:rFonts w:cs="Arial"/>
                <w:sz w:val="18"/>
                <w:szCs w:val="18"/>
              </w:rPr>
            </w:pPr>
            <w:r w:rsidRPr="00111F34">
              <w:rPr>
                <w:rFonts w:cs="Arial"/>
                <w:sz w:val="18"/>
                <w:szCs w:val="18"/>
              </w:rPr>
              <w:t>-2 odlesňování, zvyšování rozlohy zastavěných ploch na úkor volné krajiny nebo zeleně a vymezení ploch intenzivní živočišné výroby a letecké dopravy nad cca 5 ha</w:t>
            </w:r>
          </w:p>
        </w:tc>
      </w:tr>
      <w:tr w:rsidR="00DF5D27" w:rsidRPr="00111F34" w14:paraId="7C689BBC" w14:textId="77777777" w:rsidTr="00B34C98">
        <w:trPr>
          <w:cantSplit/>
          <w:trHeight w:val="64"/>
          <w:jc w:val="center"/>
        </w:trPr>
        <w:tc>
          <w:tcPr>
            <w:tcW w:w="1012" w:type="pct"/>
            <w:shd w:val="clear" w:color="auto" w:fill="auto"/>
          </w:tcPr>
          <w:p w14:paraId="12A7D1FE" w14:textId="77777777" w:rsidR="00DF5D27" w:rsidRPr="00111F34" w:rsidRDefault="00DF5D27" w:rsidP="00B34C98">
            <w:pPr>
              <w:spacing w:before="40" w:after="40"/>
              <w:jc w:val="left"/>
              <w:rPr>
                <w:rFonts w:cs="Arial"/>
                <w:sz w:val="18"/>
                <w:szCs w:val="18"/>
              </w:rPr>
            </w:pPr>
            <w:r w:rsidRPr="00111F34">
              <w:rPr>
                <w:rFonts w:cs="Arial"/>
                <w:sz w:val="18"/>
                <w:szCs w:val="18"/>
              </w:rPr>
              <w:t>6.1 snižovat expozici hluku prostředky územního plánování</w:t>
            </w:r>
          </w:p>
        </w:tc>
        <w:tc>
          <w:tcPr>
            <w:tcW w:w="1994" w:type="pct"/>
            <w:shd w:val="clear" w:color="auto" w:fill="auto"/>
          </w:tcPr>
          <w:p w14:paraId="4B2FB22C" w14:textId="3176BFB5" w:rsidR="00DF5D27" w:rsidRPr="00111F34" w:rsidRDefault="00DF5D27" w:rsidP="00B34C98">
            <w:pPr>
              <w:spacing w:before="40" w:after="40"/>
              <w:jc w:val="left"/>
              <w:rPr>
                <w:rFonts w:cs="Arial"/>
                <w:sz w:val="18"/>
                <w:szCs w:val="18"/>
              </w:rPr>
            </w:pPr>
            <w:r w:rsidRPr="00111F34">
              <w:rPr>
                <w:rFonts w:cs="Arial"/>
                <w:sz w:val="18"/>
                <w:szCs w:val="18"/>
              </w:rPr>
              <w:t xml:space="preserve">Referenční cíl reprezentuje žádoucí trend v oblasti ochrany obyvatel před hlukem – vzhledem k charakteristikám stávající hlukové zátěže území a navrhovanému funkčnímu využití z hlediska ovlivnění navrhovaných </w:t>
            </w:r>
            <w:r w:rsidR="003577E4" w:rsidRPr="00111F34">
              <w:rPr>
                <w:rFonts w:cs="Arial"/>
                <w:sz w:val="18"/>
                <w:szCs w:val="18"/>
              </w:rPr>
              <w:t>ploch,</w:t>
            </w:r>
            <w:r w:rsidRPr="00111F34">
              <w:rPr>
                <w:rFonts w:cs="Arial"/>
                <w:sz w:val="18"/>
                <w:szCs w:val="18"/>
              </w:rPr>
              <w:t xml:space="preserve"> resp. ovlivnění stabilizovaných ploch s funkcí bydlení navrhovaným řešením.</w:t>
            </w:r>
          </w:p>
          <w:p w14:paraId="7FD324F6" w14:textId="77777777" w:rsidR="00DF5D27" w:rsidRPr="00111F34" w:rsidRDefault="00DF5D27" w:rsidP="00B34C98">
            <w:pPr>
              <w:spacing w:before="40" w:after="40"/>
              <w:jc w:val="left"/>
              <w:rPr>
                <w:rFonts w:cs="Arial"/>
                <w:sz w:val="18"/>
                <w:szCs w:val="18"/>
              </w:rPr>
            </w:pPr>
          </w:p>
          <w:p w14:paraId="623DEF8B" w14:textId="77777777" w:rsidR="00DF5D27" w:rsidRPr="00111F34" w:rsidRDefault="00DF5D27" w:rsidP="00B34C98">
            <w:pPr>
              <w:spacing w:before="40" w:after="40"/>
              <w:jc w:val="left"/>
              <w:rPr>
                <w:rFonts w:cs="Arial"/>
                <w:sz w:val="18"/>
                <w:szCs w:val="18"/>
              </w:rPr>
            </w:pPr>
            <w:r w:rsidRPr="00111F34">
              <w:rPr>
                <w:rFonts w:cs="Arial"/>
                <w:sz w:val="18"/>
                <w:szCs w:val="18"/>
              </w:rPr>
              <w:t xml:space="preserve">Referenční cíl byl stanoven na základě analýzy stavu, problémů a vývojových trendů sledovaných témat udržitelného rozvoje a cílů v oblasti ochrany životního prostředí a udržitelného rozvoje přijatých následujícími strategickými dokumenty na vnitrostátní úrovni: </w:t>
            </w:r>
          </w:p>
          <w:p w14:paraId="7D1BA333" w14:textId="77777777" w:rsidR="00DF5D27" w:rsidRPr="00111F34" w:rsidRDefault="00DF5D27" w:rsidP="00B34C98">
            <w:pPr>
              <w:spacing w:before="40" w:after="40"/>
              <w:jc w:val="left"/>
              <w:rPr>
                <w:rFonts w:cs="Arial"/>
                <w:sz w:val="18"/>
                <w:szCs w:val="18"/>
              </w:rPr>
            </w:pPr>
            <w:r w:rsidRPr="00111F34">
              <w:rPr>
                <w:rFonts w:cs="Arial"/>
                <w:sz w:val="18"/>
                <w:szCs w:val="18"/>
              </w:rPr>
              <w:t>NEHAP, ČR 2030, PÚR ČR, ZÚR HMP, Plán udržitelné mobility Prahy a okolí.</w:t>
            </w:r>
          </w:p>
        </w:tc>
        <w:tc>
          <w:tcPr>
            <w:tcW w:w="1994" w:type="pct"/>
            <w:shd w:val="clear" w:color="auto" w:fill="auto"/>
          </w:tcPr>
          <w:p w14:paraId="2850D776" w14:textId="77777777" w:rsidR="00DF5D27" w:rsidRPr="00111F34" w:rsidRDefault="00DF5D27" w:rsidP="00B34C98">
            <w:pPr>
              <w:spacing w:before="40" w:after="40"/>
              <w:jc w:val="left"/>
              <w:rPr>
                <w:rFonts w:cs="Arial"/>
                <w:sz w:val="18"/>
                <w:szCs w:val="18"/>
              </w:rPr>
            </w:pPr>
            <w:r w:rsidRPr="00111F34">
              <w:rPr>
                <w:rFonts w:cs="Arial"/>
                <w:sz w:val="18"/>
                <w:szCs w:val="18"/>
              </w:rPr>
              <w:t>+2 vymezení ploch a koridorů s potenciálem snížení hlukové zátěže (koridory pro bezmotorovou dopravu, plochy izolační zeleně, obchvaty) s nadmístním významem s funkčním vztahem k rezidenčním územím</w:t>
            </w:r>
          </w:p>
          <w:p w14:paraId="40668E21" w14:textId="77777777" w:rsidR="00DF5D27" w:rsidRPr="00111F34" w:rsidRDefault="00DF5D27" w:rsidP="00B34C98">
            <w:pPr>
              <w:spacing w:before="40" w:after="40"/>
              <w:jc w:val="left"/>
              <w:rPr>
                <w:rFonts w:cs="Arial"/>
                <w:sz w:val="18"/>
                <w:szCs w:val="18"/>
              </w:rPr>
            </w:pPr>
            <w:r w:rsidRPr="00111F34">
              <w:rPr>
                <w:rFonts w:cs="Arial"/>
                <w:sz w:val="18"/>
                <w:szCs w:val="18"/>
              </w:rPr>
              <w:t>+1 vymezení ploch a koridorů s potenciálem snížení hlukové zátěže (koridory pro bezmotorovou dopravu, plochy izolační zeleně, obchvaty) s místním významem s funkčním vztahem k rezidenčním územím</w:t>
            </w:r>
          </w:p>
          <w:p w14:paraId="39674DAC" w14:textId="77777777" w:rsidR="00DF5D27" w:rsidRPr="00111F34" w:rsidRDefault="00DF5D27" w:rsidP="00B34C98">
            <w:pPr>
              <w:spacing w:before="40" w:after="40"/>
              <w:jc w:val="left"/>
              <w:rPr>
                <w:rFonts w:cs="Arial"/>
                <w:sz w:val="18"/>
                <w:szCs w:val="18"/>
              </w:rPr>
            </w:pPr>
            <w:r w:rsidRPr="00111F34">
              <w:rPr>
                <w:rFonts w:cs="Arial"/>
                <w:sz w:val="18"/>
                <w:szCs w:val="18"/>
              </w:rPr>
              <w:t>-1 umístění zdrojů hlukové zátěže a vyvolané dopravy (monofunkční plochy bydlení, plochy lehkého průmyslu, komerce a logistiky do cca 5 ha) s funkčním vztahem k rezidenčním územím / umístění ploch čistého bydlení v hlukově zatíženém území (hlukový ukazatel Ln/Ldvn v pásmech Ln 50-60 dB/ Ldvn 60-70 dB)</w:t>
            </w:r>
          </w:p>
          <w:p w14:paraId="4B1B967A" w14:textId="77777777" w:rsidR="00DF5D27" w:rsidRPr="00111F34" w:rsidRDefault="00DF5D27" w:rsidP="00B34C98">
            <w:pPr>
              <w:spacing w:before="40" w:after="40"/>
              <w:jc w:val="left"/>
              <w:rPr>
                <w:rFonts w:cs="Arial"/>
                <w:sz w:val="18"/>
                <w:szCs w:val="18"/>
              </w:rPr>
            </w:pPr>
            <w:r w:rsidRPr="00111F34">
              <w:rPr>
                <w:rFonts w:cs="Arial"/>
                <w:sz w:val="18"/>
                <w:szCs w:val="18"/>
              </w:rPr>
              <w:t>-2 umístění zdrojů hlukové zátěže a vyvolané dopravy (plochy těžkého průmyslu, energetiky a povrchové těžby a plochy lehkého průmyslu, komerce a logistiky nad cca 5 ha) s funkčním vztahem k rezidenčním územím / umístění ploch čistého bydlení v hlukově zatíženém území s překročenými mezními hlukovými ukazateli Ln/Ldvn 60/70 dB)</w:t>
            </w:r>
          </w:p>
        </w:tc>
      </w:tr>
      <w:tr w:rsidR="00DF5D27" w:rsidRPr="00111F34" w14:paraId="2DC5591C" w14:textId="77777777" w:rsidTr="00B34C98">
        <w:trPr>
          <w:cantSplit/>
          <w:trHeight w:val="224"/>
          <w:jc w:val="center"/>
        </w:trPr>
        <w:tc>
          <w:tcPr>
            <w:tcW w:w="1012" w:type="pct"/>
            <w:shd w:val="clear" w:color="auto" w:fill="auto"/>
          </w:tcPr>
          <w:p w14:paraId="542B7E32" w14:textId="77777777" w:rsidR="00DF5D27" w:rsidRPr="00111F34" w:rsidRDefault="00DF5D27" w:rsidP="00B34C98">
            <w:pPr>
              <w:spacing w:before="40" w:after="40"/>
              <w:jc w:val="left"/>
              <w:rPr>
                <w:rFonts w:cs="Arial"/>
                <w:sz w:val="18"/>
                <w:szCs w:val="18"/>
              </w:rPr>
            </w:pPr>
            <w:r w:rsidRPr="00111F34">
              <w:rPr>
                <w:rFonts w:cs="Arial"/>
                <w:sz w:val="18"/>
                <w:szCs w:val="18"/>
              </w:rPr>
              <w:t>7.1 efektivním územním plánováním přispět k optimalizaci územního rozvoje sídel a ochraně přírody a krajiny</w:t>
            </w:r>
          </w:p>
        </w:tc>
        <w:tc>
          <w:tcPr>
            <w:tcW w:w="1994" w:type="pct"/>
            <w:shd w:val="clear" w:color="auto" w:fill="auto"/>
          </w:tcPr>
          <w:p w14:paraId="23952A98" w14:textId="77777777" w:rsidR="00DF5D27" w:rsidRPr="00111F34" w:rsidRDefault="00DF5D27" w:rsidP="00B34C98">
            <w:pPr>
              <w:spacing w:before="40" w:after="40"/>
              <w:jc w:val="left"/>
              <w:rPr>
                <w:rFonts w:cs="Arial"/>
                <w:sz w:val="18"/>
                <w:szCs w:val="18"/>
              </w:rPr>
            </w:pPr>
            <w:r w:rsidRPr="00111F34">
              <w:rPr>
                <w:rFonts w:cs="Arial"/>
                <w:sz w:val="18"/>
                <w:szCs w:val="18"/>
              </w:rPr>
              <w:t>Referenční cíl reprezentuje žádoucí trend v oblasti prevence rozšiřování zastavěného území do volné krajiny – hodnotí se zábor dosud nezastavěného území vs. využití již urbanizovaného území.</w:t>
            </w:r>
          </w:p>
          <w:p w14:paraId="2C8FC84F" w14:textId="77777777" w:rsidR="00DF5D27" w:rsidRPr="00111F34" w:rsidRDefault="00DF5D27" w:rsidP="00B34C98">
            <w:pPr>
              <w:spacing w:before="40" w:after="40"/>
              <w:jc w:val="left"/>
              <w:rPr>
                <w:rFonts w:cs="Arial"/>
                <w:sz w:val="18"/>
                <w:szCs w:val="18"/>
              </w:rPr>
            </w:pPr>
          </w:p>
          <w:p w14:paraId="2304564B" w14:textId="77777777" w:rsidR="00DF5D27" w:rsidRPr="00111F34" w:rsidRDefault="00DF5D27" w:rsidP="00B34C98">
            <w:pPr>
              <w:spacing w:before="40" w:after="40"/>
              <w:jc w:val="left"/>
              <w:rPr>
                <w:rFonts w:cs="Arial"/>
                <w:sz w:val="18"/>
                <w:szCs w:val="18"/>
              </w:rPr>
            </w:pPr>
            <w:r w:rsidRPr="00111F34">
              <w:rPr>
                <w:rFonts w:cs="Arial"/>
                <w:sz w:val="18"/>
                <w:szCs w:val="18"/>
              </w:rPr>
              <w:t xml:space="preserve">Referenční cíl byl stanoven na základě analýzy stavu, problémů a vývojových trendů sledovaných témat udržitelného rozvoje a cílů v oblasti ochrany životního prostředí a udržitelného rozvoje přijatých následujícími strategickými dokumenty na vnitrostátní úrovni: </w:t>
            </w:r>
          </w:p>
          <w:p w14:paraId="786F3BAE" w14:textId="77777777" w:rsidR="00DF5D27" w:rsidRPr="00111F34" w:rsidRDefault="00DF5D27" w:rsidP="00B34C98">
            <w:pPr>
              <w:spacing w:before="40" w:after="40"/>
              <w:jc w:val="left"/>
              <w:rPr>
                <w:rFonts w:cs="Arial"/>
                <w:sz w:val="18"/>
                <w:szCs w:val="18"/>
              </w:rPr>
            </w:pPr>
            <w:r w:rsidRPr="00111F34">
              <w:rPr>
                <w:rFonts w:cs="Arial"/>
                <w:sz w:val="18"/>
                <w:szCs w:val="18"/>
              </w:rPr>
              <w:t xml:space="preserve">ČR 2030, PÚR ČR, ZÚR HMP, </w:t>
            </w:r>
          </w:p>
        </w:tc>
        <w:tc>
          <w:tcPr>
            <w:tcW w:w="1994" w:type="pct"/>
            <w:shd w:val="clear" w:color="auto" w:fill="auto"/>
          </w:tcPr>
          <w:p w14:paraId="5E518A81" w14:textId="77777777" w:rsidR="00DF5D27" w:rsidRPr="00111F34" w:rsidRDefault="00DF5D27" w:rsidP="00B34C98">
            <w:pPr>
              <w:spacing w:before="40" w:after="40"/>
              <w:jc w:val="left"/>
              <w:rPr>
                <w:rFonts w:cs="Arial"/>
                <w:sz w:val="18"/>
                <w:szCs w:val="18"/>
              </w:rPr>
            </w:pPr>
            <w:r w:rsidRPr="00111F34">
              <w:rPr>
                <w:rFonts w:cs="Arial"/>
                <w:sz w:val="18"/>
                <w:szCs w:val="18"/>
              </w:rPr>
              <w:t>+2 využití ploch přestavby a nevyužitých ploch v zastavěném území mimo plochy zeleně pro nové funkce v rozsahu nad cca 5 ha</w:t>
            </w:r>
          </w:p>
          <w:p w14:paraId="793B6049" w14:textId="77777777" w:rsidR="00DF5D27" w:rsidRPr="00111F34" w:rsidRDefault="00DF5D27" w:rsidP="00B34C98">
            <w:pPr>
              <w:spacing w:before="40" w:after="40"/>
              <w:jc w:val="left"/>
              <w:rPr>
                <w:rFonts w:cs="Arial"/>
                <w:sz w:val="18"/>
                <w:szCs w:val="18"/>
              </w:rPr>
            </w:pPr>
            <w:r w:rsidRPr="00111F34">
              <w:rPr>
                <w:rFonts w:cs="Arial"/>
                <w:sz w:val="18"/>
                <w:szCs w:val="18"/>
              </w:rPr>
              <w:t>+1 využití ploch přestavby a nevyužitých ploch v zastavěném území mimo plochy zeleně pro nové funkce v rozsahu do cca 5 ha</w:t>
            </w:r>
          </w:p>
          <w:p w14:paraId="75E9C029" w14:textId="77777777" w:rsidR="00DF5D27" w:rsidRPr="00111F34" w:rsidRDefault="00DF5D27" w:rsidP="00B34C98">
            <w:pPr>
              <w:spacing w:before="40" w:after="40"/>
              <w:jc w:val="left"/>
              <w:rPr>
                <w:rFonts w:cs="Arial"/>
                <w:sz w:val="18"/>
                <w:szCs w:val="18"/>
              </w:rPr>
            </w:pPr>
            <w:r w:rsidRPr="00111F34">
              <w:rPr>
                <w:rFonts w:cs="Arial"/>
                <w:sz w:val="18"/>
                <w:szCs w:val="18"/>
              </w:rPr>
              <w:t>-1 zábor volné krajiny v návaznosti na zastavěné území / vymezení zastavitelných ploch v kontaktu s environmentálně cennými územími (ZCHÚ, VKP, EVL)</w:t>
            </w:r>
          </w:p>
          <w:p w14:paraId="237DD79D" w14:textId="77777777" w:rsidR="00DF5D27" w:rsidRPr="00111F34" w:rsidRDefault="00DF5D27" w:rsidP="00B34C98">
            <w:pPr>
              <w:spacing w:before="40" w:after="40"/>
              <w:jc w:val="left"/>
              <w:rPr>
                <w:rFonts w:cs="Arial"/>
                <w:sz w:val="18"/>
                <w:szCs w:val="18"/>
              </w:rPr>
            </w:pPr>
            <w:r w:rsidRPr="00111F34">
              <w:rPr>
                <w:rFonts w:cs="Arial"/>
                <w:sz w:val="18"/>
                <w:szCs w:val="18"/>
              </w:rPr>
              <w:t>-2 zábor volné krajiny bez návaznosti na zastavěné území / vymezení zastavitelných ploch ve střetu s environmentálně cennými územími (ZCHÚ, VKP, EVL)</w:t>
            </w:r>
          </w:p>
        </w:tc>
      </w:tr>
      <w:tr w:rsidR="00DF5D27" w:rsidRPr="00111F34" w14:paraId="372766DD" w14:textId="77777777" w:rsidTr="00B34C98">
        <w:trPr>
          <w:cantSplit/>
          <w:trHeight w:val="224"/>
          <w:jc w:val="center"/>
        </w:trPr>
        <w:tc>
          <w:tcPr>
            <w:tcW w:w="1012" w:type="pct"/>
            <w:shd w:val="clear" w:color="auto" w:fill="auto"/>
          </w:tcPr>
          <w:p w14:paraId="06F84E0F" w14:textId="77777777" w:rsidR="00DF5D27" w:rsidRPr="00111F34" w:rsidRDefault="00DF5D27" w:rsidP="00B34C98">
            <w:pPr>
              <w:spacing w:before="40" w:after="40"/>
              <w:jc w:val="left"/>
              <w:rPr>
                <w:rFonts w:cs="Arial"/>
                <w:sz w:val="18"/>
                <w:szCs w:val="18"/>
              </w:rPr>
            </w:pPr>
            <w:r w:rsidRPr="00111F34">
              <w:rPr>
                <w:rFonts w:cs="Arial"/>
                <w:sz w:val="18"/>
                <w:szCs w:val="18"/>
              </w:rPr>
              <w:lastRenderedPageBreak/>
              <w:t>7.2 snižovat zatížení dopravní sítě v sídlech zejména tranzitní a nákladní silniční dopravou</w:t>
            </w:r>
          </w:p>
        </w:tc>
        <w:tc>
          <w:tcPr>
            <w:tcW w:w="1994" w:type="pct"/>
            <w:shd w:val="clear" w:color="auto" w:fill="auto"/>
          </w:tcPr>
          <w:p w14:paraId="7ED7427A" w14:textId="77777777" w:rsidR="00DF5D27" w:rsidRPr="00111F34" w:rsidRDefault="00DF5D27" w:rsidP="00B34C98">
            <w:pPr>
              <w:spacing w:before="40" w:after="40"/>
              <w:jc w:val="left"/>
              <w:rPr>
                <w:rFonts w:cs="Arial"/>
                <w:sz w:val="18"/>
                <w:szCs w:val="18"/>
              </w:rPr>
            </w:pPr>
            <w:r w:rsidRPr="00111F34">
              <w:rPr>
                <w:rFonts w:cs="Arial"/>
                <w:sz w:val="18"/>
                <w:szCs w:val="18"/>
              </w:rPr>
              <w:t>Referenční cíl reprezentuje žádoucí trend v oblasti prevence zvyšování intenzit dopravy na dopravně zatížených tazích – hodnotí se potenciál zatížení rezidenčních území vyvolanou dopravou.</w:t>
            </w:r>
          </w:p>
          <w:p w14:paraId="231E48E5" w14:textId="77777777" w:rsidR="00DF5D27" w:rsidRPr="00111F34" w:rsidRDefault="00DF5D27" w:rsidP="00B34C98">
            <w:pPr>
              <w:spacing w:before="40" w:after="40"/>
              <w:jc w:val="left"/>
              <w:rPr>
                <w:rFonts w:cs="Arial"/>
                <w:sz w:val="18"/>
                <w:szCs w:val="18"/>
              </w:rPr>
            </w:pPr>
          </w:p>
          <w:p w14:paraId="5BDF355C" w14:textId="77777777" w:rsidR="00DF5D27" w:rsidRPr="00111F34" w:rsidRDefault="00DF5D27" w:rsidP="00B34C98">
            <w:pPr>
              <w:spacing w:before="40" w:after="40"/>
              <w:jc w:val="left"/>
              <w:rPr>
                <w:rFonts w:cs="Arial"/>
                <w:sz w:val="18"/>
                <w:szCs w:val="18"/>
              </w:rPr>
            </w:pPr>
            <w:r w:rsidRPr="00111F34">
              <w:rPr>
                <w:rFonts w:cs="Arial"/>
                <w:sz w:val="18"/>
                <w:szCs w:val="18"/>
              </w:rPr>
              <w:t xml:space="preserve">Referenční cíl byl stanoven na základě analýzy stavu, problémů a vývojových trendů sledovaných témat udržitelného rozvoje a cílů v oblasti ochrany životního prostředí a udržitelného rozvoje přijatých následujícími strategickými dokumenty na vnitrostátní úrovni: </w:t>
            </w:r>
          </w:p>
          <w:p w14:paraId="1D0EDECB" w14:textId="77777777" w:rsidR="00DF5D27" w:rsidRPr="00111F34" w:rsidRDefault="00DF5D27" w:rsidP="00B34C98">
            <w:pPr>
              <w:spacing w:before="40" w:after="40"/>
              <w:jc w:val="left"/>
              <w:rPr>
                <w:rFonts w:cs="Arial"/>
                <w:sz w:val="18"/>
                <w:szCs w:val="18"/>
              </w:rPr>
            </w:pPr>
            <w:r w:rsidRPr="00111F34">
              <w:rPr>
                <w:rFonts w:cs="Arial"/>
                <w:sz w:val="18"/>
                <w:szCs w:val="18"/>
              </w:rPr>
              <w:t>PÚR ČR, Plán udržitelné mobility Prahy a okolí.</w:t>
            </w:r>
          </w:p>
        </w:tc>
        <w:tc>
          <w:tcPr>
            <w:tcW w:w="1994" w:type="pct"/>
            <w:shd w:val="clear" w:color="auto" w:fill="auto"/>
          </w:tcPr>
          <w:p w14:paraId="5E85D973" w14:textId="77777777" w:rsidR="00DF5D27" w:rsidRPr="00111F34" w:rsidRDefault="00DF5D27" w:rsidP="00B34C98">
            <w:pPr>
              <w:spacing w:before="40" w:after="40"/>
              <w:jc w:val="left"/>
              <w:rPr>
                <w:rFonts w:cs="Arial"/>
                <w:sz w:val="18"/>
                <w:szCs w:val="18"/>
              </w:rPr>
            </w:pPr>
            <w:r w:rsidRPr="00111F34">
              <w:rPr>
                <w:rFonts w:cs="Arial"/>
                <w:sz w:val="18"/>
                <w:szCs w:val="18"/>
              </w:rPr>
              <w:t xml:space="preserve">+2 vymezení ploch a koridorů s potenciálem snížení dopravní zátěže v rezidenčních oblastech (koridory a zařízení pro MHD, obchvaty, parkoviště P+R) s nadmístním významem </w:t>
            </w:r>
          </w:p>
          <w:p w14:paraId="4FF40A76" w14:textId="77777777" w:rsidR="00DF5D27" w:rsidRPr="00111F34" w:rsidRDefault="00DF5D27" w:rsidP="00B34C98">
            <w:pPr>
              <w:spacing w:before="40" w:after="40"/>
              <w:jc w:val="left"/>
              <w:rPr>
                <w:rFonts w:cs="Arial"/>
                <w:sz w:val="18"/>
                <w:szCs w:val="18"/>
              </w:rPr>
            </w:pPr>
            <w:r w:rsidRPr="00111F34">
              <w:rPr>
                <w:rFonts w:cs="Arial"/>
                <w:sz w:val="18"/>
                <w:szCs w:val="18"/>
              </w:rPr>
              <w:t xml:space="preserve">+1 vymezení ploch a koridorů s potenciálem snížení dopravní zátěže v rezidenčních oblastech (koridory a zařízení pro MHD, obchvaty, parkoviště P+R) s místním významem </w:t>
            </w:r>
          </w:p>
          <w:p w14:paraId="60422A1B" w14:textId="77777777" w:rsidR="00DF5D27" w:rsidRPr="00111F34" w:rsidRDefault="00DF5D27" w:rsidP="00B34C98">
            <w:pPr>
              <w:spacing w:before="40" w:after="40"/>
              <w:jc w:val="left"/>
              <w:rPr>
                <w:rFonts w:cs="Arial"/>
                <w:sz w:val="18"/>
                <w:szCs w:val="18"/>
              </w:rPr>
            </w:pPr>
            <w:r w:rsidRPr="00111F34">
              <w:rPr>
                <w:rFonts w:cs="Arial"/>
                <w:sz w:val="18"/>
                <w:szCs w:val="18"/>
              </w:rPr>
              <w:t>-1 umístění zdrojů tranzitní a nákladní dopravy s místním a lokálním významem včetně přepravy osob v polohách vyvolávajících nutnost průjezdu rezidenčním územím s místním významem (monofunkční plochy bydlení, plochy lehkého průmyslu, komerce a logistiky)</w:t>
            </w:r>
          </w:p>
          <w:p w14:paraId="65563475" w14:textId="77777777" w:rsidR="00DF5D27" w:rsidRPr="00111F34" w:rsidRDefault="00DF5D27" w:rsidP="00B34C98">
            <w:pPr>
              <w:spacing w:before="40" w:after="40"/>
              <w:jc w:val="left"/>
              <w:rPr>
                <w:rFonts w:cs="Arial"/>
                <w:sz w:val="18"/>
                <w:szCs w:val="18"/>
              </w:rPr>
            </w:pPr>
            <w:r w:rsidRPr="00111F34">
              <w:rPr>
                <w:rFonts w:cs="Arial"/>
                <w:sz w:val="18"/>
                <w:szCs w:val="18"/>
              </w:rPr>
              <w:t>-2 umístění zdrojů tranzitní a nákladní dopravy s nadmístním významem včetně přepravy osob v polohách vyvolávajících nutnost průjezdu rezidenčním územím s regionálním významem (monofunkční plochy bydlení, plochy lehkého průmyslu, komerce a logistiky)</w:t>
            </w:r>
          </w:p>
        </w:tc>
      </w:tr>
      <w:tr w:rsidR="00DF5D27" w:rsidRPr="00111F34" w14:paraId="138D5421" w14:textId="77777777" w:rsidTr="00B34C98">
        <w:trPr>
          <w:trHeight w:val="327"/>
          <w:jc w:val="center"/>
        </w:trPr>
        <w:tc>
          <w:tcPr>
            <w:tcW w:w="1012" w:type="pct"/>
            <w:shd w:val="clear" w:color="auto" w:fill="auto"/>
          </w:tcPr>
          <w:p w14:paraId="7DA1F782" w14:textId="77777777" w:rsidR="00DF5D27" w:rsidRPr="00111F34" w:rsidRDefault="00DF5D27" w:rsidP="00B34C98">
            <w:pPr>
              <w:spacing w:before="40" w:after="40"/>
              <w:jc w:val="left"/>
              <w:rPr>
                <w:rFonts w:cs="Arial"/>
                <w:sz w:val="18"/>
                <w:szCs w:val="18"/>
              </w:rPr>
            </w:pPr>
            <w:r w:rsidRPr="00111F34">
              <w:rPr>
                <w:rFonts w:cs="Arial"/>
                <w:sz w:val="18"/>
                <w:szCs w:val="18"/>
              </w:rPr>
              <w:t>8.1 chránit kulturní, architektonické a archeologické dědictví</w:t>
            </w:r>
          </w:p>
        </w:tc>
        <w:tc>
          <w:tcPr>
            <w:tcW w:w="1994" w:type="pct"/>
            <w:shd w:val="clear" w:color="auto" w:fill="auto"/>
          </w:tcPr>
          <w:p w14:paraId="49A14484" w14:textId="77777777" w:rsidR="00DF5D27" w:rsidRPr="00111F34" w:rsidRDefault="00DF5D27" w:rsidP="00B34C98">
            <w:pPr>
              <w:spacing w:before="40" w:after="40"/>
              <w:jc w:val="left"/>
              <w:rPr>
                <w:rFonts w:cs="Arial"/>
                <w:sz w:val="18"/>
                <w:szCs w:val="18"/>
              </w:rPr>
            </w:pPr>
            <w:r w:rsidRPr="00111F34">
              <w:rPr>
                <w:rFonts w:cs="Arial"/>
                <w:sz w:val="18"/>
                <w:szCs w:val="18"/>
              </w:rPr>
              <w:t>Referenční cíl reprezentuje požadavek na ochranu kulturního, architektonického a archeologického dědictví – hodnotí se střety s vymezenými chráněnými oblastmi (památková zóna, NKP, NP, MPR, archeologická naleziště, ÚAN I. a II) a potenciál ovlivnit stávající stav kulturních památek včetně estetických hodnot jako je potlačení dominant např. v důsledku výškové regulace.</w:t>
            </w:r>
          </w:p>
          <w:p w14:paraId="4ACE5365" w14:textId="77777777" w:rsidR="00DF5D27" w:rsidRPr="00111F34" w:rsidRDefault="00DF5D27" w:rsidP="00B34C98">
            <w:pPr>
              <w:spacing w:before="40" w:after="40"/>
              <w:jc w:val="left"/>
              <w:rPr>
                <w:rFonts w:cs="Arial"/>
                <w:sz w:val="18"/>
                <w:szCs w:val="18"/>
              </w:rPr>
            </w:pPr>
            <w:r w:rsidRPr="00111F34">
              <w:rPr>
                <w:rFonts w:cs="Arial"/>
                <w:sz w:val="18"/>
                <w:szCs w:val="18"/>
              </w:rPr>
              <w:t xml:space="preserve">Referenční cíl byl stanoven na základě analýzy stavu, problémů a vývojových trendů sledovaných témat udržitelného rozvoje a cílů v oblasti ochrany životního prostředí a udržitelného rozvoje přijatých následujícími strategickými dokumenty na vnitrostátní úrovni: </w:t>
            </w:r>
          </w:p>
          <w:p w14:paraId="6862228E" w14:textId="77777777" w:rsidR="00DF5D27" w:rsidRPr="00111F34" w:rsidRDefault="00DF5D27" w:rsidP="00B34C98">
            <w:pPr>
              <w:spacing w:before="40" w:after="40"/>
              <w:jc w:val="left"/>
              <w:rPr>
                <w:rFonts w:cs="Arial"/>
                <w:sz w:val="18"/>
                <w:szCs w:val="18"/>
              </w:rPr>
            </w:pPr>
            <w:r w:rsidRPr="00111F34">
              <w:rPr>
                <w:rFonts w:cs="Arial"/>
                <w:sz w:val="18"/>
                <w:szCs w:val="18"/>
              </w:rPr>
              <w:t>ČR 2030, PÚR ČR, ZÚR HMP, Strategický plán hl. města Prahy.</w:t>
            </w:r>
          </w:p>
        </w:tc>
        <w:tc>
          <w:tcPr>
            <w:tcW w:w="1994" w:type="pct"/>
            <w:shd w:val="clear" w:color="auto" w:fill="auto"/>
          </w:tcPr>
          <w:p w14:paraId="17D48BC3" w14:textId="77777777" w:rsidR="00DF5D27" w:rsidRPr="00111F34" w:rsidRDefault="00DF5D27" w:rsidP="00B34C98">
            <w:pPr>
              <w:spacing w:before="40" w:after="40"/>
              <w:jc w:val="left"/>
              <w:rPr>
                <w:rFonts w:cs="Arial"/>
                <w:sz w:val="18"/>
                <w:szCs w:val="18"/>
              </w:rPr>
            </w:pPr>
            <w:r w:rsidRPr="00111F34">
              <w:rPr>
                <w:rFonts w:cs="Arial"/>
                <w:sz w:val="18"/>
                <w:szCs w:val="18"/>
              </w:rPr>
              <w:t>+2 vymezení ochranných režimů včetně výškové regulace s nadmístním významem</w:t>
            </w:r>
          </w:p>
          <w:p w14:paraId="50027A13" w14:textId="77777777" w:rsidR="00DF5D27" w:rsidRPr="00111F34" w:rsidRDefault="00DF5D27" w:rsidP="00B34C98">
            <w:pPr>
              <w:spacing w:before="40" w:after="40"/>
              <w:jc w:val="left"/>
              <w:rPr>
                <w:rFonts w:cs="Arial"/>
                <w:sz w:val="18"/>
                <w:szCs w:val="18"/>
              </w:rPr>
            </w:pPr>
            <w:r w:rsidRPr="00111F34">
              <w:rPr>
                <w:rFonts w:cs="Arial"/>
                <w:sz w:val="18"/>
                <w:szCs w:val="18"/>
              </w:rPr>
              <w:t>+1 vymezení ochranných režimů včetně výškové regulace s lokálním významem</w:t>
            </w:r>
          </w:p>
          <w:p w14:paraId="0A121AA0" w14:textId="77777777" w:rsidR="00DF5D27" w:rsidRPr="00111F34" w:rsidRDefault="00DF5D27" w:rsidP="00B34C98">
            <w:pPr>
              <w:spacing w:before="40" w:after="40"/>
              <w:jc w:val="left"/>
              <w:rPr>
                <w:rFonts w:cs="Arial"/>
                <w:sz w:val="18"/>
                <w:szCs w:val="18"/>
              </w:rPr>
            </w:pPr>
            <w:r w:rsidRPr="00111F34">
              <w:rPr>
                <w:rFonts w:cs="Arial"/>
                <w:sz w:val="18"/>
                <w:szCs w:val="18"/>
              </w:rPr>
              <w:t>-1 vymezení zastavitelných ploch a ploch přestavby ve střetu s ochrannými režimy kulturního, architektonického a archeologického dědictví s návrhem podmínek využití ploch pro zamezení negativním vlivům (např. výšková regulace, podmínky ochrany stávajících hodnot, podmínky zpracování projektové dokumentace autorizovaným architektem apod.)</w:t>
            </w:r>
          </w:p>
          <w:p w14:paraId="739418EE" w14:textId="77777777" w:rsidR="00DF5D27" w:rsidRPr="00111F34" w:rsidRDefault="00DF5D27" w:rsidP="00B34C98">
            <w:pPr>
              <w:spacing w:before="40" w:after="40"/>
              <w:jc w:val="left"/>
              <w:rPr>
                <w:rFonts w:cs="Arial"/>
                <w:sz w:val="18"/>
                <w:szCs w:val="18"/>
              </w:rPr>
            </w:pPr>
            <w:r w:rsidRPr="00111F34">
              <w:rPr>
                <w:rFonts w:cs="Arial"/>
                <w:sz w:val="18"/>
                <w:szCs w:val="18"/>
              </w:rPr>
              <w:t>-2 vymezení zastavitelných ploch a ploch přestavby ve střetu s ochrannými režimy kulturního, architektonického a archeologického dědictví bez podmínek využití ploch pro zamezení negativním vlivům</w:t>
            </w:r>
          </w:p>
        </w:tc>
      </w:tr>
      <w:tr w:rsidR="00DF5D27" w:rsidRPr="00111F34" w14:paraId="1B3F3A01" w14:textId="77777777" w:rsidTr="00B34C98">
        <w:trPr>
          <w:trHeight w:val="327"/>
          <w:jc w:val="center"/>
        </w:trPr>
        <w:tc>
          <w:tcPr>
            <w:tcW w:w="1012" w:type="pct"/>
            <w:shd w:val="clear" w:color="auto" w:fill="auto"/>
          </w:tcPr>
          <w:p w14:paraId="2FE13E98" w14:textId="77777777" w:rsidR="00DF5D27" w:rsidRPr="00111F34" w:rsidRDefault="00DF5D27" w:rsidP="00B34C98">
            <w:pPr>
              <w:spacing w:before="40" w:after="40"/>
              <w:jc w:val="left"/>
              <w:rPr>
                <w:rFonts w:cs="Arial"/>
                <w:sz w:val="18"/>
                <w:szCs w:val="18"/>
              </w:rPr>
            </w:pPr>
            <w:r w:rsidRPr="00111F34">
              <w:rPr>
                <w:rFonts w:cs="Arial"/>
                <w:sz w:val="18"/>
                <w:szCs w:val="18"/>
              </w:rPr>
              <w:t>9.1 chránit krajinný ráz</w:t>
            </w:r>
          </w:p>
        </w:tc>
        <w:tc>
          <w:tcPr>
            <w:tcW w:w="1994" w:type="pct"/>
            <w:shd w:val="clear" w:color="auto" w:fill="auto"/>
          </w:tcPr>
          <w:p w14:paraId="6F2B276E" w14:textId="77777777" w:rsidR="00DF5D27" w:rsidRPr="00111F34" w:rsidRDefault="00DF5D27" w:rsidP="00B34C98">
            <w:pPr>
              <w:spacing w:before="40" w:after="40"/>
              <w:jc w:val="left"/>
              <w:rPr>
                <w:rFonts w:cs="Arial"/>
                <w:sz w:val="18"/>
                <w:szCs w:val="18"/>
              </w:rPr>
            </w:pPr>
            <w:r w:rsidRPr="00111F34">
              <w:rPr>
                <w:rFonts w:cs="Arial"/>
                <w:sz w:val="18"/>
                <w:szCs w:val="18"/>
              </w:rPr>
              <w:t>Referenční cíl reprezentuje požadavek na ochranu krajinného rázu – hodnotí se střety s identifikovanými hodnotami krajinného rázu a potenciál ovlivnění stávajících dominant, resp. estetického stavu území – např. v důsledku výškové regulace, fragmentace území, zachování urbanistického rázu území, ovlivnění vyhlídkových bodů a pohledově exponovaných ploch, změny krajinné matrice, resp. podílu zeleně vs. zastavěné území.</w:t>
            </w:r>
          </w:p>
          <w:p w14:paraId="65949B79" w14:textId="77777777" w:rsidR="00DF5D27" w:rsidRPr="00111F34" w:rsidRDefault="00DF5D27" w:rsidP="00B34C98">
            <w:pPr>
              <w:spacing w:before="40" w:after="40"/>
              <w:jc w:val="left"/>
              <w:rPr>
                <w:rFonts w:cs="Arial"/>
                <w:sz w:val="18"/>
                <w:szCs w:val="18"/>
              </w:rPr>
            </w:pPr>
          </w:p>
          <w:p w14:paraId="111D5C2F" w14:textId="77777777" w:rsidR="00DF5D27" w:rsidRPr="00111F34" w:rsidRDefault="00DF5D27" w:rsidP="00B34C98">
            <w:pPr>
              <w:spacing w:before="40" w:after="40"/>
              <w:jc w:val="left"/>
              <w:rPr>
                <w:rFonts w:cs="Arial"/>
                <w:sz w:val="18"/>
                <w:szCs w:val="18"/>
              </w:rPr>
            </w:pPr>
            <w:r w:rsidRPr="00111F34">
              <w:rPr>
                <w:rFonts w:cs="Arial"/>
                <w:sz w:val="18"/>
                <w:szCs w:val="18"/>
              </w:rPr>
              <w:t xml:space="preserve">Referenční cíl byl stanoven na základě analýzy stavu, problémů a vývojových trendů sledovaných témat udržitelného rozvoje a cílů v oblasti ochrany životního prostředí a udržitelného rozvoje přijatých následujícími strategickými dokumenty na vnitrostátní úrovni: </w:t>
            </w:r>
          </w:p>
          <w:p w14:paraId="2E6627C7" w14:textId="77777777" w:rsidR="00DF5D27" w:rsidRPr="00111F34" w:rsidRDefault="00DF5D27" w:rsidP="00B34C98">
            <w:pPr>
              <w:spacing w:before="40" w:after="40"/>
              <w:jc w:val="left"/>
              <w:rPr>
                <w:rFonts w:cs="Arial"/>
                <w:sz w:val="18"/>
                <w:szCs w:val="18"/>
              </w:rPr>
            </w:pPr>
            <w:r w:rsidRPr="00111F34">
              <w:rPr>
                <w:rFonts w:cs="Arial"/>
                <w:sz w:val="18"/>
                <w:szCs w:val="18"/>
              </w:rPr>
              <w:lastRenderedPageBreak/>
              <w:t>PÚR ČR, ZÚR HMP, Strategický plán hl. města Prahy.</w:t>
            </w:r>
          </w:p>
        </w:tc>
        <w:tc>
          <w:tcPr>
            <w:tcW w:w="1994" w:type="pct"/>
            <w:shd w:val="clear" w:color="auto" w:fill="auto"/>
          </w:tcPr>
          <w:p w14:paraId="2010D9AF" w14:textId="77777777" w:rsidR="00DF5D27" w:rsidRPr="00111F34" w:rsidRDefault="00DF5D27" w:rsidP="00B34C98">
            <w:pPr>
              <w:spacing w:before="40" w:after="40"/>
              <w:jc w:val="left"/>
              <w:rPr>
                <w:rFonts w:cs="Arial"/>
                <w:sz w:val="18"/>
                <w:szCs w:val="18"/>
              </w:rPr>
            </w:pPr>
            <w:r w:rsidRPr="00111F34">
              <w:rPr>
                <w:rFonts w:cs="Arial"/>
                <w:sz w:val="18"/>
                <w:szCs w:val="18"/>
              </w:rPr>
              <w:lastRenderedPageBreak/>
              <w:t>+2 vymezení ochranných režimů a ploch za účelem zachování krajinného rázu (zelené linie, zelené horizonty, pohledově významná místa a dominanty) s nadmístním významem</w:t>
            </w:r>
          </w:p>
          <w:p w14:paraId="417BC0A0" w14:textId="77777777" w:rsidR="00DF5D27" w:rsidRPr="00111F34" w:rsidRDefault="00DF5D27" w:rsidP="00B34C98">
            <w:pPr>
              <w:spacing w:before="40" w:after="40"/>
              <w:jc w:val="left"/>
              <w:rPr>
                <w:rFonts w:cs="Arial"/>
                <w:sz w:val="18"/>
                <w:szCs w:val="18"/>
              </w:rPr>
            </w:pPr>
            <w:r w:rsidRPr="00111F34">
              <w:rPr>
                <w:rFonts w:cs="Arial"/>
                <w:sz w:val="18"/>
                <w:szCs w:val="18"/>
              </w:rPr>
              <w:t>+1 vymezení ochranných režimů a ploch za účelem zachování krajinného rázu (zelené linie, zelené horizonty, pohledově významná místa a dominanty) s místním významem</w:t>
            </w:r>
          </w:p>
          <w:p w14:paraId="4399A0DA" w14:textId="77777777" w:rsidR="00DF5D27" w:rsidRPr="00111F34" w:rsidRDefault="00DF5D27" w:rsidP="00B34C98">
            <w:pPr>
              <w:spacing w:before="40" w:after="40"/>
              <w:jc w:val="left"/>
              <w:rPr>
                <w:rFonts w:cs="Arial"/>
                <w:sz w:val="18"/>
                <w:szCs w:val="18"/>
              </w:rPr>
            </w:pPr>
            <w:r w:rsidRPr="00111F34">
              <w:rPr>
                <w:rFonts w:cs="Arial"/>
                <w:sz w:val="18"/>
                <w:szCs w:val="18"/>
              </w:rPr>
              <w:t>-1 vymezení zastavitelných ploch a ploch přestavby ve střetu s hodnotami krajinného rázu s návrhem podmínek využití ploch pro zamezení negativním vlivům (např. výšková regulace, prostorová opatření pro zapojení do krajiny apod.)</w:t>
            </w:r>
          </w:p>
          <w:p w14:paraId="77BCA628" w14:textId="77777777" w:rsidR="00DF5D27" w:rsidRPr="00111F34" w:rsidRDefault="00DF5D27" w:rsidP="00B34C98">
            <w:pPr>
              <w:spacing w:before="40" w:after="40"/>
              <w:jc w:val="left"/>
              <w:rPr>
                <w:rFonts w:cs="Arial"/>
                <w:sz w:val="18"/>
                <w:szCs w:val="18"/>
              </w:rPr>
            </w:pPr>
            <w:r w:rsidRPr="00111F34">
              <w:rPr>
                <w:rFonts w:cs="Arial"/>
                <w:sz w:val="18"/>
                <w:szCs w:val="18"/>
              </w:rPr>
              <w:t xml:space="preserve">-2 vymezení zastavitelných ploch a ploch přestavby ve střetu s hodnotami krajinného rázu bez návrhu podmínek využití ploch pro zamezení negativním vlivům (např. výšková </w:t>
            </w:r>
            <w:r w:rsidRPr="00111F34">
              <w:rPr>
                <w:rFonts w:cs="Arial"/>
                <w:sz w:val="18"/>
                <w:szCs w:val="18"/>
              </w:rPr>
              <w:lastRenderedPageBreak/>
              <w:t>regulace, prostorová opatření pro zapojení do krajiny apod.).</w:t>
            </w:r>
          </w:p>
        </w:tc>
      </w:tr>
    </w:tbl>
    <w:p w14:paraId="63A0FA60" w14:textId="77777777" w:rsidR="00DF5D27" w:rsidRPr="00111F34" w:rsidRDefault="00DF5D27" w:rsidP="00DF5D27">
      <w:r w:rsidRPr="00111F34">
        <w:t>Pro samotné hodnocení územního řešení předkládané ÚPD byly sestaveny hodnotící tabulky, které představují matici jednotlivých referenčních cílů ochrany životního prostředí a veřejného zdraví versus dílčí navrhovaná opatření, rozvojové lokality, zastavitelné plochy a koridory, resp. podmínky využití ploch (regulativy). Jednotlivé rozvojové lokality a koridory v rámci jejich podmínek využití byly konfrontovány s vybranými referenčními cíli (podrobněji o referenčních cílech viz kapitola A.II.1) a na základě expertního úsudku zpracovatelského týmu jim byly přiřazeny hodnoty. Následně byly hlavní charakteristiky vlivu rozvojových lokalit / ploch a koridorů na ŽP jako celek okomentovány, a to zejména při identifikovaném negativním vlivu, resp. při zjištění kumulativních či synergických vlivů.</w:t>
      </w:r>
    </w:p>
    <w:p w14:paraId="31B20FB0" w14:textId="77777777" w:rsidR="00DF5D27" w:rsidRPr="00111F34" w:rsidRDefault="00DF5D27" w:rsidP="00DF5D27">
      <w:r w:rsidRPr="00111F34">
        <w:t>Pro zjištění, zda a jakým způsobem mohou mít předkládané úpravy územního plánu při realizaci závažné vlivy na životní prostředí a veřejné zdraví, bylo provedeno hodnocení navržených opatření územně plánovací dokumentace, tj. navrhovaných změn funkčního využití v rozvojových lokalitách a koridorech vzhledem k jednotlivým složkám životního prostředí reprezentovaným referenčními cíli ochrany životního prostředí a veřejného zdraví jako žádoucími trendy vývoje sledovaných kritérií, tj. zda a jakým způsobem bude provedení řešené koncepce přispívat či nikoliv k naplňování referenčních cílů. Pro hodnocení bylo použito následující stupnice:</w:t>
      </w:r>
    </w:p>
    <w:p w14:paraId="1710B279" w14:textId="77777777" w:rsidR="00DF5D27" w:rsidRPr="00111F34" w:rsidRDefault="00DF5D27" w:rsidP="00DF5D27">
      <w:pPr>
        <w:spacing w:after="120"/>
        <w:rPr>
          <w:rFonts w:cs="Arial"/>
          <w:b/>
        </w:rPr>
      </w:pPr>
      <w:r w:rsidRPr="00111F34">
        <w:rPr>
          <w:rFonts w:cs="Arial"/>
          <w:b/>
        </w:rPr>
        <w:t>stupnice významnosti</w:t>
      </w:r>
      <w:r w:rsidRPr="00111F34">
        <w:rPr>
          <w:rStyle w:val="Znakapoznpodarou"/>
          <w:rFonts w:cs="Arial"/>
          <w:b/>
        </w:rPr>
        <w:footnoteReference w:id="6"/>
      </w:r>
      <w:r w:rsidRPr="00111F34">
        <w:rPr>
          <w:rFonts w:cs="Arial"/>
          <w:b/>
        </w:rPr>
        <w:t xml:space="preserve">, </w:t>
      </w:r>
      <w:r w:rsidRPr="00111F34">
        <w:rPr>
          <w:rStyle w:val="Znakapoznpodarou"/>
          <w:rFonts w:cs="Arial"/>
          <w:b/>
        </w:rPr>
        <w:footnoteReference w:id="7"/>
      </w:r>
      <w:r w:rsidRPr="00111F34">
        <w:rPr>
          <w:rFonts w:cs="Arial"/>
          <w:b/>
        </w:rPr>
        <w:t xml:space="preserve">, </w:t>
      </w:r>
      <w:r w:rsidRPr="00111F34">
        <w:rPr>
          <w:rStyle w:val="Znakapoznpodarou"/>
          <w:rFonts w:cs="Arial"/>
          <w:b/>
        </w:rPr>
        <w:footnoteReference w:id="8"/>
      </w:r>
    </w:p>
    <w:p w14:paraId="769B9622" w14:textId="77777777" w:rsidR="00DF5D27" w:rsidRPr="00111F34" w:rsidRDefault="00DF5D27" w:rsidP="00DF5D27">
      <w:pPr>
        <w:tabs>
          <w:tab w:val="left" w:pos="1440"/>
        </w:tabs>
        <w:autoSpaceDE w:val="0"/>
        <w:autoSpaceDN w:val="0"/>
        <w:adjustRightInd w:val="0"/>
        <w:spacing w:before="0"/>
        <w:ind w:left="1441" w:hanging="902"/>
        <w:rPr>
          <w:rFonts w:cs="Arial"/>
        </w:rPr>
      </w:pPr>
      <w:r w:rsidRPr="00111F34">
        <w:rPr>
          <w:rFonts w:cs="Arial"/>
        </w:rPr>
        <w:t>+2</w:t>
      </w:r>
      <w:r w:rsidRPr="00111F34">
        <w:rPr>
          <w:rFonts w:cs="Arial"/>
        </w:rPr>
        <w:tab/>
        <w:t>potenciálně významný pozitivní vliv (přímý vliv velkého rozsahu) uplatnění navrhovaného opatření na referenční cíl</w:t>
      </w:r>
    </w:p>
    <w:p w14:paraId="49DB8FCF" w14:textId="77777777" w:rsidR="00DF5D27" w:rsidRPr="00111F34" w:rsidRDefault="00DF5D27" w:rsidP="00DF5D27">
      <w:pPr>
        <w:tabs>
          <w:tab w:val="left" w:pos="1440"/>
        </w:tabs>
        <w:autoSpaceDE w:val="0"/>
        <w:autoSpaceDN w:val="0"/>
        <w:adjustRightInd w:val="0"/>
        <w:spacing w:before="0"/>
        <w:ind w:left="1441" w:hanging="902"/>
        <w:rPr>
          <w:rFonts w:cs="Arial"/>
        </w:rPr>
      </w:pPr>
      <w:r w:rsidRPr="00111F34">
        <w:rPr>
          <w:rFonts w:cs="Arial"/>
        </w:rPr>
        <w:t>+1</w:t>
      </w:r>
      <w:r w:rsidRPr="00111F34">
        <w:rPr>
          <w:rFonts w:cs="Arial"/>
        </w:rPr>
        <w:tab/>
        <w:t xml:space="preserve">potenciálně pozitivní </w:t>
      </w:r>
      <w:bookmarkStart w:id="233" w:name="_Hlk116989805"/>
      <w:r w:rsidRPr="00111F34">
        <w:rPr>
          <w:rFonts w:cs="Arial"/>
        </w:rPr>
        <w:t>(přímý</w:t>
      </w:r>
      <w:r w:rsidRPr="00111F34">
        <w:rPr>
          <w:rStyle w:val="Znakapoznpodarou"/>
          <w:rFonts w:cs="Arial"/>
        </w:rPr>
        <w:footnoteReference w:id="9"/>
      </w:r>
      <w:r w:rsidRPr="00111F34">
        <w:rPr>
          <w:rFonts w:cs="Arial"/>
        </w:rPr>
        <w:t xml:space="preserve"> či nepřímý</w:t>
      </w:r>
      <w:r w:rsidRPr="00111F34">
        <w:rPr>
          <w:rStyle w:val="Znakapoznpodarou"/>
          <w:rFonts w:cs="Arial"/>
        </w:rPr>
        <w:footnoteReference w:id="10"/>
      </w:r>
      <w:r w:rsidRPr="00111F34">
        <w:rPr>
          <w:rFonts w:cs="Arial"/>
        </w:rPr>
        <w:t>/sekundární</w:t>
      </w:r>
      <w:r w:rsidRPr="00111F34">
        <w:rPr>
          <w:rStyle w:val="Znakapoznpodarou"/>
          <w:rFonts w:cs="Arial"/>
        </w:rPr>
        <w:footnoteReference w:id="11"/>
      </w:r>
      <w:r w:rsidRPr="00111F34">
        <w:rPr>
          <w:rFonts w:cs="Arial"/>
        </w:rPr>
        <w:t xml:space="preserve">) </w:t>
      </w:r>
      <w:bookmarkEnd w:id="233"/>
      <w:r w:rsidRPr="00111F34">
        <w:rPr>
          <w:rFonts w:cs="Arial"/>
        </w:rPr>
        <w:t>vliv uplatnění navrhovaného opatření na daný referenční cíl</w:t>
      </w:r>
    </w:p>
    <w:p w14:paraId="0728E2FA" w14:textId="6FE719FA" w:rsidR="00DF5D27" w:rsidRPr="00111F34" w:rsidRDefault="00DF5D27" w:rsidP="00DF5D27">
      <w:pPr>
        <w:tabs>
          <w:tab w:val="left" w:pos="1440"/>
        </w:tabs>
        <w:autoSpaceDE w:val="0"/>
        <w:autoSpaceDN w:val="0"/>
        <w:adjustRightInd w:val="0"/>
        <w:spacing w:before="0"/>
        <w:ind w:left="1441" w:hanging="902"/>
        <w:rPr>
          <w:rFonts w:cs="Arial"/>
        </w:rPr>
      </w:pPr>
      <w:r w:rsidRPr="00111F34">
        <w:rPr>
          <w:rFonts w:cs="Arial"/>
        </w:rPr>
        <w:t>0</w:t>
      </w:r>
      <w:r w:rsidRPr="00111F34">
        <w:rPr>
          <w:rFonts w:cs="Arial"/>
        </w:rPr>
        <w:tab/>
        <w:t xml:space="preserve">zanedbatelný nebo komplikovaně zprostředkovaný (nepřímý/sekundární) potenciální vliv (velmi malý rozsah, nepřímá vazba na navrhované </w:t>
      </w:r>
      <w:r w:rsidR="003577E4" w:rsidRPr="00111F34">
        <w:rPr>
          <w:rFonts w:cs="Arial"/>
        </w:rPr>
        <w:t>opatření,</w:t>
      </w:r>
      <w:r w:rsidRPr="00111F34">
        <w:rPr>
          <w:rFonts w:cs="Arial"/>
        </w:rPr>
        <w:t xml:space="preserve"> resp. návrhovou plochu/ koridor)</w:t>
      </w:r>
    </w:p>
    <w:p w14:paraId="46983E14" w14:textId="77777777" w:rsidR="00DF5D27" w:rsidRPr="00111F34" w:rsidRDefault="00DF5D27" w:rsidP="00DF5D27">
      <w:pPr>
        <w:tabs>
          <w:tab w:val="left" w:pos="1440"/>
        </w:tabs>
        <w:autoSpaceDE w:val="0"/>
        <w:autoSpaceDN w:val="0"/>
        <w:adjustRightInd w:val="0"/>
        <w:spacing w:before="0"/>
        <w:ind w:left="1441" w:hanging="902"/>
        <w:rPr>
          <w:rFonts w:cs="Arial"/>
        </w:rPr>
      </w:pPr>
      <w:r w:rsidRPr="00111F34">
        <w:rPr>
          <w:rFonts w:cs="Arial"/>
        </w:rPr>
        <w:t>-1</w:t>
      </w:r>
      <w:r w:rsidRPr="00111F34">
        <w:rPr>
          <w:rFonts w:cs="Arial"/>
        </w:rPr>
        <w:tab/>
        <w:t>potenciálně negativní vliv uplatnění navrhovaného opatření na daný referenční cíl (přímý či nepřímý/sekundární)</w:t>
      </w:r>
    </w:p>
    <w:p w14:paraId="59925404" w14:textId="77777777" w:rsidR="00DF5D27" w:rsidRPr="00111F34" w:rsidRDefault="00DF5D27" w:rsidP="00DF5D27">
      <w:pPr>
        <w:tabs>
          <w:tab w:val="left" w:pos="1440"/>
        </w:tabs>
        <w:autoSpaceDE w:val="0"/>
        <w:autoSpaceDN w:val="0"/>
        <w:adjustRightInd w:val="0"/>
        <w:spacing w:before="0"/>
        <w:ind w:left="1441" w:hanging="902"/>
        <w:rPr>
          <w:rFonts w:cs="Arial"/>
        </w:rPr>
      </w:pPr>
      <w:r w:rsidRPr="00111F34">
        <w:rPr>
          <w:rFonts w:cs="Arial"/>
        </w:rPr>
        <w:t>-2</w:t>
      </w:r>
      <w:r w:rsidRPr="00111F34">
        <w:rPr>
          <w:rFonts w:cs="Arial"/>
        </w:rPr>
        <w:tab/>
        <w:t>potenciálně významný negativní vliv uplatnění navrhovaného opatření na daný referenční cíl (přímý vliv velkého rozsahu nebo bez možnosti uplatnění zmírňujících opatření)</w:t>
      </w:r>
    </w:p>
    <w:p w14:paraId="5DADF39F" w14:textId="77777777" w:rsidR="00DF5D27" w:rsidRPr="00111F34" w:rsidRDefault="00DF5D27" w:rsidP="00DF5D27">
      <w:pPr>
        <w:tabs>
          <w:tab w:val="left" w:pos="1440"/>
        </w:tabs>
        <w:autoSpaceDE w:val="0"/>
        <w:autoSpaceDN w:val="0"/>
        <w:adjustRightInd w:val="0"/>
        <w:spacing w:after="120"/>
        <w:rPr>
          <w:rFonts w:cs="Arial"/>
          <w:b/>
        </w:rPr>
      </w:pPr>
      <w:r w:rsidRPr="00111F34">
        <w:rPr>
          <w:rFonts w:cs="Arial"/>
          <w:b/>
        </w:rPr>
        <w:t>rozsah vlivu</w:t>
      </w:r>
    </w:p>
    <w:p w14:paraId="7567F041" w14:textId="77777777" w:rsidR="00DF5D27" w:rsidRPr="00111F34" w:rsidRDefault="00DF5D27" w:rsidP="00DF5D27">
      <w:pPr>
        <w:tabs>
          <w:tab w:val="left" w:pos="1440"/>
        </w:tabs>
        <w:autoSpaceDE w:val="0"/>
        <w:autoSpaceDN w:val="0"/>
        <w:adjustRightInd w:val="0"/>
        <w:spacing w:before="0"/>
        <w:ind w:left="1437" w:hanging="870"/>
        <w:rPr>
          <w:rFonts w:cs="Arial"/>
        </w:rPr>
      </w:pPr>
      <w:r w:rsidRPr="00111F34">
        <w:rPr>
          <w:rFonts w:cs="Arial"/>
        </w:rPr>
        <w:t>B</w:t>
      </w:r>
      <w:r w:rsidRPr="00111F34">
        <w:rPr>
          <w:rFonts w:cs="Arial"/>
        </w:rPr>
        <w:tab/>
      </w:r>
      <w:r w:rsidRPr="00111F34">
        <w:rPr>
          <w:rFonts w:cs="Arial"/>
        </w:rPr>
        <w:tab/>
        <w:t>bodový (působící v bezprostředním okolí plochy nebo zprostředkovaně s bodovým dosahem)</w:t>
      </w:r>
    </w:p>
    <w:p w14:paraId="2F78D11F" w14:textId="77777777" w:rsidR="00DF5D27" w:rsidRPr="00111F34" w:rsidRDefault="00DF5D27" w:rsidP="00DF5D27">
      <w:pPr>
        <w:tabs>
          <w:tab w:val="left" w:pos="1440"/>
        </w:tabs>
        <w:autoSpaceDE w:val="0"/>
        <w:autoSpaceDN w:val="0"/>
        <w:adjustRightInd w:val="0"/>
        <w:spacing w:before="0"/>
        <w:ind w:left="709" w:hanging="142"/>
        <w:rPr>
          <w:rFonts w:cs="Arial"/>
        </w:rPr>
      </w:pPr>
      <w:r w:rsidRPr="00111F34">
        <w:rPr>
          <w:rFonts w:cs="Arial"/>
        </w:rPr>
        <w:t>L</w:t>
      </w:r>
      <w:r w:rsidRPr="00111F34">
        <w:rPr>
          <w:rFonts w:cs="Arial"/>
        </w:rPr>
        <w:tab/>
      </w:r>
      <w:r w:rsidRPr="00111F34">
        <w:rPr>
          <w:rFonts w:cs="Arial"/>
        </w:rPr>
        <w:tab/>
        <w:t>lokální (působící v rámci městské části)</w:t>
      </w:r>
    </w:p>
    <w:p w14:paraId="48FB4E21" w14:textId="77777777" w:rsidR="00DF5D27" w:rsidRPr="00111F34" w:rsidRDefault="00DF5D27" w:rsidP="00DF5D27">
      <w:pPr>
        <w:tabs>
          <w:tab w:val="left" w:pos="1440"/>
        </w:tabs>
        <w:autoSpaceDE w:val="0"/>
        <w:autoSpaceDN w:val="0"/>
        <w:adjustRightInd w:val="0"/>
        <w:spacing w:before="0"/>
        <w:ind w:left="709" w:hanging="142"/>
        <w:rPr>
          <w:rFonts w:cs="Arial"/>
        </w:rPr>
      </w:pPr>
      <w:r w:rsidRPr="00111F34">
        <w:rPr>
          <w:rFonts w:cs="Arial"/>
        </w:rPr>
        <w:t>R</w:t>
      </w:r>
      <w:r w:rsidRPr="00111F34">
        <w:rPr>
          <w:rFonts w:cs="Arial"/>
        </w:rPr>
        <w:tab/>
        <w:t>regionální (působící v rámci celého města/aglomerace)</w:t>
      </w:r>
    </w:p>
    <w:p w14:paraId="6BF126D8" w14:textId="77777777" w:rsidR="00DF5D27" w:rsidRPr="00111F34" w:rsidRDefault="00DF5D27" w:rsidP="00DF5D27">
      <w:pPr>
        <w:tabs>
          <w:tab w:val="left" w:pos="1440"/>
        </w:tabs>
        <w:autoSpaceDE w:val="0"/>
        <w:autoSpaceDN w:val="0"/>
        <w:adjustRightInd w:val="0"/>
        <w:spacing w:before="0"/>
        <w:ind w:left="709" w:hanging="142"/>
        <w:rPr>
          <w:rFonts w:cs="Arial"/>
        </w:rPr>
      </w:pPr>
      <w:r w:rsidRPr="00111F34">
        <w:rPr>
          <w:rFonts w:cs="Arial"/>
        </w:rPr>
        <w:t>NR          nadregionální (s přesahem vlivu mimo hranice kraje)</w:t>
      </w:r>
    </w:p>
    <w:p w14:paraId="1D6C2B06" w14:textId="77777777" w:rsidR="00DF5D27" w:rsidRPr="00111F34" w:rsidRDefault="00DF5D27" w:rsidP="00DF5D27">
      <w:pPr>
        <w:tabs>
          <w:tab w:val="left" w:pos="1440"/>
        </w:tabs>
        <w:autoSpaceDE w:val="0"/>
        <w:autoSpaceDN w:val="0"/>
        <w:adjustRightInd w:val="0"/>
        <w:spacing w:before="0"/>
        <w:ind w:left="709" w:hanging="142"/>
        <w:rPr>
          <w:rFonts w:cs="Arial"/>
        </w:rPr>
      </w:pPr>
      <w:r w:rsidRPr="00111F34">
        <w:rPr>
          <w:rFonts w:cs="Arial"/>
        </w:rPr>
        <w:t>PH</w:t>
      </w:r>
      <w:r w:rsidRPr="00111F34">
        <w:rPr>
          <w:rFonts w:cs="Arial"/>
        </w:rPr>
        <w:tab/>
        <w:t>přeshraniční (s přesahem vlivu mimo území ČR)</w:t>
      </w:r>
    </w:p>
    <w:p w14:paraId="59BB5713" w14:textId="77777777" w:rsidR="00DF5D27" w:rsidRPr="00111F34" w:rsidRDefault="00DF5D27" w:rsidP="00DF5D27">
      <w:pPr>
        <w:tabs>
          <w:tab w:val="left" w:pos="1440"/>
        </w:tabs>
        <w:autoSpaceDE w:val="0"/>
        <w:autoSpaceDN w:val="0"/>
        <w:adjustRightInd w:val="0"/>
        <w:spacing w:before="0"/>
        <w:ind w:left="709" w:hanging="142"/>
        <w:rPr>
          <w:rFonts w:cs="Arial"/>
        </w:rPr>
      </w:pPr>
    </w:p>
    <w:p w14:paraId="03086233" w14:textId="77777777" w:rsidR="00DF5D27" w:rsidRPr="00111F34" w:rsidRDefault="00DF5D27" w:rsidP="00DF5D27">
      <w:pPr>
        <w:tabs>
          <w:tab w:val="left" w:pos="1440"/>
        </w:tabs>
        <w:autoSpaceDE w:val="0"/>
        <w:autoSpaceDN w:val="0"/>
        <w:adjustRightInd w:val="0"/>
        <w:spacing w:after="120"/>
        <w:rPr>
          <w:rFonts w:cs="Arial"/>
          <w:b/>
        </w:rPr>
      </w:pPr>
      <w:r w:rsidRPr="00111F34">
        <w:rPr>
          <w:rFonts w:cs="Arial"/>
          <w:b/>
        </w:rPr>
        <w:t>délka trvání vlivu</w:t>
      </w:r>
    </w:p>
    <w:p w14:paraId="73AC0063" w14:textId="77777777" w:rsidR="00DF5D27" w:rsidRPr="00111F34" w:rsidRDefault="00DF5D27" w:rsidP="00DF5D27">
      <w:pPr>
        <w:tabs>
          <w:tab w:val="left" w:pos="567"/>
          <w:tab w:val="left" w:pos="1440"/>
        </w:tabs>
        <w:autoSpaceDE w:val="0"/>
        <w:autoSpaceDN w:val="0"/>
        <w:adjustRightInd w:val="0"/>
        <w:spacing w:before="0"/>
        <w:ind w:left="1440" w:hanging="1440"/>
        <w:rPr>
          <w:rFonts w:cs="Arial"/>
        </w:rPr>
      </w:pPr>
      <w:r w:rsidRPr="00111F34">
        <w:rPr>
          <w:rFonts w:cs="Arial"/>
          <w:b/>
        </w:rPr>
        <w:tab/>
      </w:r>
      <w:r w:rsidRPr="00111F34">
        <w:rPr>
          <w:rFonts w:cs="Arial"/>
        </w:rPr>
        <w:t>kp</w:t>
      </w:r>
      <w:r w:rsidRPr="00111F34">
        <w:rPr>
          <w:rFonts w:cs="Arial"/>
        </w:rPr>
        <w:tab/>
        <w:t>krátkodobé/přechodné působení vlivu (přechodné trvání po omezenou dobu např. pouze v době výstavby)</w:t>
      </w:r>
    </w:p>
    <w:p w14:paraId="2897C935" w14:textId="77777777" w:rsidR="00DF5D27" w:rsidRPr="00111F34" w:rsidRDefault="00DF5D27" w:rsidP="00DF5D27">
      <w:pPr>
        <w:tabs>
          <w:tab w:val="left" w:pos="567"/>
          <w:tab w:val="left" w:pos="1440"/>
        </w:tabs>
        <w:autoSpaceDE w:val="0"/>
        <w:autoSpaceDN w:val="0"/>
        <w:adjustRightInd w:val="0"/>
        <w:spacing w:before="0"/>
        <w:jc w:val="left"/>
        <w:rPr>
          <w:rFonts w:cs="Arial"/>
        </w:rPr>
      </w:pPr>
      <w:r w:rsidRPr="00111F34">
        <w:rPr>
          <w:rFonts w:cs="Arial"/>
        </w:rPr>
        <w:tab/>
        <w:t>sp</w:t>
      </w:r>
      <w:r w:rsidRPr="00111F34">
        <w:rPr>
          <w:rFonts w:cs="Arial"/>
        </w:rPr>
        <w:tab/>
        <w:t>střednědobé působení vlivu (trvalý vliv cca po dobu nepřesahující platnost územního plánu)</w:t>
      </w:r>
    </w:p>
    <w:p w14:paraId="620ECEBE" w14:textId="77777777" w:rsidR="00DF5D27" w:rsidRPr="00111F34" w:rsidRDefault="00DF5D27" w:rsidP="00DF5D27">
      <w:pPr>
        <w:tabs>
          <w:tab w:val="left" w:pos="567"/>
          <w:tab w:val="left" w:pos="1440"/>
        </w:tabs>
        <w:autoSpaceDE w:val="0"/>
        <w:autoSpaceDN w:val="0"/>
        <w:adjustRightInd w:val="0"/>
        <w:spacing w:before="0"/>
        <w:rPr>
          <w:rFonts w:cs="Arial"/>
        </w:rPr>
      </w:pPr>
      <w:r w:rsidRPr="00111F34">
        <w:rPr>
          <w:rFonts w:cs="Arial"/>
        </w:rPr>
        <w:tab/>
        <w:t>dp</w:t>
      </w:r>
      <w:r w:rsidRPr="00111F34">
        <w:rPr>
          <w:rFonts w:cs="Arial"/>
        </w:rPr>
        <w:tab/>
        <w:t>dlouhodobé působení vlivu (trvalý vliv s přesahem doby platnosti územního plánu)</w:t>
      </w:r>
    </w:p>
    <w:p w14:paraId="6D1E3CB7" w14:textId="77777777" w:rsidR="00DF5D27" w:rsidRPr="00111F34" w:rsidRDefault="00DF5D27" w:rsidP="00DF5D27">
      <w:pPr>
        <w:tabs>
          <w:tab w:val="left" w:pos="1440"/>
        </w:tabs>
        <w:autoSpaceDE w:val="0"/>
        <w:autoSpaceDN w:val="0"/>
        <w:adjustRightInd w:val="0"/>
        <w:spacing w:after="120"/>
        <w:rPr>
          <w:rFonts w:cs="Arial"/>
          <w:b/>
        </w:rPr>
      </w:pPr>
      <w:r w:rsidRPr="00111F34">
        <w:rPr>
          <w:rFonts w:cs="Arial"/>
          <w:b/>
        </w:rPr>
        <w:lastRenderedPageBreak/>
        <w:t>spolupůsobení vlivu</w:t>
      </w:r>
    </w:p>
    <w:p w14:paraId="3C0C35B0" w14:textId="77777777" w:rsidR="00DF5D27" w:rsidRPr="00111F34" w:rsidRDefault="00DF5D27" w:rsidP="00DF5D27">
      <w:pPr>
        <w:tabs>
          <w:tab w:val="left" w:pos="1440"/>
        </w:tabs>
        <w:autoSpaceDE w:val="0"/>
        <w:autoSpaceDN w:val="0"/>
        <w:adjustRightInd w:val="0"/>
        <w:spacing w:before="0"/>
        <w:ind w:left="1418" w:hanging="851"/>
        <w:rPr>
          <w:rFonts w:cs="Arial"/>
        </w:rPr>
      </w:pPr>
      <w:r w:rsidRPr="00111F34">
        <w:rPr>
          <w:rFonts w:cs="Arial"/>
        </w:rPr>
        <w:t>K </w:t>
      </w:r>
      <w:r w:rsidRPr="00111F34">
        <w:rPr>
          <w:rFonts w:cs="Arial"/>
        </w:rPr>
        <w:tab/>
        <w:t>kumulativní spolupůsobení vzhledem k již existujícím, resp. uvažovaným plochám/ záměrům/ strategickým dokumentům vč. ÚPD</w:t>
      </w:r>
    </w:p>
    <w:p w14:paraId="3B74687F" w14:textId="77777777" w:rsidR="00DF5D27" w:rsidRPr="00111F34" w:rsidRDefault="00DF5D27" w:rsidP="00DF5D27">
      <w:pPr>
        <w:tabs>
          <w:tab w:val="left" w:pos="1440"/>
        </w:tabs>
        <w:autoSpaceDE w:val="0"/>
        <w:autoSpaceDN w:val="0"/>
        <w:adjustRightInd w:val="0"/>
        <w:spacing w:before="0"/>
        <w:ind w:left="1418" w:hanging="851"/>
        <w:rPr>
          <w:rFonts w:cs="Arial"/>
        </w:rPr>
      </w:pPr>
      <w:r w:rsidRPr="00111F34">
        <w:rPr>
          <w:rFonts w:cs="Arial"/>
        </w:rPr>
        <w:t xml:space="preserve">S </w:t>
      </w:r>
      <w:r w:rsidRPr="00111F34">
        <w:rPr>
          <w:rFonts w:cs="Arial"/>
        </w:rPr>
        <w:tab/>
      </w:r>
      <w:r w:rsidRPr="00111F34">
        <w:rPr>
          <w:rFonts w:cs="Arial"/>
        </w:rPr>
        <w:tab/>
        <w:t>synergické spolupůsobení vzhledem k již existujícím, resp. uvažovaným plochám/ záměrům/ strategickým dokumentům vč. ÚPD</w:t>
      </w:r>
    </w:p>
    <w:p w14:paraId="7BD99584" w14:textId="77777777" w:rsidR="00DF5D27" w:rsidRPr="00111F34" w:rsidRDefault="00DF5D27" w:rsidP="00DF5D27">
      <w:pPr>
        <w:tabs>
          <w:tab w:val="left" w:pos="1440"/>
        </w:tabs>
        <w:autoSpaceDE w:val="0"/>
        <w:autoSpaceDN w:val="0"/>
        <w:adjustRightInd w:val="0"/>
        <w:spacing w:before="0"/>
        <w:ind w:firstLine="567"/>
        <w:rPr>
          <w:rFonts w:cs="Arial"/>
        </w:rPr>
      </w:pPr>
    </w:p>
    <w:p w14:paraId="6549F0CC" w14:textId="77777777" w:rsidR="00DF5D27" w:rsidRPr="00111F34" w:rsidRDefault="00DF5D27" w:rsidP="00DF5D27">
      <w:pPr>
        <w:tabs>
          <w:tab w:val="left" w:pos="1440"/>
        </w:tabs>
        <w:autoSpaceDE w:val="0"/>
        <w:autoSpaceDN w:val="0"/>
        <w:adjustRightInd w:val="0"/>
        <w:spacing w:before="0"/>
        <w:ind w:firstLine="567"/>
        <w:rPr>
          <w:rFonts w:cs="Arial"/>
        </w:rPr>
      </w:pPr>
    </w:p>
    <w:p w14:paraId="60A7A816" w14:textId="77777777" w:rsidR="00DF5D27" w:rsidRPr="00111F34" w:rsidRDefault="00DF5D27" w:rsidP="00DF5D27">
      <w:pPr>
        <w:pStyle w:val="Podnadpis10"/>
        <w:spacing w:after="120"/>
        <w:rPr>
          <w:sz w:val="20"/>
          <w:lang w:val="cs-CZ"/>
        </w:rPr>
      </w:pPr>
      <w:r w:rsidRPr="00111F34">
        <w:rPr>
          <w:sz w:val="20"/>
          <w:lang w:val="cs-CZ"/>
        </w:rPr>
        <w:t>Stupnice významnosti spolupůsobení vlivu:</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8868"/>
      </w:tblGrid>
      <w:tr w:rsidR="00DF5D27" w:rsidRPr="00111F34" w14:paraId="2EDCE032" w14:textId="77777777" w:rsidTr="00B34C98">
        <w:tc>
          <w:tcPr>
            <w:tcW w:w="347" w:type="pct"/>
            <w:tcBorders>
              <w:top w:val="single" w:sz="4" w:space="0" w:color="auto"/>
              <w:left w:val="single" w:sz="4" w:space="0" w:color="auto"/>
              <w:bottom w:val="single" w:sz="4" w:space="0" w:color="auto"/>
              <w:right w:val="single" w:sz="4" w:space="0" w:color="auto"/>
            </w:tcBorders>
            <w:shd w:val="clear" w:color="auto" w:fill="auto"/>
          </w:tcPr>
          <w:p w14:paraId="1AE83600" w14:textId="77777777" w:rsidR="00DF5D27" w:rsidRPr="00111F34" w:rsidRDefault="00DF5D27" w:rsidP="00B34C98">
            <w:pPr>
              <w:rPr>
                <w:sz w:val="16"/>
              </w:rPr>
            </w:pPr>
            <w:r w:rsidRPr="00111F34">
              <w:rPr>
                <w:sz w:val="16"/>
              </w:rPr>
              <w:t>K</w:t>
            </w:r>
          </w:p>
        </w:tc>
        <w:tc>
          <w:tcPr>
            <w:tcW w:w="4653" w:type="pct"/>
            <w:tcBorders>
              <w:top w:val="nil"/>
              <w:left w:val="single" w:sz="4" w:space="0" w:color="auto"/>
              <w:bottom w:val="nil"/>
              <w:right w:val="nil"/>
            </w:tcBorders>
            <w:shd w:val="clear" w:color="auto" w:fill="auto"/>
          </w:tcPr>
          <w:p w14:paraId="596C67F4" w14:textId="77777777" w:rsidR="00DF5D27" w:rsidRPr="00111F34" w:rsidRDefault="00DF5D27" w:rsidP="00B34C98">
            <w:pPr>
              <w:rPr>
                <w:sz w:val="16"/>
              </w:rPr>
            </w:pPr>
            <w:r w:rsidRPr="00111F34">
              <w:rPr>
                <w:sz w:val="16"/>
              </w:rPr>
              <w:t>kumulativní působení vzhledem k již existujícím, resp. uvažovaným plochám/záměrům</w:t>
            </w:r>
          </w:p>
        </w:tc>
      </w:tr>
      <w:tr w:rsidR="00DF5D27" w:rsidRPr="00111F34" w14:paraId="57474BFF" w14:textId="77777777" w:rsidTr="00B34C98">
        <w:tc>
          <w:tcPr>
            <w:tcW w:w="347" w:type="pct"/>
            <w:tcBorders>
              <w:top w:val="single" w:sz="4" w:space="0" w:color="auto"/>
              <w:left w:val="single" w:sz="4" w:space="0" w:color="auto"/>
              <w:bottom w:val="single" w:sz="4" w:space="0" w:color="auto"/>
              <w:right w:val="single" w:sz="4" w:space="0" w:color="auto"/>
            </w:tcBorders>
            <w:shd w:val="clear" w:color="auto" w:fill="auto"/>
          </w:tcPr>
          <w:p w14:paraId="6A91AEDC" w14:textId="77777777" w:rsidR="00DF5D27" w:rsidRPr="00111F34" w:rsidRDefault="00DF5D27" w:rsidP="00B34C98">
            <w:pPr>
              <w:rPr>
                <w:sz w:val="16"/>
              </w:rPr>
            </w:pPr>
            <w:r w:rsidRPr="00111F34">
              <w:rPr>
                <w:sz w:val="16"/>
              </w:rPr>
              <w:t>S</w:t>
            </w:r>
          </w:p>
        </w:tc>
        <w:tc>
          <w:tcPr>
            <w:tcW w:w="4653" w:type="pct"/>
            <w:tcBorders>
              <w:top w:val="nil"/>
              <w:left w:val="single" w:sz="4" w:space="0" w:color="auto"/>
              <w:bottom w:val="nil"/>
              <w:right w:val="nil"/>
            </w:tcBorders>
            <w:shd w:val="clear" w:color="auto" w:fill="auto"/>
          </w:tcPr>
          <w:p w14:paraId="71EE1FCF" w14:textId="77777777" w:rsidR="00DF5D27" w:rsidRPr="00111F34" w:rsidRDefault="00DF5D27" w:rsidP="00B34C98">
            <w:pPr>
              <w:rPr>
                <w:sz w:val="16"/>
              </w:rPr>
            </w:pPr>
            <w:r w:rsidRPr="00111F34">
              <w:rPr>
                <w:rFonts w:cs="Arial"/>
                <w:sz w:val="16"/>
              </w:rPr>
              <w:t>synergické působení vzhledem k již existujícím, resp. uvažovaným plochám/záměrům</w:t>
            </w:r>
          </w:p>
        </w:tc>
      </w:tr>
      <w:tr w:rsidR="00DF5D27" w:rsidRPr="00111F34" w14:paraId="489C913C" w14:textId="77777777" w:rsidTr="00B34C98">
        <w:trPr>
          <w:trHeight w:val="318"/>
        </w:trPr>
        <w:tc>
          <w:tcPr>
            <w:tcW w:w="347" w:type="pct"/>
            <w:tcBorders>
              <w:top w:val="single" w:sz="4" w:space="0" w:color="auto"/>
              <w:left w:val="single" w:sz="4" w:space="0" w:color="auto"/>
              <w:bottom w:val="single" w:sz="4" w:space="0" w:color="auto"/>
              <w:right w:val="single" w:sz="4" w:space="0" w:color="auto"/>
            </w:tcBorders>
            <w:shd w:val="clear" w:color="auto" w:fill="D99594"/>
          </w:tcPr>
          <w:p w14:paraId="653B62F5" w14:textId="77777777" w:rsidR="00DF5D27" w:rsidRPr="00111F34" w:rsidRDefault="00DF5D27" w:rsidP="00B34C98">
            <w:pPr>
              <w:rPr>
                <w:sz w:val="16"/>
              </w:rPr>
            </w:pPr>
          </w:p>
        </w:tc>
        <w:tc>
          <w:tcPr>
            <w:tcW w:w="4653" w:type="pct"/>
            <w:tcBorders>
              <w:top w:val="nil"/>
              <w:left w:val="single" w:sz="4" w:space="0" w:color="auto"/>
              <w:bottom w:val="nil"/>
              <w:right w:val="nil"/>
            </w:tcBorders>
            <w:shd w:val="clear" w:color="auto" w:fill="auto"/>
          </w:tcPr>
          <w:p w14:paraId="32502B5E" w14:textId="77777777" w:rsidR="00DF5D27" w:rsidRPr="00111F34" w:rsidRDefault="00DF5D27" w:rsidP="00B34C98">
            <w:pPr>
              <w:rPr>
                <w:sz w:val="16"/>
              </w:rPr>
            </w:pPr>
            <w:r w:rsidRPr="00111F34">
              <w:rPr>
                <w:sz w:val="16"/>
              </w:rPr>
              <w:t xml:space="preserve">potenciálně mírně negativní vliv </w:t>
            </w:r>
            <w:r w:rsidRPr="00111F34">
              <w:rPr>
                <w:rFonts w:cs="Arial"/>
                <w:sz w:val="16"/>
              </w:rPr>
              <w:t>s kumulativním, resp. synergickým dopadem mezi navrhovaným opatřením, resp. stávajícím a navrhovaným využitím souvisejícího území, odpovídá pomyslné hodnotě -1 míry kumulativního, resp. synergického vlivu</w:t>
            </w:r>
          </w:p>
        </w:tc>
      </w:tr>
      <w:tr w:rsidR="00DF5D27" w:rsidRPr="00111F34" w14:paraId="2A6A14A0" w14:textId="77777777" w:rsidTr="00B34C98">
        <w:tc>
          <w:tcPr>
            <w:tcW w:w="347" w:type="pct"/>
            <w:tcBorders>
              <w:top w:val="single" w:sz="4" w:space="0" w:color="auto"/>
              <w:left w:val="single" w:sz="4" w:space="0" w:color="auto"/>
              <w:bottom w:val="single" w:sz="4" w:space="0" w:color="auto"/>
              <w:right w:val="single" w:sz="4" w:space="0" w:color="auto"/>
            </w:tcBorders>
            <w:shd w:val="clear" w:color="auto" w:fill="943634"/>
          </w:tcPr>
          <w:p w14:paraId="397C8DB4" w14:textId="77777777" w:rsidR="00DF5D27" w:rsidRPr="00111F34" w:rsidRDefault="00DF5D27" w:rsidP="00B34C98">
            <w:pPr>
              <w:rPr>
                <w:sz w:val="16"/>
              </w:rPr>
            </w:pPr>
          </w:p>
        </w:tc>
        <w:tc>
          <w:tcPr>
            <w:tcW w:w="4653" w:type="pct"/>
            <w:tcBorders>
              <w:top w:val="nil"/>
              <w:left w:val="single" w:sz="4" w:space="0" w:color="auto"/>
              <w:bottom w:val="nil"/>
              <w:right w:val="nil"/>
            </w:tcBorders>
            <w:shd w:val="clear" w:color="auto" w:fill="auto"/>
          </w:tcPr>
          <w:p w14:paraId="7A55033C" w14:textId="77777777" w:rsidR="00DF5D27" w:rsidRPr="00111F34" w:rsidRDefault="00DF5D27" w:rsidP="00B34C98">
            <w:pPr>
              <w:rPr>
                <w:sz w:val="16"/>
              </w:rPr>
            </w:pPr>
            <w:r w:rsidRPr="00111F34">
              <w:rPr>
                <w:sz w:val="16"/>
              </w:rPr>
              <w:t xml:space="preserve">potenciálně významný negativní vliv </w:t>
            </w:r>
            <w:r w:rsidRPr="00111F34">
              <w:rPr>
                <w:rFonts w:cs="Arial"/>
                <w:sz w:val="16"/>
              </w:rPr>
              <w:t>s kumulativním, resp. synergickým dopadem mezi navrhovaným opatřením, resp. stávajícím a navrhovaným využitím souvisejícího území, odpovídá pomyslné hodnotě -2 míry kumulativního, resp. synergického vlivu</w:t>
            </w:r>
            <w:r w:rsidRPr="00111F34">
              <w:rPr>
                <w:rStyle w:val="Znakapoznpodarou"/>
                <w:rFonts w:cs="Arial"/>
              </w:rPr>
              <w:footnoteReference w:id="12"/>
            </w:r>
          </w:p>
        </w:tc>
      </w:tr>
      <w:tr w:rsidR="00DF5D27" w:rsidRPr="00111F34" w14:paraId="25B6E75F" w14:textId="77777777" w:rsidTr="00B34C98">
        <w:trPr>
          <w:trHeight w:val="533"/>
        </w:trPr>
        <w:tc>
          <w:tcPr>
            <w:tcW w:w="347" w:type="pct"/>
            <w:tcBorders>
              <w:top w:val="single" w:sz="4" w:space="0" w:color="auto"/>
              <w:left w:val="single" w:sz="4" w:space="0" w:color="auto"/>
              <w:bottom w:val="single" w:sz="4" w:space="0" w:color="auto"/>
              <w:right w:val="single" w:sz="4" w:space="0" w:color="auto"/>
            </w:tcBorders>
            <w:shd w:val="clear" w:color="auto" w:fill="auto"/>
          </w:tcPr>
          <w:p w14:paraId="42A61378" w14:textId="77777777" w:rsidR="00DF5D27" w:rsidRPr="00111F34" w:rsidRDefault="00DF5D27" w:rsidP="00B34C98">
            <w:pPr>
              <w:rPr>
                <w:sz w:val="16"/>
              </w:rPr>
            </w:pPr>
          </w:p>
        </w:tc>
        <w:tc>
          <w:tcPr>
            <w:tcW w:w="4653" w:type="pct"/>
            <w:tcBorders>
              <w:top w:val="nil"/>
              <w:left w:val="single" w:sz="4" w:space="0" w:color="auto"/>
              <w:bottom w:val="nil"/>
              <w:right w:val="nil"/>
            </w:tcBorders>
            <w:shd w:val="clear" w:color="auto" w:fill="auto"/>
          </w:tcPr>
          <w:p w14:paraId="7845B829" w14:textId="10689F3D" w:rsidR="00DF5D27" w:rsidRPr="00111F34" w:rsidRDefault="00DF5D27" w:rsidP="00B34C98">
            <w:pPr>
              <w:rPr>
                <w:sz w:val="16"/>
              </w:rPr>
            </w:pPr>
            <w:r w:rsidRPr="00111F34">
              <w:rPr>
                <w:rFonts w:cs="Arial"/>
                <w:sz w:val="16"/>
              </w:rPr>
              <w:t xml:space="preserve">nebyla identifikována potenciální vazba s kumulativním, resp. synergickým spolupůsobením mezi navrhovaným </w:t>
            </w:r>
            <w:r w:rsidR="003577E4" w:rsidRPr="00111F34">
              <w:rPr>
                <w:rFonts w:cs="Arial"/>
                <w:sz w:val="16"/>
              </w:rPr>
              <w:t>opatřením,</w:t>
            </w:r>
            <w:r w:rsidRPr="00111F34">
              <w:rPr>
                <w:rFonts w:cs="Arial"/>
                <w:sz w:val="16"/>
              </w:rPr>
              <w:t xml:space="preserve"> resp. stávajícím a navrhovaným využitím souvisejícího území </w:t>
            </w:r>
          </w:p>
        </w:tc>
      </w:tr>
      <w:tr w:rsidR="00DF5D27" w:rsidRPr="00111F34" w14:paraId="01EA442E" w14:textId="77777777" w:rsidTr="00B34C98">
        <w:tc>
          <w:tcPr>
            <w:tcW w:w="347" w:type="pct"/>
            <w:tcBorders>
              <w:top w:val="single" w:sz="4" w:space="0" w:color="auto"/>
              <w:left w:val="single" w:sz="4" w:space="0" w:color="auto"/>
              <w:bottom w:val="single" w:sz="4" w:space="0" w:color="auto"/>
              <w:right w:val="single" w:sz="4" w:space="0" w:color="auto"/>
            </w:tcBorders>
            <w:shd w:val="clear" w:color="auto" w:fill="D5E898"/>
          </w:tcPr>
          <w:p w14:paraId="74D6DF55" w14:textId="77777777" w:rsidR="00DF5D27" w:rsidRPr="00111F34" w:rsidRDefault="00DF5D27" w:rsidP="00B34C98">
            <w:pPr>
              <w:rPr>
                <w:sz w:val="16"/>
              </w:rPr>
            </w:pPr>
          </w:p>
        </w:tc>
        <w:tc>
          <w:tcPr>
            <w:tcW w:w="4653" w:type="pct"/>
            <w:tcBorders>
              <w:top w:val="nil"/>
              <w:left w:val="single" w:sz="4" w:space="0" w:color="auto"/>
              <w:bottom w:val="nil"/>
              <w:right w:val="nil"/>
            </w:tcBorders>
            <w:shd w:val="clear" w:color="auto" w:fill="auto"/>
          </w:tcPr>
          <w:p w14:paraId="7242A614" w14:textId="77777777" w:rsidR="00DF5D27" w:rsidRPr="00111F34" w:rsidRDefault="00DF5D27" w:rsidP="00B34C98">
            <w:pPr>
              <w:rPr>
                <w:sz w:val="16"/>
              </w:rPr>
            </w:pPr>
            <w:r w:rsidRPr="00111F34">
              <w:rPr>
                <w:sz w:val="16"/>
              </w:rPr>
              <w:t xml:space="preserve">potenciálně mírně pozitivní vliv </w:t>
            </w:r>
            <w:r w:rsidRPr="00111F34">
              <w:rPr>
                <w:rFonts w:cs="Arial"/>
                <w:sz w:val="16"/>
              </w:rPr>
              <w:t>s kumulativním, resp. synergickým dopadem mezi navrhovaným opatřením, resp. stávajícím a navrhovaným využitím souvisejícího území, odpovídá pomyslné hodnotě +1 míry kumulativního, resp. synergického vlivu</w:t>
            </w:r>
          </w:p>
        </w:tc>
      </w:tr>
      <w:tr w:rsidR="00DF5D27" w:rsidRPr="00111F34" w14:paraId="3B7E26B2" w14:textId="77777777" w:rsidTr="00B34C98">
        <w:tc>
          <w:tcPr>
            <w:tcW w:w="347" w:type="pct"/>
            <w:tcBorders>
              <w:top w:val="single" w:sz="4" w:space="0" w:color="auto"/>
              <w:left w:val="single" w:sz="4" w:space="0" w:color="auto"/>
              <w:bottom w:val="single" w:sz="18" w:space="0" w:color="FF0000"/>
              <w:right w:val="single" w:sz="4" w:space="0" w:color="auto"/>
            </w:tcBorders>
            <w:shd w:val="clear" w:color="auto" w:fill="9BBB59"/>
          </w:tcPr>
          <w:p w14:paraId="13465661" w14:textId="77777777" w:rsidR="00DF5D27" w:rsidRPr="00111F34" w:rsidRDefault="00DF5D27" w:rsidP="00B34C98">
            <w:pPr>
              <w:rPr>
                <w:sz w:val="16"/>
              </w:rPr>
            </w:pPr>
          </w:p>
        </w:tc>
        <w:tc>
          <w:tcPr>
            <w:tcW w:w="4653" w:type="pct"/>
            <w:tcBorders>
              <w:top w:val="nil"/>
              <w:left w:val="single" w:sz="4" w:space="0" w:color="auto"/>
              <w:bottom w:val="nil"/>
              <w:right w:val="nil"/>
            </w:tcBorders>
            <w:shd w:val="clear" w:color="auto" w:fill="auto"/>
          </w:tcPr>
          <w:p w14:paraId="0C6C8D87" w14:textId="77777777" w:rsidR="00DF5D27" w:rsidRPr="00111F34" w:rsidRDefault="00DF5D27" w:rsidP="00B34C98">
            <w:pPr>
              <w:rPr>
                <w:sz w:val="16"/>
              </w:rPr>
            </w:pPr>
            <w:r w:rsidRPr="00111F34">
              <w:rPr>
                <w:sz w:val="16"/>
              </w:rPr>
              <w:t xml:space="preserve">potenciálně významně pozitivní vliv </w:t>
            </w:r>
            <w:r w:rsidRPr="00111F34">
              <w:rPr>
                <w:rFonts w:cs="Arial"/>
                <w:sz w:val="16"/>
              </w:rPr>
              <w:t>s kumulativním, resp. synergickým dopadem mezi navrhovaným opatřením, resp. stávajícím a navrhovaným využitím souvisejícího území, odpovídá pomyslné hodnotě +2 míry kumulativního, resp. synergického vlivu</w:t>
            </w:r>
          </w:p>
        </w:tc>
      </w:tr>
      <w:tr w:rsidR="00DF5D27" w:rsidRPr="00111F34" w14:paraId="38DB771E" w14:textId="77777777" w:rsidTr="00B34C98">
        <w:trPr>
          <w:trHeight w:val="352"/>
        </w:trPr>
        <w:tc>
          <w:tcPr>
            <w:tcW w:w="347" w:type="pct"/>
            <w:tcBorders>
              <w:top w:val="single" w:sz="18" w:space="0" w:color="FF0000"/>
              <w:left w:val="single" w:sz="18" w:space="0" w:color="FF0000"/>
              <w:bottom w:val="single" w:sz="18" w:space="0" w:color="FF0000"/>
              <w:right w:val="single" w:sz="18" w:space="0" w:color="FF0000"/>
            </w:tcBorders>
            <w:shd w:val="clear" w:color="auto" w:fill="auto"/>
          </w:tcPr>
          <w:p w14:paraId="719F4C68" w14:textId="77777777" w:rsidR="00DF5D27" w:rsidRPr="00111F34" w:rsidRDefault="00DF5D27" w:rsidP="00B34C98">
            <w:pPr>
              <w:rPr>
                <w:sz w:val="16"/>
              </w:rPr>
            </w:pPr>
          </w:p>
        </w:tc>
        <w:tc>
          <w:tcPr>
            <w:tcW w:w="4653" w:type="pct"/>
            <w:tcBorders>
              <w:top w:val="nil"/>
              <w:left w:val="single" w:sz="18" w:space="0" w:color="FF0000"/>
              <w:bottom w:val="nil"/>
              <w:right w:val="nil"/>
            </w:tcBorders>
            <w:shd w:val="clear" w:color="auto" w:fill="auto"/>
          </w:tcPr>
          <w:p w14:paraId="07433882" w14:textId="77777777" w:rsidR="00DF5D27" w:rsidRPr="00111F34" w:rsidRDefault="00DF5D27" w:rsidP="00B34C98">
            <w:pPr>
              <w:rPr>
                <w:sz w:val="16"/>
              </w:rPr>
            </w:pPr>
            <w:r w:rsidRPr="00111F34">
              <w:rPr>
                <w:sz w:val="16"/>
              </w:rPr>
              <w:t>opačný směr působení impaktu v bezprostředním okolí plochy/koridoru oproti hodnocení směru kumulativního/synergického vlivu jako celku</w:t>
            </w:r>
            <w:r w:rsidRPr="00111F34">
              <w:rPr>
                <w:rStyle w:val="Znakapoznpodarou"/>
                <w:rFonts w:ascii="Arial Narrow" w:hAnsi="Arial Narrow" w:cs="Arial"/>
                <w:sz w:val="14"/>
                <w:szCs w:val="14"/>
              </w:rPr>
              <w:footnoteReference w:id="13"/>
            </w:r>
          </w:p>
        </w:tc>
      </w:tr>
    </w:tbl>
    <w:p w14:paraId="567593F6" w14:textId="77777777" w:rsidR="00DF5D27" w:rsidRPr="00111F34" w:rsidRDefault="00DF5D27" w:rsidP="00DF5D27"/>
    <w:p w14:paraId="77BA2AF1" w14:textId="77777777" w:rsidR="00DF5D27" w:rsidRPr="00111F34" w:rsidRDefault="00DF5D27" w:rsidP="00DF5D27">
      <w:pPr>
        <w:pStyle w:val="Nadpis3"/>
      </w:pPr>
      <w:bookmarkStart w:id="234" w:name="_Toc116412752"/>
      <w:bookmarkStart w:id="235" w:name="_Toc116991521"/>
      <w:bookmarkStart w:id="236" w:name="_Toc138848130"/>
      <w:r w:rsidRPr="00111F34">
        <w:t>Identifikace vlivů</w:t>
      </w:r>
      <w:bookmarkEnd w:id="234"/>
      <w:bookmarkEnd w:id="235"/>
      <w:bookmarkEnd w:id="236"/>
    </w:p>
    <w:p w14:paraId="3EF880E8" w14:textId="77777777" w:rsidR="00DF5D27" w:rsidRDefault="00DF5D27" w:rsidP="00DF5D27">
      <w:r w:rsidRPr="00111F34">
        <w:t>Níže je uvedena hodnotící tabulka, která mimo identifikace  zjištěných vlivů navrhovaného řešení vůči referenčnímu rámci  a  sledovaným složkám a tématům životního prostředí a  veřejného zdraví  (jako výsledku předchozích analytických kroků), tj. referenčním cílům životního prostředí a veřejného zdraví, obsahuje i stručný nástin navazujících kroků  v řetězci   evaluace – syntéza – návrh opatření – monitoring tak, aby byl na jednom místě  uživatelsky  názorným a jednoduchým způsobem patrný jako hodnotící proces a jeho důvody , tak i výsledky z něj plynoucí v podobě návrhu opatření pro minimalizaci vlivů a  jejich monitorování. Podrobněji jsou kroky v rámci syntézy komentovány v kapitole A.VII, opatření pro minimalizaci negativních vlivů v kapitolách A.VIII a A.XI, navrhovaný způsob sledování uplatňování koncepce je podrobněji uveden v kapitole A. X.</w:t>
      </w:r>
    </w:p>
    <w:p w14:paraId="3C0E52F1" w14:textId="21CD8189" w:rsidR="009A0AEF" w:rsidRPr="007E2FB4" w:rsidRDefault="009A0AEF" w:rsidP="00DF5D27">
      <w:pPr>
        <w:sectPr w:rsidR="009A0AEF" w:rsidRPr="007E2FB4" w:rsidSect="00B34C98">
          <w:headerReference w:type="default" r:id="rId121"/>
          <w:footerReference w:type="default" r:id="rId122"/>
          <w:headerReference w:type="first" r:id="rId123"/>
          <w:pgSz w:w="11906" w:h="16838" w:code="9"/>
          <w:pgMar w:top="1418" w:right="1134" w:bottom="1134" w:left="1134" w:header="709" w:footer="567" w:gutter="0"/>
          <w:cols w:space="227"/>
          <w:docGrid w:linePitch="360"/>
        </w:sectPr>
      </w:pPr>
    </w:p>
    <w:p w14:paraId="0C90B6E7" w14:textId="178EDB7A" w:rsidR="00DF5D27" w:rsidRPr="00111F34" w:rsidRDefault="00F51090" w:rsidP="00DF5D27">
      <w:pPr>
        <w:pStyle w:val="Nadpis4"/>
      </w:pPr>
      <w:r w:rsidRPr="007E2FB4">
        <w:lastRenderedPageBreak/>
        <w:t xml:space="preserve"> </w:t>
      </w:r>
      <w:r w:rsidR="00DF5D27" w:rsidRPr="00111F34">
        <w:t>Z</w:t>
      </w:r>
      <w:r w:rsidR="001663EA" w:rsidRPr="00111F34">
        <w:t>3827</w:t>
      </w:r>
      <w:r w:rsidR="00DF5D27" w:rsidRPr="00111F34">
        <w:t>/00</w:t>
      </w:r>
    </w:p>
    <w:tbl>
      <w:tblPr>
        <w:tblW w:w="5086"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6"/>
        <w:gridCol w:w="1046"/>
        <w:gridCol w:w="1107"/>
        <w:gridCol w:w="1136"/>
        <w:gridCol w:w="990"/>
        <w:gridCol w:w="993"/>
        <w:gridCol w:w="993"/>
        <w:gridCol w:w="990"/>
        <w:gridCol w:w="851"/>
        <w:gridCol w:w="851"/>
        <w:gridCol w:w="851"/>
        <w:gridCol w:w="912"/>
        <w:gridCol w:w="712"/>
        <w:gridCol w:w="1211"/>
        <w:gridCol w:w="883"/>
      </w:tblGrid>
      <w:tr w:rsidR="00DF5D27" w:rsidRPr="00111F34" w14:paraId="015D4FB3" w14:textId="77777777" w:rsidTr="00B34C98">
        <w:trPr>
          <w:cantSplit/>
          <w:trHeight w:val="332"/>
        </w:trPr>
        <w:tc>
          <w:tcPr>
            <w:tcW w:w="5000" w:type="pct"/>
            <w:gridSpan w:val="15"/>
            <w:tcBorders>
              <w:bottom w:val="single" w:sz="4" w:space="0" w:color="auto"/>
            </w:tcBorders>
            <w:shd w:val="clear" w:color="auto" w:fill="B8CCE4" w:themeFill="accent1" w:themeFillTint="66"/>
          </w:tcPr>
          <w:p w14:paraId="26C57D1C" w14:textId="77777777" w:rsidR="00DF5D27" w:rsidRPr="00111F34" w:rsidRDefault="00DF5D27" w:rsidP="00B34C98">
            <w:pPr>
              <w:tabs>
                <w:tab w:val="left" w:pos="1905"/>
                <w:tab w:val="center" w:pos="7124"/>
              </w:tabs>
              <w:snapToGrid w:val="0"/>
              <w:jc w:val="center"/>
              <w:rPr>
                <w:sz w:val="16"/>
                <w:szCs w:val="16"/>
              </w:rPr>
            </w:pPr>
            <w:bookmarkStart w:id="237" w:name="_Hlk135737644"/>
            <w:r w:rsidRPr="00111F34">
              <w:rPr>
                <w:sz w:val="16"/>
                <w:szCs w:val="16"/>
              </w:rPr>
              <w:t>Hodnocení a porovnání vlivů</w:t>
            </w:r>
          </w:p>
        </w:tc>
      </w:tr>
      <w:tr w:rsidR="00DF5D27" w:rsidRPr="00111F34" w14:paraId="3EDBA5AE" w14:textId="77777777" w:rsidTr="00B34C98">
        <w:trPr>
          <w:cantSplit/>
          <w:trHeight w:val="332"/>
        </w:trPr>
        <w:tc>
          <w:tcPr>
            <w:tcW w:w="5000" w:type="pct"/>
            <w:gridSpan w:val="15"/>
            <w:tcBorders>
              <w:bottom w:val="single" w:sz="4" w:space="0" w:color="auto"/>
            </w:tcBorders>
            <w:shd w:val="clear" w:color="auto" w:fill="C2D69B" w:themeFill="accent3" w:themeFillTint="99"/>
          </w:tcPr>
          <w:p w14:paraId="73C7462A" w14:textId="77777777" w:rsidR="00DF5D27" w:rsidRPr="00111F34" w:rsidRDefault="00DF5D27" w:rsidP="00B34C98">
            <w:pPr>
              <w:tabs>
                <w:tab w:val="left" w:pos="1905"/>
                <w:tab w:val="center" w:pos="7124"/>
              </w:tabs>
              <w:snapToGrid w:val="0"/>
              <w:rPr>
                <w:sz w:val="16"/>
                <w:szCs w:val="16"/>
              </w:rPr>
            </w:pPr>
            <w:r w:rsidRPr="00111F34">
              <w:rPr>
                <w:sz w:val="16"/>
                <w:szCs w:val="16"/>
              </w:rPr>
              <w:tab/>
            </w:r>
            <w:r w:rsidRPr="00111F34">
              <w:rPr>
                <w:sz w:val="16"/>
                <w:szCs w:val="16"/>
              </w:rPr>
              <w:tab/>
              <w:t>Environmentální pilíř</w:t>
            </w:r>
          </w:p>
        </w:tc>
      </w:tr>
      <w:tr w:rsidR="00DF5D27" w:rsidRPr="00111F34" w14:paraId="02604FA6" w14:textId="77777777" w:rsidTr="002F727C">
        <w:trPr>
          <w:cantSplit/>
          <w:trHeight w:val="1064"/>
        </w:trPr>
        <w:tc>
          <w:tcPr>
            <w:tcW w:w="343" w:type="pct"/>
            <w:tcBorders>
              <w:bottom w:val="single" w:sz="4" w:space="0" w:color="auto"/>
            </w:tcBorders>
            <w:shd w:val="clear" w:color="auto" w:fill="auto"/>
            <w:vAlign w:val="center"/>
          </w:tcPr>
          <w:p w14:paraId="0B6FE34C" w14:textId="77777777" w:rsidR="00DF5D27" w:rsidRPr="00111F34" w:rsidRDefault="00DF5D27" w:rsidP="00B34C98">
            <w:pPr>
              <w:snapToGrid w:val="0"/>
              <w:jc w:val="center"/>
              <w:rPr>
                <w:rFonts w:ascii="Arial Narrow" w:hAnsi="Arial Narrow"/>
                <w:b/>
                <w:sz w:val="14"/>
                <w:szCs w:val="14"/>
              </w:rPr>
            </w:pPr>
            <w:r w:rsidRPr="00111F34">
              <w:rPr>
                <w:rFonts w:ascii="Arial Narrow" w:hAnsi="Arial Narrow"/>
                <w:b/>
                <w:sz w:val="14"/>
                <w:szCs w:val="14"/>
              </w:rPr>
              <w:t>Složka životního prostředí, sledovaná témata udržitelného rozvoje</w:t>
            </w:r>
          </w:p>
        </w:tc>
        <w:tc>
          <w:tcPr>
            <w:tcW w:w="1132" w:type="pct"/>
            <w:gridSpan w:val="3"/>
            <w:tcBorders>
              <w:bottom w:val="single" w:sz="4" w:space="0" w:color="auto"/>
            </w:tcBorders>
            <w:shd w:val="clear" w:color="auto" w:fill="auto"/>
            <w:vAlign w:val="center"/>
          </w:tcPr>
          <w:p w14:paraId="5E6FA157" w14:textId="77777777" w:rsidR="00DF5D27" w:rsidRPr="00111F34" w:rsidRDefault="00DF5D27" w:rsidP="00B34C98">
            <w:pPr>
              <w:snapToGrid w:val="0"/>
              <w:jc w:val="center"/>
              <w:rPr>
                <w:rFonts w:ascii="Arial Narrow" w:hAnsi="Arial Narrow"/>
                <w:b/>
                <w:sz w:val="14"/>
                <w:szCs w:val="14"/>
              </w:rPr>
            </w:pPr>
            <w:r w:rsidRPr="00111F34">
              <w:rPr>
                <w:rFonts w:ascii="Arial Narrow" w:hAnsi="Arial Narrow"/>
                <w:b/>
                <w:sz w:val="14"/>
                <w:szCs w:val="14"/>
              </w:rPr>
              <w:t>1. obyvatelstvo, lidské zdraví</w:t>
            </w:r>
          </w:p>
        </w:tc>
        <w:tc>
          <w:tcPr>
            <w:tcW w:w="341" w:type="pct"/>
            <w:tcBorders>
              <w:bottom w:val="single" w:sz="4" w:space="0" w:color="auto"/>
            </w:tcBorders>
            <w:shd w:val="clear" w:color="auto" w:fill="auto"/>
            <w:vAlign w:val="center"/>
          </w:tcPr>
          <w:p w14:paraId="7B8D726D" w14:textId="77777777" w:rsidR="00DF5D27" w:rsidRPr="00111F34" w:rsidRDefault="00DF5D27" w:rsidP="00B34C98">
            <w:pPr>
              <w:snapToGrid w:val="0"/>
              <w:jc w:val="center"/>
              <w:rPr>
                <w:rFonts w:ascii="Arial Narrow" w:hAnsi="Arial Narrow"/>
                <w:b/>
                <w:sz w:val="14"/>
                <w:szCs w:val="14"/>
              </w:rPr>
            </w:pPr>
            <w:r w:rsidRPr="00111F34">
              <w:rPr>
                <w:rFonts w:ascii="Arial Narrow" w:hAnsi="Arial Narrow"/>
                <w:b/>
                <w:sz w:val="14"/>
                <w:szCs w:val="14"/>
              </w:rPr>
              <w:t>2. fauna, flóra, biodiverzita, ochrana přírody</w:t>
            </w:r>
          </w:p>
        </w:tc>
        <w:tc>
          <w:tcPr>
            <w:tcW w:w="684" w:type="pct"/>
            <w:gridSpan w:val="2"/>
            <w:tcBorders>
              <w:bottom w:val="single" w:sz="4" w:space="0" w:color="auto"/>
            </w:tcBorders>
            <w:shd w:val="clear" w:color="auto" w:fill="auto"/>
            <w:vAlign w:val="center"/>
          </w:tcPr>
          <w:p w14:paraId="7C6BA80B" w14:textId="77777777" w:rsidR="00DF5D27" w:rsidRPr="00111F34" w:rsidRDefault="00DF5D27" w:rsidP="00B34C98">
            <w:pPr>
              <w:snapToGrid w:val="0"/>
              <w:jc w:val="center"/>
              <w:rPr>
                <w:rFonts w:ascii="Arial Narrow" w:hAnsi="Arial Narrow"/>
                <w:b/>
                <w:sz w:val="14"/>
                <w:szCs w:val="14"/>
              </w:rPr>
            </w:pPr>
            <w:r w:rsidRPr="00111F34">
              <w:rPr>
                <w:rFonts w:ascii="Arial Narrow" w:hAnsi="Arial Narrow"/>
                <w:b/>
                <w:sz w:val="14"/>
                <w:szCs w:val="14"/>
              </w:rPr>
              <w:t>3. půda a horninové prostředí</w:t>
            </w:r>
          </w:p>
        </w:tc>
        <w:tc>
          <w:tcPr>
            <w:tcW w:w="341" w:type="pct"/>
            <w:tcBorders>
              <w:bottom w:val="single" w:sz="4" w:space="0" w:color="auto"/>
            </w:tcBorders>
            <w:shd w:val="clear" w:color="auto" w:fill="auto"/>
            <w:vAlign w:val="center"/>
          </w:tcPr>
          <w:p w14:paraId="491AB64A" w14:textId="77777777" w:rsidR="00DF5D27" w:rsidRPr="00111F34" w:rsidRDefault="00DF5D27" w:rsidP="00B34C98">
            <w:pPr>
              <w:snapToGrid w:val="0"/>
              <w:jc w:val="center"/>
              <w:rPr>
                <w:rFonts w:ascii="Arial Narrow" w:hAnsi="Arial Narrow"/>
                <w:b/>
                <w:sz w:val="14"/>
                <w:szCs w:val="14"/>
              </w:rPr>
            </w:pPr>
            <w:r w:rsidRPr="00111F34">
              <w:rPr>
                <w:rFonts w:ascii="Arial Narrow" w:hAnsi="Arial Narrow"/>
                <w:b/>
                <w:sz w:val="14"/>
                <w:szCs w:val="14"/>
              </w:rPr>
              <w:t>4. voda</w:t>
            </w:r>
          </w:p>
        </w:tc>
        <w:tc>
          <w:tcPr>
            <w:tcW w:w="586" w:type="pct"/>
            <w:gridSpan w:val="2"/>
            <w:tcBorders>
              <w:bottom w:val="single" w:sz="4" w:space="0" w:color="auto"/>
            </w:tcBorders>
            <w:shd w:val="clear" w:color="auto" w:fill="auto"/>
            <w:vAlign w:val="center"/>
          </w:tcPr>
          <w:p w14:paraId="20D01E4F" w14:textId="77777777" w:rsidR="00DF5D27" w:rsidRPr="00111F34" w:rsidRDefault="00DF5D27" w:rsidP="00B34C98">
            <w:pPr>
              <w:snapToGrid w:val="0"/>
              <w:jc w:val="center"/>
              <w:rPr>
                <w:rFonts w:ascii="Arial Narrow" w:hAnsi="Arial Narrow"/>
                <w:b/>
                <w:sz w:val="14"/>
                <w:szCs w:val="14"/>
              </w:rPr>
            </w:pPr>
            <w:r w:rsidRPr="00111F34">
              <w:rPr>
                <w:rFonts w:ascii="Arial Narrow" w:hAnsi="Arial Narrow"/>
                <w:b/>
                <w:sz w:val="14"/>
                <w:szCs w:val="14"/>
              </w:rPr>
              <w:t>5. ovzduší klima</w:t>
            </w:r>
          </w:p>
        </w:tc>
        <w:tc>
          <w:tcPr>
            <w:tcW w:w="293" w:type="pct"/>
            <w:tcBorders>
              <w:bottom w:val="single" w:sz="4" w:space="0" w:color="auto"/>
            </w:tcBorders>
            <w:shd w:val="clear" w:color="auto" w:fill="auto"/>
            <w:vAlign w:val="center"/>
          </w:tcPr>
          <w:p w14:paraId="6B2785FA" w14:textId="77777777" w:rsidR="00DF5D27" w:rsidRPr="00111F34" w:rsidRDefault="00DF5D27" w:rsidP="00B34C98">
            <w:pPr>
              <w:snapToGrid w:val="0"/>
              <w:jc w:val="center"/>
              <w:rPr>
                <w:rFonts w:ascii="Arial Narrow" w:hAnsi="Arial Narrow"/>
                <w:b/>
                <w:sz w:val="14"/>
                <w:szCs w:val="14"/>
              </w:rPr>
            </w:pPr>
            <w:r w:rsidRPr="00111F34">
              <w:rPr>
                <w:rFonts w:ascii="Arial Narrow" w:hAnsi="Arial Narrow"/>
                <w:b/>
                <w:sz w:val="14"/>
                <w:szCs w:val="14"/>
              </w:rPr>
              <w:t>6. hluková zátěž</w:t>
            </w:r>
          </w:p>
        </w:tc>
        <w:tc>
          <w:tcPr>
            <w:tcW w:w="559" w:type="pct"/>
            <w:gridSpan w:val="2"/>
            <w:tcBorders>
              <w:bottom w:val="single" w:sz="4" w:space="0" w:color="auto"/>
            </w:tcBorders>
            <w:shd w:val="clear" w:color="auto" w:fill="auto"/>
            <w:vAlign w:val="center"/>
          </w:tcPr>
          <w:p w14:paraId="664BBA62" w14:textId="77777777" w:rsidR="00DF5D27" w:rsidRPr="00111F34" w:rsidRDefault="00DF5D27" w:rsidP="00B34C98">
            <w:pPr>
              <w:snapToGrid w:val="0"/>
              <w:jc w:val="center"/>
              <w:rPr>
                <w:rFonts w:ascii="Arial Narrow" w:hAnsi="Arial Narrow"/>
                <w:b/>
                <w:sz w:val="14"/>
                <w:szCs w:val="14"/>
              </w:rPr>
            </w:pPr>
            <w:r w:rsidRPr="00111F34">
              <w:rPr>
                <w:rFonts w:ascii="Arial Narrow" w:hAnsi="Arial Narrow"/>
                <w:b/>
                <w:sz w:val="14"/>
                <w:szCs w:val="14"/>
              </w:rPr>
              <w:t>7. Sídla, urbanizace</w:t>
            </w:r>
          </w:p>
        </w:tc>
        <w:tc>
          <w:tcPr>
            <w:tcW w:w="417" w:type="pct"/>
            <w:tcBorders>
              <w:bottom w:val="single" w:sz="4" w:space="0" w:color="auto"/>
            </w:tcBorders>
            <w:shd w:val="clear" w:color="auto" w:fill="auto"/>
            <w:vAlign w:val="center"/>
          </w:tcPr>
          <w:p w14:paraId="023A3778" w14:textId="77777777" w:rsidR="00DF5D27" w:rsidRPr="00111F34" w:rsidRDefault="00DF5D27" w:rsidP="00B34C98">
            <w:pPr>
              <w:snapToGrid w:val="0"/>
              <w:jc w:val="center"/>
              <w:rPr>
                <w:rFonts w:ascii="Arial Narrow" w:hAnsi="Arial Narrow"/>
                <w:b/>
                <w:sz w:val="14"/>
                <w:szCs w:val="14"/>
              </w:rPr>
            </w:pPr>
            <w:r w:rsidRPr="00111F34">
              <w:rPr>
                <w:rFonts w:ascii="Arial Narrow" w:hAnsi="Arial Narrow"/>
                <w:b/>
                <w:sz w:val="14"/>
                <w:szCs w:val="14"/>
              </w:rPr>
              <w:t>8. hmotné statky</w:t>
            </w:r>
          </w:p>
          <w:p w14:paraId="0E6E9F5C" w14:textId="77777777" w:rsidR="00DF5D27" w:rsidRPr="00111F34" w:rsidRDefault="00DF5D27" w:rsidP="00B34C98">
            <w:pPr>
              <w:snapToGrid w:val="0"/>
              <w:jc w:val="center"/>
              <w:rPr>
                <w:rFonts w:ascii="Arial Narrow" w:hAnsi="Arial Narrow"/>
                <w:b/>
                <w:sz w:val="14"/>
                <w:szCs w:val="14"/>
              </w:rPr>
            </w:pPr>
            <w:r w:rsidRPr="00111F34">
              <w:rPr>
                <w:rFonts w:ascii="Arial Narrow" w:hAnsi="Arial Narrow"/>
                <w:b/>
                <w:sz w:val="14"/>
                <w:szCs w:val="14"/>
              </w:rPr>
              <w:t>a kulturní dědictví včetně architektonického a archeologického dědictví</w:t>
            </w:r>
          </w:p>
        </w:tc>
        <w:tc>
          <w:tcPr>
            <w:tcW w:w="304" w:type="pct"/>
            <w:tcBorders>
              <w:bottom w:val="single" w:sz="4" w:space="0" w:color="auto"/>
            </w:tcBorders>
            <w:shd w:val="clear" w:color="auto" w:fill="auto"/>
            <w:vAlign w:val="center"/>
          </w:tcPr>
          <w:p w14:paraId="44E438B5" w14:textId="77777777" w:rsidR="00DF5D27" w:rsidRPr="00111F34" w:rsidRDefault="00DF5D27" w:rsidP="00B34C98">
            <w:pPr>
              <w:snapToGrid w:val="0"/>
              <w:jc w:val="center"/>
              <w:rPr>
                <w:rFonts w:ascii="Arial Narrow" w:hAnsi="Arial Narrow"/>
                <w:b/>
                <w:sz w:val="14"/>
                <w:szCs w:val="14"/>
              </w:rPr>
            </w:pPr>
            <w:r w:rsidRPr="00111F34">
              <w:rPr>
                <w:rFonts w:ascii="Arial Narrow" w:hAnsi="Arial Narrow"/>
                <w:b/>
                <w:sz w:val="14"/>
                <w:szCs w:val="14"/>
              </w:rPr>
              <w:t xml:space="preserve">9. krajina, </w:t>
            </w:r>
          </w:p>
        </w:tc>
      </w:tr>
      <w:tr w:rsidR="00DF5D27" w:rsidRPr="00111F34" w14:paraId="7A32AFDB" w14:textId="77777777" w:rsidTr="00E02FAB">
        <w:trPr>
          <w:cantSplit/>
          <w:trHeight w:val="1040"/>
        </w:trPr>
        <w:tc>
          <w:tcPr>
            <w:tcW w:w="343" w:type="pct"/>
            <w:tcBorders>
              <w:bottom w:val="single" w:sz="4" w:space="0" w:color="auto"/>
            </w:tcBorders>
            <w:shd w:val="clear" w:color="auto" w:fill="auto"/>
            <w:vAlign w:val="center"/>
          </w:tcPr>
          <w:p w14:paraId="43DC4941" w14:textId="77777777" w:rsidR="00DF5D27" w:rsidRPr="00111F34" w:rsidRDefault="00DF5D27" w:rsidP="00B34C98">
            <w:pPr>
              <w:snapToGrid w:val="0"/>
              <w:jc w:val="center"/>
              <w:rPr>
                <w:rFonts w:ascii="Arial Narrow" w:hAnsi="Arial Narrow"/>
                <w:b/>
                <w:sz w:val="14"/>
                <w:szCs w:val="14"/>
              </w:rPr>
            </w:pPr>
            <w:r w:rsidRPr="00111F34">
              <w:rPr>
                <w:rFonts w:ascii="Arial Narrow" w:hAnsi="Arial Narrow"/>
                <w:b/>
                <w:sz w:val="14"/>
                <w:szCs w:val="14"/>
              </w:rPr>
              <w:t>Referenční cíle životního prostředí</w:t>
            </w:r>
          </w:p>
        </w:tc>
        <w:tc>
          <w:tcPr>
            <w:tcW w:w="360" w:type="pct"/>
            <w:tcBorders>
              <w:bottom w:val="single" w:sz="4" w:space="0" w:color="auto"/>
            </w:tcBorders>
            <w:shd w:val="clear" w:color="auto" w:fill="auto"/>
            <w:vAlign w:val="center"/>
          </w:tcPr>
          <w:p w14:paraId="74F3140F" w14:textId="77777777" w:rsidR="00DF5D27" w:rsidRPr="00111F34" w:rsidRDefault="00DF5D27" w:rsidP="00B34C98">
            <w:pPr>
              <w:snapToGrid w:val="0"/>
              <w:jc w:val="center"/>
              <w:rPr>
                <w:rFonts w:ascii="Arial Narrow" w:hAnsi="Arial Narrow"/>
                <w:sz w:val="14"/>
                <w:szCs w:val="14"/>
              </w:rPr>
            </w:pPr>
            <w:r w:rsidRPr="00111F34">
              <w:rPr>
                <w:rFonts w:ascii="Arial Narrow" w:hAnsi="Arial Narrow"/>
                <w:sz w:val="14"/>
                <w:szCs w:val="14"/>
              </w:rPr>
              <w:t>1.1 zlepšit kvalitu života obyvatel sídel a sociální determinanty lidského zdraví</w:t>
            </w:r>
          </w:p>
        </w:tc>
        <w:tc>
          <w:tcPr>
            <w:tcW w:w="381" w:type="pct"/>
            <w:tcBorders>
              <w:bottom w:val="single" w:sz="4" w:space="0" w:color="auto"/>
            </w:tcBorders>
            <w:shd w:val="clear" w:color="auto" w:fill="auto"/>
            <w:vAlign w:val="center"/>
          </w:tcPr>
          <w:p w14:paraId="2C55854D" w14:textId="77777777" w:rsidR="00DF5D27" w:rsidRPr="00111F34" w:rsidRDefault="00DF5D27" w:rsidP="00B34C98">
            <w:pPr>
              <w:snapToGrid w:val="0"/>
              <w:jc w:val="center"/>
              <w:rPr>
                <w:rFonts w:ascii="Arial Narrow" w:hAnsi="Arial Narrow"/>
                <w:sz w:val="14"/>
                <w:szCs w:val="14"/>
              </w:rPr>
            </w:pPr>
            <w:r w:rsidRPr="00111F34">
              <w:rPr>
                <w:rFonts w:ascii="Arial Narrow" w:hAnsi="Arial Narrow"/>
                <w:sz w:val="14"/>
                <w:szCs w:val="14"/>
              </w:rPr>
              <w:t>1.2 podporovat environmentálně šetrné formy rekreace a zdravý životní styl</w:t>
            </w:r>
          </w:p>
          <w:p w14:paraId="67E7AC91" w14:textId="77777777" w:rsidR="00DF5D27" w:rsidRPr="00111F34" w:rsidRDefault="00DF5D27" w:rsidP="00B34C98">
            <w:pPr>
              <w:snapToGrid w:val="0"/>
              <w:jc w:val="center"/>
              <w:rPr>
                <w:rFonts w:ascii="Arial Narrow" w:hAnsi="Arial Narrow"/>
                <w:sz w:val="14"/>
                <w:szCs w:val="14"/>
              </w:rPr>
            </w:pPr>
          </w:p>
        </w:tc>
        <w:tc>
          <w:tcPr>
            <w:tcW w:w="391" w:type="pct"/>
            <w:tcBorders>
              <w:bottom w:val="single" w:sz="4" w:space="0" w:color="auto"/>
            </w:tcBorders>
            <w:shd w:val="clear" w:color="auto" w:fill="auto"/>
            <w:vAlign w:val="center"/>
          </w:tcPr>
          <w:p w14:paraId="3DD42F76" w14:textId="77777777" w:rsidR="00DF5D27" w:rsidRPr="00111F34" w:rsidRDefault="00DF5D27" w:rsidP="00B34C98">
            <w:pPr>
              <w:snapToGrid w:val="0"/>
              <w:jc w:val="center"/>
              <w:rPr>
                <w:rFonts w:ascii="Arial Narrow" w:hAnsi="Arial Narrow"/>
                <w:sz w:val="14"/>
                <w:szCs w:val="14"/>
              </w:rPr>
            </w:pPr>
            <w:r w:rsidRPr="00111F34">
              <w:rPr>
                <w:rFonts w:ascii="Arial Narrow" w:hAnsi="Arial Narrow"/>
                <w:sz w:val="14"/>
                <w:szCs w:val="14"/>
              </w:rPr>
              <w:t>1.3 pomocí prevence chránit životní prostředí a obyvatelstvo před důsledky přírodních a antropogenních krizových situací</w:t>
            </w:r>
          </w:p>
        </w:tc>
        <w:tc>
          <w:tcPr>
            <w:tcW w:w="341" w:type="pct"/>
            <w:tcBorders>
              <w:bottom w:val="single" w:sz="4" w:space="0" w:color="auto"/>
            </w:tcBorders>
            <w:shd w:val="clear" w:color="auto" w:fill="auto"/>
            <w:vAlign w:val="center"/>
          </w:tcPr>
          <w:p w14:paraId="102D9437" w14:textId="77777777" w:rsidR="00DF5D27" w:rsidRPr="00111F34" w:rsidRDefault="00DF5D27" w:rsidP="00B34C98">
            <w:pPr>
              <w:snapToGrid w:val="0"/>
              <w:jc w:val="center"/>
              <w:rPr>
                <w:rFonts w:ascii="Arial Narrow" w:hAnsi="Arial Narrow"/>
                <w:sz w:val="14"/>
                <w:szCs w:val="14"/>
              </w:rPr>
            </w:pPr>
            <w:r w:rsidRPr="00111F34">
              <w:rPr>
                <w:rFonts w:ascii="Arial Narrow" w:hAnsi="Arial Narrow"/>
                <w:sz w:val="14"/>
                <w:szCs w:val="14"/>
              </w:rPr>
              <w:t>2.1 chránit ohniska biodiverzity a omezovat fragmentaci krajiny</w:t>
            </w:r>
          </w:p>
        </w:tc>
        <w:tc>
          <w:tcPr>
            <w:tcW w:w="342" w:type="pct"/>
            <w:tcBorders>
              <w:bottom w:val="single" w:sz="4" w:space="0" w:color="auto"/>
            </w:tcBorders>
            <w:shd w:val="clear" w:color="auto" w:fill="auto"/>
            <w:vAlign w:val="center"/>
          </w:tcPr>
          <w:p w14:paraId="3F9BCD5C" w14:textId="77777777" w:rsidR="00DF5D27" w:rsidRPr="00111F34" w:rsidRDefault="00DF5D27" w:rsidP="00B34C98">
            <w:pPr>
              <w:snapToGrid w:val="0"/>
              <w:jc w:val="center"/>
              <w:rPr>
                <w:rFonts w:ascii="Arial Narrow" w:hAnsi="Arial Narrow"/>
                <w:sz w:val="14"/>
                <w:szCs w:val="14"/>
              </w:rPr>
            </w:pPr>
            <w:r w:rsidRPr="00111F34">
              <w:rPr>
                <w:rFonts w:ascii="Arial Narrow" w:hAnsi="Arial Narrow"/>
                <w:sz w:val="14"/>
                <w:szCs w:val="14"/>
              </w:rPr>
              <w:t>3.1 omezovat nové trvalé zábory ZPF a PUPFL a zabezpečit ochranu ekologických funkcí půdy</w:t>
            </w:r>
          </w:p>
        </w:tc>
        <w:tc>
          <w:tcPr>
            <w:tcW w:w="342" w:type="pct"/>
            <w:tcBorders>
              <w:bottom w:val="single" w:sz="4" w:space="0" w:color="auto"/>
            </w:tcBorders>
            <w:shd w:val="clear" w:color="auto" w:fill="auto"/>
            <w:vAlign w:val="center"/>
          </w:tcPr>
          <w:p w14:paraId="572211EB" w14:textId="77777777" w:rsidR="00DF5D27" w:rsidRPr="00111F34" w:rsidRDefault="00DF5D27" w:rsidP="00B34C98">
            <w:pPr>
              <w:snapToGrid w:val="0"/>
              <w:jc w:val="center"/>
              <w:rPr>
                <w:rFonts w:ascii="Arial Narrow" w:hAnsi="Arial Narrow"/>
                <w:sz w:val="14"/>
                <w:szCs w:val="14"/>
              </w:rPr>
            </w:pPr>
            <w:r w:rsidRPr="00111F34">
              <w:rPr>
                <w:rFonts w:ascii="Arial Narrow" w:hAnsi="Arial Narrow"/>
                <w:sz w:val="14"/>
                <w:szCs w:val="14"/>
              </w:rPr>
              <w:t>3.2 chránit nerostné bohatství a předcházet geologickým rizikům</w:t>
            </w:r>
          </w:p>
        </w:tc>
        <w:tc>
          <w:tcPr>
            <w:tcW w:w="341" w:type="pct"/>
            <w:tcBorders>
              <w:bottom w:val="single" w:sz="4" w:space="0" w:color="auto"/>
            </w:tcBorders>
            <w:shd w:val="clear" w:color="auto" w:fill="auto"/>
            <w:vAlign w:val="center"/>
          </w:tcPr>
          <w:p w14:paraId="511659DC" w14:textId="77777777" w:rsidR="00DF5D27" w:rsidRPr="00111F34" w:rsidRDefault="00DF5D27" w:rsidP="00B34C98">
            <w:pPr>
              <w:snapToGrid w:val="0"/>
              <w:jc w:val="center"/>
              <w:rPr>
                <w:rFonts w:ascii="Arial Narrow" w:hAnsi="Arial Narrow"/>
                <w:sz w:val="14"/>
                <w:szCs w:val="14"/>
              </w:rPr>
            </w:pPr>
            <w:r w:rsidRPr="00111F34">
              <w:rPr>
                <w:rFonts w:ascii="Arial Narrow" w:hAnsi="Arial Narrow"/>
                <w:sz w:val="14"/>
                <w:szCs w:val="14"/>
              </w:rPr>
              <w:t>4.1 posilovat retenční funkci krajiny a zlepšovat ekol. funkce vodních útvarů podzemních a povrchových vod</w:t>
            </w:r>
          </w:p>
        </w:tc>
        <w:tc>
          <w:tcPr>
            <w:tcW w:w="293" w:type="pct"/>
            <w:shd w:val="clear" w:color="auto" w:fill="auto"/>
            <w:vAlign w:val="center"/>
          </w:tcPr>
          <w:p w14:paraId="61821F91" w14:textId="77777777" w:rsidR="00DF5D27" w:rsidRPr="00111F34" w:rsidRDefault="00DF5D27" w:rsidP="00B34C98">
            <w:pPr>
              <w:snapToGrid w:val="0"/>
              <w:jc w:val="center"/>
              <w:rPr>
                <w:rFonts w:ascii="Arial Narrow" w:hAnsi="Arial Narrow"/>
                <w:sz w:val="14"/>
                <w:szCs w:val="14"/>
              </w:rPr>
            </w:pPr>
            <w:r w:rsidRPr="00111F34">
              <w:rPr>
                <w:rFonts w:ascii="Arial Narrow" w:hAnsi="Arial Narrow"/>
                <w:sz w:val="14"/>
                <w:szCs w:val="14"/>
              </w:rPr>
              <w:t>5.1 snižovat znečištění ovzduší s důrazem na NOx, B(a)P a PM10</w:t>
            </w:r>
          </w:p>
        </w:tc>
        <w:tc>
          <w:tcPr>
            <w:tcW w:w="293" w:type="pct"/>
            <w:shd w:val="clear" w:color="auto" w:fill="auto"/>
            <w:vAlign w:val="center"/>
          </w:tcPr>
          <w:p w14:paraId="5801E4ED" w14:textId="77777777" w:rsidR="00DF5D27" w:rsidRPr="00111F34" w:rsidRDefault="00DF5D27" w:rsidP="00B34C98">
            <w:pPr>
              <w:jc w:val="center"/>
              <w:rPr>
                <w:rFonts w:ascii="Arial Narrow" w:hAnsi="Arial Narrow"/>
                <w:sz w:val="14"/>
                <w:szCs w:val="14"/>
              </w:rPr>
            </w:pPr>
            <w:r w:rsidRPr="00111F34">
              <w:rPr>
                <w:rFonts w:ascii="Arial Narrow" w:hAnsi="Arial Narrow"/>
                <w:sz w:val="14"/>
                <w:szCs w:val="14"/>
              </w:rPr>
              <w:t>5.2 pomocí územně plánovacích opatření snižovat působení tepelného ostrova města</w:t>
            </w:r>
          </w:p>
        </w:tc>
        <w:tc>
          <w:tcPr>
            <w:tcW w:w="293" w:type="pct"/>
            <w:tcBorders>
              <w:bottom w:val="single" w:sz="18" w:space="0" w:color="FF0000"/>
            </w:tcBorders>
            <w:shd w:val="clear" w:color="auto" w:fill="auto"/>
            <w:vAlign w:val="center"/>
          </w:tcPr>
          <w:p w14:paraId="5BB83D79" w14:textId="77777777" w:rsidR="00DF5D27" w:rsidRPr="00111F34" w:rsidRDefault="00DF5D27" w:rsidP="00B34C98">
            <w:pPr>
              <w:snapToGrid w:val="0"/>
              <w:jc w:val="center"/>
              <w:rPr>
                <w:rFonts w:ascii="Arial Narrow" w:hAnsi="Arial Narrow"/>
                <w:sz w:val="14"/>
                <w:szCs w:val="14"/>
              </w:rPr>
            </w:pPr>
            <w:r w:rsidRPr="00111F34">
              <w:rPr>
                <w:rFonts w:ascii="Arial Narrow" w:hAnsi="Arial Narrow"/>
                <w:sz w:val="14"/>
                <w:szCs w:val="14"/>
              </w:rPr>
              <w:t>6.1 snižovat expozici hluku prostředky územního plánování</w:t>
            </w:r>
          </w:p>
        </w:tc>
        <w:tc>
          <w:tcPr>
            <w:tcW w:w="314" w:type="pct"/>
            <w:tcBorders>
              <w:bottom w:val="single" w:sz="4" w:space="0" w:color="auto"/>
            </w:tcBorders>
            <w:shd w:val="clear" w:color="auto" w:fill="auto"/>
          </w:tcPr>
          <w:p w14:paraId="461B41F1" w14:textId="77777777" w:rsidR="00DF5D27" w:rsidRPr="00111F34" w:rsidRDefault="00DF5D27" w:rsidP="00B34C98">
            <w:pPr>
              <w:rPr>
                <w:rFonts w:ascii="Arial Narrow" w:hAnsi="Arial Narrow"/>
                <w:sz w:val="14"/>
                <w:szCs w:val="14"/>
              </w:rPr>
            </w:pPr>
            <w:r w:rsidRPr="00111F34">
              <w:rPr>
                <w:rFonts w:ascii="Arial Narrow" w:hAnsi="Arial Narrow"/>
                <w:sz w:val="14"/>
                <w:szCs w:val="14"/>
              </w:rPr>
              <w:t>7.1 efektivním územním plánováním přispět k optimalizaci územního rozvoje sídel a ochraně přírody a krajiny</w:t>
            </w:r>
          </w:p>
        </w:tc>
        <w:tc>
          <w:tcPr>
            <w:tcW w:w="245" w:type="pct"/>
            <w:tcBorders>
              <w:bottom w:val="single" w:sz="4" w:space="0" w:color="auto"/>
            </w:tcBorders>
            <w:shd w:val="clear" w:color="auto" w:fill="auto"/>
          </w:tcPr>
          <w:p w14:paraId="1EBDA57A" w14:textId="77777777" w:rsidR="00DF5D27" w:rsidRPr="00111F34" w:rsidRDefault="00DF5D27" w:rsidP="00B34C98">
            <w:pPr>
              <w:rPr>
                <w:rFonts w:ascii="Arial Narrow" w:hAnsi="Arial Narrow"/>
                <w:sz w:val="14"/>
                <w:szCs w:val="14"/>
              </w:rPr>
            </w:pPr>
            <w:r w:rsidRPr="00111F34">
              <w:rPr>
                <w:rFonts w:ascii="Arial Narrow" w:hAnsi="Arial Narrow"/>
                <w:sz w:val="14"/>
                <w:szCs w:val="14"/>
              </w:rPr>
              <w:t>7.2 snižovat zatížení dopravní sítě v sídlech zejména tranzitní a nákladní silniční dopravou</w:t>
            </w:r>
          </w:p>
        </w:tc>
        <w:tc>
          <w:tcPr>
            <w:tcW w:w="417" w:type="pct"/>
            <w:tcBorders>
              <w:bottom w:val="single" w:sz="4" w:space="0" w:color="auto"/>
            </w:tcBorders>
            <w:shd w:val="clear" w:color="auto" w:fill="auto"/>
            <w:vAlign w:val="center"/>
          </w:tcPr>
          <w:p w14:paraId="6C81F483" w14:textId="77777777" w:rsidR="00DF5D27" w:rsidRPr="00111F34" w:rsidRDefault="00DF5D27" w:rsidP="00B34C98">
            <w:pPr>
              <w:snapToGrid w:val="0"/>
              <w:jc w:val="center"/>
              <w:rPr>
                <w:rFonts w:ascii="Arial Narrow" w:hAnsi="Arial Narrow"/>
                <w:sz w:val="14"/>
                <w:szCs w:val="14"/>
              </w:rPr>
            </w:pPr>
            <w:r w:rsidRPr="00111F34">
              <w:rPr>
                <w:rFonts w:ascii="Arial Narrow" w:hAnsi="Arial Narrow"/>
                <w:sz w:val="14"/>
                <w:szCs w:val="14"/>
              </w:rPr>
              <w:t>8.1 chránit kulturní, architektonické a archeologické dědictví</w:t>
            </w:r>
          </w:p>
        </w:tc>
        <w:tc>
          <w:tcPr>
            <w:tcW w:w="304" w:type="pct"/>
            <w:tcBorders>
              <w:bottom w:val="single" w:sz="4" w:space="0" w:color="auto"/>
            </w:tcBorders>
            <w:shd w:val="clear" w:color="auto" w:fill="auto"/>
            <w:vAlign w:val="center"/>
          </w:tcPr>
          <w:p w14:paraId="508E3276" w14:textId="77777777" w:rsidR="00DF5D27" w:rsidRPr="00111F34" w:rsidRDefault="00DF5D27" w:rsidP="00B34C98">
            <w:pPr>
              <w:snapToGrid w:val="0"/>
              <w:jc w:val="center"/>
              <w:rPr>
                <w:rFonts w:ascii="Arial Narrow" w:hAnsi="Arial Narrow"/>
                <w:sz w:val="14"/>
                <w:szCs w:val="14"/>
              </w:rPr>
            </w:pPr>
            <w:r w:rsidRPr="00111F34">
              <w:rPr>
                <w:rFonts w:ascii="Arial Narrow" w:hAnsi="Arial Narrow"/>
                <w:sz w:val="14"/>
                <w:szCs w:val="14"/>
              </w:rPr>
              <w:t xml:space="preserve">9.1 chránit krajinný ráz </w:t>
            </w:r>
          </w:p>
        </w:tc>
      </w:tr>
      <w:tr w:rsidR="00DF5D27" w:rsidRPr="00111F34" w14:paraId="7DF1A3EC" w14:textId="77777777" w:rsidTr="00E02FAB">
        <w:trPr>
          <w:trHeight w:val="206"/>
        </w:trPr>
        <w:tc>
          <w:tcPr>
            <w:tcW w:w="343" w:type="pct"/>
            <w:tcBorders>
              <w:top w:val="single" w:sz="4" w:space="0" w:color="auto"/>
              <w:bottom w:val="single" w:sz="4" w:space="0" w:color="auto"/>
              <w:right w:val="single" w:sz="4" w:space="0" w:color="auto"/>
            </w:tcBorders>
            <w:shd w:val="clear" w:color="auto" w:fill="auto"/>
            <w:vAlign w:val="center"/>
          </w:tcPr>
          <w:p w14:paraId="05916058" w14:textId="319E64F6" w:rsidR="00DF5D27" w:rsidRPr="00111F34" w:rsidRDefault="00C51945" w:rsidP="00B34C98">
            <w:pPr>
              <w:pStyle w:val="normln0"/>
              <w:snapToGrid w:val="0"/>
              <w:spacing w:before="0"/>
              <w:jc w:val="center"/>
              <w:rPr>
                <w:rFonts w:ascii="Arial Narrow" w:hAnsi="Arial Narrow" w:cs="Arial"/>
                <w:b/>
                <w:sz w:val="14"/>
                <w:szCs w:val="14"/>
              </w:rPr>
            </w:pPr>
            <w:r w:rsidRPr="00111F34">
              <w:rPr>
                <w:rFonts w:ascii="Arial Narrow" w:hAnsi="Arial Narrow" w:cs="Arial"/>
                <w:b/>
                <w:sz w:val="14"/>
                <w:szCs w:val="14"/>
              </w:rPr>
              <w:t>Podbaba – Kamýcká</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3529C625" w14:textId="4F8D2EC7" w:rsidR="00DF5D27" w:rsidRPr="00111F34" w:rsidRDefault="009A0AEF" w:rsidP="00B34C98">
            <w:pPr>
              <w:spacing w:beforeLines="20" w:before="48" w:afterLines="20" w:after="48"/>
              <w:jc w:val="center"/>
              <w:rPr>
                <w:rFonts w:ascii="Arial Narrow" w:hAnsi="Arial Narrow"/>
                <w:sz w:val="14"/>
                <w:szCs w:val="16"/>
              </w:rPr>
            </w:pPr>
            <w:r w:rsidRPr="00111F34">
              <w:rPr>
                <w:rFonts w:ascii="Arial Narrow" w:hAnsi="Arial Narrow"/>
                <w:sz w:val="14"/>
                <w:szCs w:val="16"/>
              </w:rPr>
              <w:t>0</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1EA3396F" w14:textId="32332F05" w:rsidR="00DF5D27" w:rsidRPr="00111F34" w:rsidRDefault="009A0AEF" w:rsidP="00B34C98">
            <w:pPr>
              <w:spacing w:beforeLines="20" w:before="48" w:afterLines="20" w:after="48"/>
              <w:jc w:val="center"/>
              <w:rPr>
                <w:rFonts w:ascii="Arial Narrow" w:hAnsi="Arial Narrow"/>
                <w:sz w:val="14"/>
                <w:szCs w:val="16"/>
              </w:rPr>
            </w:pPr>
            <w:r w:rsidRPr="00111F34">
              <w:rPr>
                <w:rFonts w:ascii="Arial Narrow" w:hAnsi="Arial Narrow"/>
                <w:sz w:val="14"/>
                <w:szCs w:val="16"/>
              </w:rPr>
              <w:t>0</w:t>
            </w:r>
          </w:p>
        </w:tc>
        <w:tc>
          <w:tcPr>
            <w:tcW w:w="391" w:type="pct"/>
            <w:tcBorders>
              <w:top w:val="single" w:sz="4" w:space="0" w:color="auto"/>
              <w:left w:val="single" w:sz="4" w:space="0" w:color="auto"/>
              <w:bottom w:val="single" w:sz="4" w:space="0" w:color="auto"/>
              <w:right w:val="single" w:sz="4" w:space="0" w:color="auto"/>
            </w:tcBorders>
            <w:shd w:val="clear" w:color="auto" w:fill="auto"/>
            <w:vAlign w:val="center"/>
          </w:tcPr>
          <w:p w14:paraId="76DF0F71" w14:textId="33702703" w:rsidR="00DF5D27" w:rsidRPr="00111F34" w:rsidRDefault="009A0AEF" w:rsidP="00B34C98">
            <w:pPr>
              <w:spacing w:beforeLines="20" w:before="48" w:afterLines="20" w:after="48"/>
              <w:jc w:val="center"/>
              <w:rPr>
                <w:rFonts w:ascii="Arial Narrow" w:hAnsi="Arial Narrow"/>
                <w:sz w:val="14"/>
                <w:szCs w:val="16"/>
              </w:rPr>
            </w:pPr>
            <w:r w:rsidRPr="00111F34">
              <w:rPr>
                <w:rFonts w:ascii="Arial Narrow" w:hAnsi="Arial Narrow"/>
                <w:sz w:val="14"/>
                <w:szCs w:val="16"/>
              </w:rPr>
              <w:t>0</w:t>
            </w:r>
          </w:p>
        </w:tc>
        <w:tc>
          <w:tcPr>
            <w:tcW w:w="341" w:type="pct"/>
            <w:tcBorders>
              <w:top w:val="single" w:sz="4" w:space="0" w:color="auto"/>
              <w:left w:val="single" w:sz="4" w:space="0" w:color="auto"/>
              <w:bottom w:val="single" w:sz="4" w:space="0" w:color="auto"/>
              <w:right w:val="single" w:sz="4" w:space="0" w:color="auto"/>
            </w:tcBorders>
            <w:shd w:val="clear" w:color="auto" w:fill="auto"/>
            <w:vAlign w:val="center"/>
          </w:tcPr>
          <w:p w14:paraId="66606420" w14:textId="77777777" w:rsidR="00DF5D27" w:rsidRPr="00111F34" w:rsidRDefault="00DF5D27" w:rsidP="00B34C98">
            <w:pPr>
              <w:spacing w:beforeLines="20" w:before="48" w:afterLines="20" w:after="48"/>
              <w:jc w:val="center"/>
              <w:rPr>
                <w:rFonts w:ascii="Arial Narrow" w:hAnsi="Arial Narrow"/>
                <w:sz w:val="14"/>
                <w:szCs w:val="16"/>
              </w:rPr>
            </w:pPr>
            <w:r w:rsidRPr="00111F34">
              <w:rPr>
                <w:rFonts w:ascii="Arial Narrow" w:hAnsi="Arial Narrow"/>
                <w:sz w:val="14"/>
                <w:szCs w:val="16"/>
              </w:rPr>
              <w:t>0</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1AEE060E" w14:textId="77777777" w:rsidR="00DF5D27" w:rsidRPr="00111F34" w:rsidRDefault="00DF5D27" w:rsidP="00B34C98">
            <w:pPr>
              <w:spacing w:beforeLines="20" w:before="48" w:afterLines="20" w:after="48"/>
              <w:jc w:val="center"/>
              <w:rPr>
                <w:rFonts w:ascii="Arial Narrow" w:hAnsi="Arial Narrow"/>
                <w:sz w:val="14"/>
                <w:szCs w:val="16"/>
              </w:rPr>
            </w:pPr>
            <w:r w:rsidRPr="00111F34">
              <w:rPr>
                <w:rFonts w:ascii="Arial Narrow" w:hAnsi="Arial Narrow"/>
                <w:sz w:val="14"/>
                <w:szCs w:val="16"/>
              </w:rPr>
              <w:t>0</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386B062D" w14:textId="69263368" w:rsidR="00DF5D27" w:rsidRPr="00111F34" w:rsidRDefault="009B6EAF" w:rsidP="00B34C98">
            <w:pPr>
              <w:spacing w:beforeLines="20" w:before="48" w:afterLines="20" w:after="48"/>
              <w:jc w:val="center"/>
              <w:rPr>
                <w:rFonts w:ascii="Arial Narrow" w:hAnsi="Arial Narrow"/>
                <w:sz w:val="14"/>
                <w:szCs w:val="16"/>
              </w:rPr>
            </w:pPr>
            <w:r w:rsidRPr="00111F34">
              <w:rPr>
                <w:rFonts w:ascii="Arial Narrow" w:hAnsi="Arial Narrow"/>
                <w:sz w:val="14"/>
                <w:szCs w:val="16"/>
              </w:rPr>
              <w:t>0</w:t>
            </w:r>
          </w:p>
        </w:tc>
        <w:tc>
          <w:tcPr>
            <w:tcW w:w="341" w:type="pct"/>
            <w:tcBorders>
              <w:top w:val="single" w:sz="4" w:space="0" w:color="auto"/>
              <w:left w:val="single" w:sz="4" w:space="0" w:color="auto"/>
              <w:bottom w:val="single" w:sz="4" w:space="0" w:color="auto"/>
            </w:tcBorders>
            <w:shd w:val="clear" w:color="auto" w:fill="auto"/>
            <w:vAlign w:val="center"/>
          </w:tcPr>
          <w:p w14:paraId="22E1B4FE" w14:textId="5A0C30CE" w:rsidR="00DF5D27" w:rsidRPr="00111F34" w:rsidRDefault="00DF5D27" w:rsidP="00B34C98">
            <w:pPr>
              <w:spacing w:beforeLines="20" w:before="48" w:afterLines="20" w:after="48"/>
              <w:jc w:val="center"/>
              <w:rPr>
                <w:rFonts w:ascii="Arial Narrow" w:hAnsi="Arial Narrow"/>
                <w:sz w:val="14"/>
                <w:szCs w:val="16"/>
              </w:rPr>
            </w:pPr>
            <w:r w:rsidRPr="00111F34">
              <w:rPr>
                <w:rFonts w:ascii="Arial Narrow" w:hAnsi="Arial Narrow"/>
                <w:sz w:val="14"/>
                <w:szCs w:val="16"/>
              </w:rPr>
              <w:t>-1/B/</w:t>
            </w:r>
            <w:r w:rsidR="00F51090" w:rsidRPr="00111F34">
              <w:rPr>
                <w:rFonts w:ascii="Arial Narrow" w:hAnsi="Arial Narrow"/>
                <w:sz w:val="14"/>
                <w:szCs w:val="16"/>
              </w:rPr>
              <w:t>dp</w:t>
            </w:r>
          </w:p>
        </w:tc>
        <w:tc>
          <w:tcPr>
            <w:tcW w:w="293" w:type="pct"/>
            <w:tcBorders>
              <w:bottom w:val="single" w:sz="4" w:space="0" w:color="auto"/>
            </w:tcBorders>
            <w:shd w:val="clear" w:color="auto" w:fill="auto"/>
            <w:vAlign w:val="center"/>
          </w:tcPr>
          <w:p w14:paraId="47E92FD7" w14:textId="4B36B47E" w:rsidR="00DF5D27" w:rsidRPr="00111F34" w:rsidRDefault="009B6EAF" w:rsidP="00B34C98">
            <w:pPr>
              <w:spacing w:beforeLines="20" w:before="48" w:afterLines="20" w:after="48"/>
              <w:jc w:val="center"/>
              <w:rPr>
                <w:rFonts w:ascii="Arial Narrow" w:hAnsi="Arial Narrow"/>
                <w:sz w:val="14"/>
                <w:szCs w:val="16"/>
              </w:rPr>
            </w:pPr>
            <w:r w:rsidRPr="00111F34">
              <w:rPr>
                <w:rFonts w:ascii="Arial Narrow" w:hAnsi="Arial Narrow"/>
                <w:sz w:val="14"/>
                <w:szCs w:val="16"/>
              </w:rPr>
              <w:t>+1/B/dp</w:t>
            </w:r>
          </w:p>
        </w:tc>
        <w:tc>
          <w:tcPr>
            <w:tcW w:w="293" w:type="pct"/>
            <w:tcBorders>
              <w:bottom w:val="single" w:sz="4" w:space="0" w:color="auto"/>
              <w:right w:val="single" w:sz="18" w:space="0" w:color="FF0000"/>
            </w:tcBorders>
            <w:shd w:val="clear" w:color="auto" w:fill="auto"/>
            <w:vAlign w:val="center"/>
          </w:tcPr>
          <w:p w14:paraId="57DD3474" w14:textId="581B4C40" w:rsidR="00DF5D27" w:rsidRPr="00111F34" w:rsidRDefault="00F51090" w:rsidP="00B34C98">
            <w:pPr>
              <w:spacing w:beforeLines="20" w:before="48" w:afterLines="20" w:after="48"/>
              <w:jc w:val="center"/>
              <w:rPr>
                <w:rFonts w:ascii="Arial Narrow" w:hAnsi="Arial Narrow"/>
                <w:sz w:val="14"/>
                <w:szCs w:val="16"/>
              </w:rPr>
            </w:pPr>
            <w:r w:rsidRPr="00111F34">
              <w:rPr>
                <w:rFonts w:ascii="Arial Narrow" w:hAnsi="Arial Narrow"/>
                <w:sz w:val="14"/>
                <w:szCs w:val="16"/>
              </w:rPr>
              <w:t>-</w:t>
            </w:r>
            <w:r w:rsidR="00DF5D27" w:rsidRPr="00111F34">
              <w:rPr>
                <w:rFonts w:ascii="Arial Narrow" w:hAnsi="Arial Narrow"/>
                <w:sz w:val="14"/>
                <w:szCs w:val="16"/>
              </w:rPr>
              <w:t>1/B/dp</w:t>
            </w:r>
          </w:p>
        </w:tc>
        <w:tc>
          <w:tcPr>
            <w:tcW w:w="293" w:type="pct"/>
            <w:tcBorders>
              <w:top w:val="single" w:sz="18" w:space="0" w:color="FF0000"/>
              <w:left w:val="single" w:sz="18" w:space="0" w:color="FF0000"/>
              <w:bottom w:val="single" w:sz="18" w:space="0" w:color="FF0000"/>
              <w:right w:val="single" w:sz="18" w:space="0" w:color="FF0000"/>
            </w:tcBorders>
            <w:shd w:val="clear" w:color="auto" w:fill="EAF1DD" w:themeFill="accent3" w:themeFillTint="33"/>
            <w:vAlign w:val="center"/>
          </w:tcPr>
          <w:p w14:paraId="5C322ED0" w14:textId="643DBEF2" w:rsidR="00DF5D27" w:rsidRPr="00111F34" w:rsidRDefault="00F51090" w:rsidP="00B34C98">
            <w:pPr>
              <w:spacing w:beforeLines="20" w:before="48" w:afterLines="20" w:after="48"/>
              <w:jc w:val="center"/>
              <w:rPr>
                <w:rFonts w:ascii="Arial Narrow" w:hAnsi="Arial Narrow"/>
                <w:sz w:val="14"/>
                <w:szCs w:val="16"/>
              </w:rPr>
            </w:pPr>
            <w:r w:rsidRPr="00111F34">
              <w:rPr>
                <w:rFonts w:ascii="Arial Narrow" w:hAnsi="Arial Narrow"/>
                <w:sz w:val="14"/>
                <w:szCs w:val="16"/>
              </w:rPr>
              <w:t>-1</w:t>
            </w:r>
            <w:r w:rsidR="00DF5D27" w:rsidRPr="00111F34">
              <w:rPr>
                <w:rFonts w:ascii="Arial Narrow" w:hAnsi="Arial Narrow"/>
                <w:sz w:val="14"/>
                <w:szCs w:val="16"/>
              </w:rPr>
              <w:t>/</w:t>
            </w:r>
            <w:r w:rsidR="00E02FAB">
              <w:rPr>
                <w:rFonts w:ascii="Arial Narrow" w:hAnsi="Arial Narrow"/>
                <w:sz w:val="14"/>
                <w:szCs w:val="16"/>
              </w:rPr>
              <w:t>+1/</w:t>
            </w:r>
            <w:r w:rsidR="00DF5D27" w:rsidRPr="00111F34">
              <w:rPr>
                <w:rFonts w:ascii="Arial Narrow" w:hAnsi="Arial Narrow"/>
                <w:sz w:val="14"/>
                <w:szCs w:val="16"/>
              </w:rPr>
              <w:t>B/dp/S</w:t>
            </w:r>
          </w:p>
        </w:tc>
        <w:tc>
          <w:tcPr>
            <w:tcW w:w="314" w:type="pct"/>
            <w:tcBorders>
              <w:top w:val="single" w:sz="4" w:space="0" w:color="auto"/>
              <w:left w:val="single" w:sz="18" w:space="0" w:color="FF0000"/>
              <w:bottom w:val="single" w:sz="4" w:space="0" w:color="auto"/>
              <w:right w:val="single" w:sz="4" w:space="0" w:color="auto"/>
            </w:tcBorders>
            <w:shd w:val="clear" w:color="auto" w:fill="auto"/>
            <w:vAlign w:val="center"/>
          </w:tcPr>
          <w:p w14:paraId="0C3AD841" w14:textId="6AE53D71" w:rsidR="00DF5D27" w:rsidRPr="00111F34" w:rsidRDefault="00DF5D27" w:rsidP="00B34C98">
            <w:pPr>
              <w:spacing w:beforeLines="20" w:before="48" w:afterLines="20" w:after="48"/>
              <w:jc w:val="center"/>
              <w:rPr>
                <w:rFonts w:ascii="Arial Narrow" w:hAnsi="Arial Narrow"/>
                <w:sz w:val="14"/>
                <w:szCs w:val="16"/>
              </w:rPr>
            </w:pPr>
            <w:r w:rsidRPr="00111F34">
              <w:rPr>
                <w:rFonts w:ascii="Arial Narrow" w:hAnsi="Arial Narrow"/>
                <w:sz w:val="14"/>
                <w:szCs w:val="16"/>
              </w:rPr>
              <w:t>+</w:t>
            </w:r>
            <w:r w:rsidR="009B6EAF" w:rsidRPr="00111F34">
              <w:rPr>
                <w:rFonts w:ascii="Arial Narrow" w:hAnsi="Arial Narrow"/>
                <w:sz w:val="14"/>
                <w:szCs w:val="16"/>
              </w:rPr>
              <w:t>1</w:t>
            </w:r>
            <w:r w:rsidRPr="00111F34">
              <w:rPr>
                <w:rFonts w:ascii="Arial Narrow" w:hAnsi="Arial Narrow"/>
                <w:sz w:val="14"/>
                <w:szCs w:val="16"/>
              </w:rPr>
              <w:t>/</w:t>
            </w:r>
            <w:r w:rsidR="00F51090" w:rsidRPr="00111F34">
              <w:rPr>
                <w:rFonts w:ascii="Arial Narrow" w:hAnsi="Arial Narrow"/>
                <w:sz w:val="14"/>
                <w:szCs w:val="16"/>
              </w:rPr>
              <w:t>B</w:t>
            </w:r>
            <w:r w:rsidRPr="00111F34">
              <w:rPr>
                <w:rFonts w:ascii="Arial Narrow" w:hAnsi="Arial Narrow"/>
                <w:sz w:val="14"/>
                <w:szCs w:val="16"/>
              </w:rPr>
              <w:t>/dp</w:t>
            </w:r>
          </w:p>
        </w:tc>
        <w:tc>
          <w:tcPr>
            <w:tcW w:w="245" w:type="pct"/>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4886DE4D" w14:textId="64B7E2F1" w:rsidR="00DF5D27" w:rsidRPr="00111F34" w:rsidRDefault="009A0AEF" w:rsidP="00B34C98">
            <w:pPr>
              <w:spacing w:beforeLines="20" w:before="48" w:afterLines="20" w:after="48"/>
              <w:jc w:val="center"/>
              <w:rPr>
                <w:rFonts w:ascii="Arial Narrow" w:hAnsi="Arial Narrow"/>
                <w:sz w:val="14"/>
                <w:szCs w:val="16"/>
              </w:rPr>
            </w:pPr>
            <w:r w:rsidRPr="00111F34">
              <w:rPr>
                <w:rFonts w:ascii="Arial Narrow" w:hAnsi="Arial Narrow"/>
                <w:sz w:val="14"/>
                <w:szCs w:val="16"/>
              </w:rPr>
              <w:t>+1/R/dp/S</w:t>
            </w:r>
          </w:p>
        </w:tc>
        <w:tc>
          <w:tcPr>
            <w:tcW w:w="417" w:type="pct"/>
            <w:tcBorders>
              <w:top w:val="single" w:sz="4" w:space="0" w:color="auto"/>
              <w:left w:val="single" w:sz="4" w:space="0" w:color="auto"/>
              <w:bottom w:val="single" w:sz="4" w:space="0" w:color="auto"/>
              <w:right w:val="single" w:sz="4" w:space="0" w:color="auto"/>
            </w:tcBorders>
            <w:shd w:val="clear" w:color="auto" w:fill="auto"/>
            <w:vAlign w:val="center"/>
          </w:tcPr>
          <w:p w14:paraId="790AFBA6" w14:textId="1D840625" w:rsidR="00DF5D27" w:rsidRPr="00111F34" w:rsidRDefault="009A0AEF" w:rsidP="00B34C98">
            <w:pPr>
              <w:spacing w:beforeLines="20" w:before="48" w:afterLines="20" w:after="48"/>
              <w:jc w:val="center"/>
              <w:rPr>
                <w:rFonts w:ascii="Arial Narrow" w:hAnsi="Arial Narrow"/>
                <w:sz w:val="14"/>
                <w:szCs w:val="16"/>
              </w:rPr>
            </w:pPr>
            <w:r w:rsidRPr="00111F34">
              <w:rPr>
                <w:rFonts w:ascii="Arial Narrow" w:hAnsi="Arial Narrow"/>
                <w:sz w:val="14"/>
                <w:szCs w:val="16"/>
              </w:rPr>
              <w:t>-1/B/dp</w:t>
            </w:r>
          </w:p>
        </w:tc>
        <w:tc>
          <w:tcPr>
            <w:tcW w:w="304" w:type="pct"/>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tcPr>
          <w:p w14:paraId="3564FAAE" w14:textId="16AD36E1" w:rsidR="00DF5D27" w:rsidRPr="00111F34" w:rsidRDefault="00517CB8" w:rsidP="00B34C98">
            <w:pPr>
              <w:spacing w:beforeLines="20" w:before="48" w:afterLines="20" w:after="48"/>
              <w:jc w:val="center"/>
              <w:rPr>
                <w:rFonts w:ascii="Arial Narrow" w:hAnsi="Arial Narrow"/>
                <w:sz w:val="14"/>
                <w:szCs w:val="16"/>
              </w:rPr>
            </w:pPr>
            <w:r w:rsidRPr="00111F34">
              <w:rPr>
                <w:rFonts w:ascii="Arial Narrow" w:hAnsi="Arial Narrow"/>
                <w:sz w:val="14"/>
                <w:szCs w:val="16"/>
              </w:rPr>
              <w:t>-</w:t>
            </w:r>
            <w:r w:rsidR="00DF5D27" w:rsidRPr="00111F34">
              <w:rPr>
                <w:rFonts w:ascii="Arial Narrow" w:hAnsi="Arial Narrow"/>
                <w:sz w:val="14"/>
                <w:szCs w:val="16"/>
              </w:rPr>
              <w:t>1/B/dp</w:t>
            </w:r>
            <w:r w:rsidR="00F51090" w:rsidRPr="00111F34">
              <w:rPr>
                <w:rFonts w:ascii="Arial Narrow" w:hAnsi="Arial Narrow"/>
                <w:sz w:val="14"/>
                <w:szCs w:val="16"/>
              </w:rPr>
              <w:t>/S</w:t>
            </w:r>
          </w:p>
        </w:tc>
      </w:tr>
      <w:tr w:rsidR="009A0AEF" w:rsidRPr="00111F34" w14:paraId="73ACA4E3" w14:textId="77777777" w:rsidTr="00E02FAB">
        <w:trPr>
          <w:trHeight w:val="265"/>
        </w:trPr>
        <w:tc>
          <w:tcPr>
            <w:tcW w:w="343" w:type="pct"/>
            <w:tcBorders>
              <w:top w:val="single" w:sz="4" w:space="0" w:color="auto"/>
              <w:bottom w:val="single" w:sz="4" w:space="0" w:color="auto"/>
              <w:right w:val="single" w:sz="4" w:space="0" w:color="auto"/>
            </w:tcBorders>
            <w:shd w:val="clear" w:color="auto" w:fill="auto"/>
            <w:vAlign w:val="center"/>
          </w:tcPr>
          <w:p w14:paraId="607A22FD" w14:textId="440C9D3A" w:rsidR="009A0AEF" w:rsidRPr="00111F34" w:rsidRDefault="009A0AEF" w:rsidP="00B34C98">
            <w:pPr>
              <w:pStyle w:val="normln0"/>
              <w:snapToGrid w:val="0"/>
              <w:spacing w:before="0"/>
              <w:jc w:val="center"/>
              <w:rPr>
                <w:rFonts w:ascii="Arial Narrow" w:hAnsi="Arial Narrow" w:cs="Arial"/>
                <w:b/>
                <w:sz w:val="14"/>
                <w:szCs w:val="14"/>
              </w:rPr>
            </w:pPr>
            <w:r w:rsidRPr="00111F34">
              <w:rPr>
                <w:rFonts w:ascii="Arial Narrow" w:hAnsi="Arial Narrow" w:cs="Arial"/>
                <w:b/>
                <w:sz w:val="14"/>
                <w:szCs w:val="14"/>
              </w:rPr>
              <w:t>Nový Sedlec</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489D3341" w14:textId="75CA5C41" w:rsidR="009A0AEF" w:rsidRPr="00111F34" w:rsidRDefault="009B6EAF" w:rsidP="00B34C98">
            <w:pPr>
              <w:spacing w:beforeLines="20" w:before="48" w:afterLines="20" w:after="48"/>
              <w:jc w:val="center"/>
              <w:rPr>
                <w:rFonts w:ascii="Arial Narrow" w:hAnsi="Arial Narrow"/>
                <w:sz w:val="14"/>
                <w:szCs w:val="16"/>
              </w:rPr>
            </w:pPr>
            <w:r w:rsidRPr="00111F34">
              <w:rPr>
                <w:rFonts w:ascii="Arial Narrow" w:hAnsi="Arial Narrow"/>
                <w:sz w:val="14"/>
                <w:szCs w:val="16"/>
              </w:rPr>
              <w:t>+2/B/dp</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51C41B4E" w14:textId="74E6C8F0" w:rsidR="009A0AEF" w:rsidRPr="00111F34" w:rsidRDefault="00517CB8" w:rsidP="00B34C98">
            <w:pPr>
              <w:spacing w:beforeLines="20" w:before="48" w:afterLines="20" w:after="48"/>
              <w:jc w:val="center"/>
              <w:rPr>
                <w:rFonts w:ascii="Arial Narrow" w:hAnsi="Arial Narrow"/>
                <w:sz w:val="14"/>
                <w:szCs w:val="16"/>
              </w:rPr>
            </w:pPr>
            <w:r w:rsidRPr="00111F34">
              <w:rPr>
                <w:rFonts w:ascii="Arial Narrow" w:hAnsi="Arial Narrow"/>
                <w:sz w:val="14"/>
                <w:szCs w:val="16"/>
              </w:rPr>
              <w:t>+</w:t>
            </w:r>
            <w:r w:rsidR="009B6EAF" w:rsidRPr="00111F34">
              <w:rPr>
                <w:rFonts w:ascii="Arial Narrow" w:hAnsi="Arial Narrow"/>
                <w:sz w:val="14"/>
                <w:szCs w:val="16"/>
              </w:rPr>
              <w:t>1/B/dp</w:t>
            </w:r>
          </w:p>
        </w:tc>
        <w:tc>
          <w:tcPr>
            <w:tcW w:w="391" w:type="pct"/>
            <w:tcBorders>
              <w:top w:val="single" w:sz="4" w:space="0" w:color="auto"/>
              <w:left w:val="single" w:sz="4" w:space="0" w:color="auto"/>
              <w:bottom w:val="single" w:sz="4" w:space="0" w:color="auto"/>
              <w:right w:val="single" w:sz="4" w:space="0" w:color="auto"/>
            </w:tcBorders>
            <w:shd w:val="clear" w:color="auto" w:fill="auto"/>
            <w:vAlign w:val="center"/>
          </w:tcPr>
          <w:p w14:paraId="6B585F3E" w14:textId="54B7980C" w:rsidR="009A0AEF" w:rsidRPr="00111F34" w:rsidRDefault="00517CB8" w:rsidP="00B34C98">
            <w:pPr>
              <w:spacing w:beforeLines="20" w:before="48" w:afterLines="20" w:after="48"/>
              <w:jc w:val="center"/>
              <w:rPr>
                <w:rFonts w:ascii="Arial Narrow" w:hAnsi="Arial Narrow"/>
                <w:sz w:val="14"/>
                <w:szCs w:val="16"/>
              </w:rPr>
            </w:pPr>
            <w:r w:rsidRPr="00111F34">
              <w:rPr>
                <w:rFonts w:ascii="Arial Narrow" w:hAnsi="Arial Narrow"/>
                <w:sz w:val="14"/>
                <w:szCs w:val="16"/>
              </w:rPr>
              <w:t>0</w:t>
            </w:r>
          </w:p>
        </w:tc>
        <w:tc>
          <w:tcPr>
            <w:tcW w:w="341" w:type="pct"/>
            <w:tcBorders>
              <w:top w:val="single" w:sz="4" w:space="0" w:color="auto"/>
              <w:left w:val="single" w:sz="4" w:space="0" w:color="auto"/>
              <w:bottom w:val="single" w:sz="4" w:space="0" w:color="auto"/>
              <w:right w:val="single" w:sz="4" w:space="0" w:color="auto"/>
            </w:tcBorders>
            <w:shd w:val="clear" w:color="auto" w:fill="auto"/>
            <w:vAlign w:val="center"/>
          </w:tcPr>
          <w:p w14:paraId="384ABA8B" w14:textId="6C44AA4C" w:rsidR="009A0AEF" w:rsidRPr="00111F34" w:rsidRDefault="00517CB8" w:rsidP="00B34C98">
            <w:pPr>
              <w:spacing w:beforeLines="20" w:before="48" w:afterLines="20" w:after="48"/>
              <w:jc w:val="center"/>
              <w:rPr>
                <w:rFonts w:ascii="Arial Narrow" w:hAnsi="Arial Narrow"/>
                <w:sz w:val="14"/>
                <w:szCs w:val="16"/>
              </w:rPr>
            </w:pPr>
            <w:r w:rsidRPr="00111F34">
              <w:rPr>
                <w:rFonts w:ascii="Arial Narrow" w:hAnsi="Arial Narrow"/>
                <w:sz w:val="14"/>
                <w:szCs w:val="16"/>
              </w:rPr>
              <w:t>-1/B/dp</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25E34B6D" w14:textId="29D91078" w:rsidR="009A0AEF" w:rsidRPr="00111F34" w:rsidRDefault="00517CB8" w:rsidP="00B34C98">
            <w:pPr>
              <w:spacing w:beforeLines="20" w:before="48" w:afterLines="20" w:after="48"/>
              <w:jc w:val="center"/>
              <w:rPr>
                <w:rFonts w:ascii="Arial Narrow" w:hAnsi="Arial Narrow"/>
                <w:sz w:val="14"/>
                <w:szCs w:val="16"/>
              </w:rPr>
            </w:pPr>
            <w:r w:rsidRPr="00111F34">
              <w:rPr>
                <w:rFonts w:ascii="Arial Narrow" w:hAnsi="Arial Narrow"/>
                <w:sz w:val="14"/>
                <w:szCs w:val="16"/>
              </w:rPr>
              <w:t>-1/B/dp</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1BD161C7" w14:textId="0257C139" w:rsidR="009A0AEF" w:rsidRPr="00111F34" w:rsidRDefault="009B6EAF" w:rsidP="00B34C98">
            <w:pPr>
              <w:spacing w:beforeLines="20" w:before="48" w:afterLines="20" w:after="48"/>
              <w:jc w:val="center"/>
              <w:rPr>
                <w:rFonts w:ascii="Arial Narrow" w:hAnsi="Arial Narrow"/>
                <w:sz w:val="14"/>
                <w:szCs w:val="16"/>
              </w:rPr>
            </w:pPr>
            <w:r w:rsidRPr="00111F34">
              <w:rPr>
                <w:rFonts w:ascii="Arial Narrow" w:hAnsi="Arial Narrow"/>
                <w:sz w:val="14"/>
                <w:szCs w:val="16"/>
              </w:rPr>
              <w:t>-1/B/dp</w:t>
            </w:r>
          </w:p>
        </w:tc>
        <w:tc>
          <w:tcPr>
            <w:tcW w:w="341" w:type="pct"/>
            <w:tcBorders>
              <w:top w:val="single" w:sz="4" w:space="0" w:color="auto"/>
              <w:left w:val="single" w:sz="4" w:space="0" w:color="auto"/>
              <w:bottom w:val="single" w:sz="4" w:space="0" w:color="auto"/>
            </w:tcBorders>
            <w:shd w:val="clear" w:color="auto" w:fill="F2DBDB" w:themeFill="accent2" w:themeFillTint="33"/>
            <w:vAlign w:val="center"/>
          </w:tcPr>
          <w:p w14:paraId="4AA0C637" w14:textId="0F6BF381" w:rsidR="009A0AEF" w:rsidRPr="00111F34" w:rsidRDefault="00517CB8" w:rsidP="00B34C98">
            <w:pPr>
              <w:spacing w:beforeLines="20" w:before="48" w:afterLines="20" w:after="48"/>
              <w:jc w:val="center"/>
              <w:rPr>
                <w:rFonts w:ascii="Arial Narrow" w:hAnsi="Arial Narrow"/>
                <w:sz w:val="14"/>
                <w:szCs w:val="16"/>
              </w:rPr>
            </w:pPr>
            <w:r w:rsidRPr="00111F34">
              <w:rPr>
                <w:rFonts w:ascii="Arial Narrow" w:hAnsi="Arial Narrow"/>
                <w:sz w:val="14"/>
                <w:szCs w:val="16"/>
              </w:rPr>
              <w:t>-1/B/dp/S</w:t>
            </w:r>
          </w:p>
        </w:tc>
        <w:tc>
          <w:tcPr>
            <w:tcW w:w="293" w:type="pct"/>
            <w:tcBorders>
              <w:bottom w:val="single" w:sz="4" w:space="0" w:color="auto"/>
            </w:tcBorders>
            <w:shd w:val="clear" w:color="auto" w:fill="auto"/>
            <w:vAlign w:val="center"/>
          </w:tcPr>
          <w:p w14:paraId="14E10B4B" w14:textId="72D17ECA" w:rsidR="009A0AEF" w:rsidRPr="00111F34" w:rsidRDefault="00517CB8" w:rsidP="00B34C98">
            <w:pPr>
              <w:spacing w:beforeLines="20" w:before="48" w:afterLines="20" w:after="48"/>
              <w:jc w:val="center"/>
              <w:rPr>
                <w:rFonts w:ascii="Arial Narrow" w:hAnsi="Arial Narrow"/>
                <w:sz w:val="14"/>
                <w:szCs w:val="16"/>
              </w:rPr>
            </w:pPr>
            <w:r w:rsidRPr="00111F34">
              <w:rPr>
                <w:rFonts w:ascii="Arial Narrow" w:hAnsi="Arial Narrow"/>
                <w:sz w:val="14"/>
                <w:szCs w:val="16"/>
              </w:rPr>
              <w:t>+1/B/dp</w:t>
            </w:r>
          </w:p>
        </w:tc>
        <w:tc>
          <w:tcPr>
            <w:tcW w:w="293" w:type="pct"/>
            <w:tcBorders>
              <w:bottom w:val="single" w:sz="4" w:space="0" w:color="auto"/>
            </w:tcBorders>
            <w:shd w:val="clear" w:color="auto" w:fill="EAF1DD" w:themeFill="accent3" w:themeFillTint="33"/>
            <w:vAlign w:val="center"/>
          </w:tcPr>
          <w:p w14:paraId="187AF186" w14:textId="6DA0B079" w:rsidR="009A0AEF" w:rsidRPr="00111F34" w:rsidRDefault="00517CB8" w:rsidP="00B34C98">
            <w:pPr>
              <w:spacing w:beforeLines="20" w:before="48" w:afterLines="20" w:after="48"/>
              <w:jc w:val="center"/>
              <w:rPr>
                <w:rFonts w:ascii="Arial Narrow" w:hAnsi="Arial Narrow"/>
                <w:sz w:val="14"/>
                <w:szCs w:val="16"/>
              </w:rPr>
            </w:pPr>
            <w:r w:rsidRPr="00111F34">
              <w:rPr>
                <w:rFonts w:ascii="Arial Narrow" w:hAnsi="Arial Narrow"/>
                <w:sz w:val="14"/>
                <w:szCs w:val="16"/>
              </w:rPr>
              <w:t>-1/B/dp/S</w:t>
            </w:r>
          </w:p>
        </w:tc>
        <w:tc>
          <w:tcPr>
            <w:tcW w:w="293" w:type="pct"/>
            <w:tcBorders>
              <w:top w:val="single" w:sz="18" w:space="0" w:color="FF0000"/>
              <w:bottom w:val="single" w:sz="4" w:space="0" w:color="auto"/>
              <w:right w:val="single" w:sz="4" w:space="0" w:color="auto"/>
            </w:tcBorders>
            <w:shd w:val="clear" w:color="auto" w:fill="F2DBDB" w:themeFill="accent2" w:themeFillTint="33"/>
            <w:vAlign w:val="center"/>
          </w:tcPr>
          <w:p w14:paraId="3F905AC7" w14:textId="2CCD001D" w:rsidR="009A0AEF" w:rsidRPr="00111F34" w:rsidRDefault="00517CB8" w:rsidP="00B34C98">
            <w:pPr>
              <w:spacing w:beforeLines="20" w:before="48" w:afterLines="20" w:after="48"/>
              <w:jc w:val="center"/>
              <w:rPr>
                <w:rFonts w:ascii="Arial Narrow" w:hAnsi="Arial Narrow"/>
                <w:sz w:val="14"/>
                <w:szCs w:val="16"/>
              </w:rPr>
            </w:pPr>
            <w:r w:rsidRPr="00111F34">
              <w:rPr>
                <w:rFonts w:ascii="Arial Narrow" w:hAnsi="Arial Narrow"/>
                <w:sz w:val="14"/>
                <w:szCs w:val="16"/>
              </w:rPr>
              <w:t>-1/+1/B/dp</w:t>
            </w:r>
            <w:r w:rsidR="009B2CC0">
              <w:rPr>
                <w:rFonts w:ascii="Arial Narrow" w:hAnsi="Arial Narrow"/>
                <w:sz w:val="14"/>
                <w:szCs w:val="16"/>
              </w:rPr>
              <w:t>/S</w:t>
            </w:r>
          </w:p>
        </w:tc>
        <w:tc>
          <w:tcPr>
            <w:tcW w:w="314" w:type="pct"/>
            <w:tcBorders>
              <w:top w:val="single" w:sz="4" w:space="0" w:color="auto"/>
              <w:left w:val="single" w:sz="4" w:space="0" w:color="auto"/>
              <w:bottom w:val="single" w:sz="4" w:space="0" w:color="auto"/>
              <w:right w:val="single" w:sz="4" w:space="0" w:color="auto"/>
            </w:tcBorders>
            <w:shd w:val="clear" w:color="auto" w:fill="auto"/>
            <w:vAlign w:val="center"/>
          </w:tcPr>
          <w:p w14:paraId="1FF74782" w14:textId="7A61CD5E" w:rsidR="009A0AEF" w:rsidRPr="00111F34" w:rsidRDefault="00517CB8" w:rsidP="00B34C98">
            <w:pPr>
              <w:spacing w:beforeLines="20" w:before="48" w:afterLines="20" w:after="48"/>
              <w:jc w:val="center"/>
              <w:rPr>
                <w:rFonts w:ascii="Arial Narrow" w:hAnsi="Arial Narrow"/>
                <w:sz w:val="14"/>
                <w:szCs w:val="16"/>
              </w:rPr>
            </w:pPr>
            <w:r w:rsidRPr="00111F34">
              <w:rPr>
                <w:rFonts w:ascii="Arial Narrow" w:hAnsi="Arial Narrow"/>
                <w:sz w:val="14"/>
                <w:szCs w:val="16"/>
              </w:rPr>
              <w:t>+2/B/dp</w:t>
            </w:r>
          </w:p>
        </w:tc>
        <w:tc>
          <w:tcPr>
            <w:tcW w:w="245" w:type="pct"/>
            <w:tcBorders>
              <w:top w:val="single" w:sz="4" w:space="0" w:color="auto"/>
              <w:left w:val="single" w:sz="4" w:space="0" w:color="auto"/>
              <w:bottom w:val="single" w:sz="4" w:space="0" w:color="auto"/>
              <w:right w:val="single" w:sz="4" w:space="0" w:color="auto"/>
            </w:tcBorders>
            <w:shd w:val="clear" w:color="auto" w:fill="auto"/>
            <w:vAlign w:val="center"/>
          </w:tcPr>
          <w:p w14:paraId="6C7EF714" w14:textId="56048D07" w:rsidR="009A0AEF" w:rsidRPr="00111F34" w:rsidRDefault="00517CB8" w:rsidP="00B34C98">
            <w:pPr>
              <w:spacing w:beforeLines="20" w:before="48" w:afterLines="20" w:after="48"/>
              <w:jc w:val="center"/>
              <w:rPr>
                <w:rFonts w:ascii="Arial Narrow" w:hAnsi="Arial Narrow"/>
                <w:sz w:val="14"/>
                <w:szCs w:val="16"/>
              </w:rPr>
            </w:pPr>
            <w:r w:rsidRPr="00111F34">
              <w:rPr>
                <w:rFonts w:ascii="Arial Narrow" w:hAnsi="Arial Narrow"/>
                <w:sz w:val="14"/>
                <w:szCs w:val="16"/>
              </w:rPr>
              <w:t>0</w:t>
            </w:r>
          </w:p>
        </w:tc>
        <w:tc>
          <w:tcPr>
            <w:tcW w:w="417" w:type="pct"/>
            <w:tcBorders>
              <w:top w:val="single" w:sz="4" w:space="0" w:color="auto"/>
              <w:left w:val="single" w:sz="4" w:space="0" w:color="auto"/>
              <w:bottom w:val="single" w:sz="4" w:space="0" w:color="auto"/>
              <w:right w:val="single" w:sz="4" w:space="0" w:color="auto"/>
            </w:tcBorders>
            <w:shd w:val="clear" w:color="auto" w:fill="auto"/>
            <w:vAlign w:val="center"/>
          </w:tcPr>
          <w:p w14:paraId="5DD9A496" w14:textId="17808D00" w:rsidR="009A0AEF" w:rsidRPr="00111F34" w:rsidRDefault="00517CB8" w:rsidP="00B34C98">
            <w:pPr>
              <w:spacing w:beforeLines="20" w:before="48" w:afterLines="20" w:after="48"/>
              <w:jc w:val="center"/>
              <w:rPr>
                <w:rFonts w:ascii="Arial Narrow" w:hAnsi="Arial Narrow"/>
                <w:sz w:val="14"/>
                <w:szCs w:val="16"/>
              </w:rPr>
            </w:pPr>
            <w:r w:rsidRPr="00111F34">
              <w:rPr>
                <w:rFonts w:ascii="Arial Narrow" w:hAnsi="Arial Narrow"/>
                <w:sz w:val="14"/>
                <w:szCs w:val="16"/>
              </w:rPr>
              <w:t>0</w:t>
            </w:r>
          </w:p>
        </w:tc>
        <w:tc>
          <w:tcPr>
            <w:tcW w:w="304" w:type="pct"/>
            <w:tcBorders>
              <w:top w:val="single" w:sz="4" w:space="0" w:color="auto"/>
              <w:left w:val="single" w:sz="4" w:space="0" w:color="auto"/>
              <w:bottom w:val="single" w:sz="4" w:space="0" w:color="auto"/>
              <w:right w:val="single" w:sz="4" w:space="0" w:color="auto"/>
            </w:tcBorders>
            <w:shd w:val="clear" w:color="auto" w:fill="auto"/>
            <w:vAlign w:val="center"/>
          </w:tcPr>
          <w:p w14:paraId="018C051C" w14:textId="579A55B0" w:rsidR="009A0AEF" w:rsidRPr="00111F34" w:rsidRDefault="00517CB8" w:rsidP="00B34C98">
            <w:pPr>
              <w:spacing w:beforeLines="20" w:before="48" w:afterLines="20" w:after="48"/>
              <w:jc w:val="center"/>
              <w:rPr>
                <w:rFonts w:ascii="Arial Narrow" w:hAnsi="Arial Narrow"/>
                <w:sz w:val="14"/>
                <w:szCs w:val="16"/>
              </w:rPr>
            </w:pPr>
            <w:r w:rsidRPr="00111F34">
              <w:rPr>
                <w:rFonts w:ascii="Arial Narrow" w:hAnsi="Arial Narrow"/>
                <w:sz w:val="14"/>
                <w:szCs w:val="16"/>
              </w:rPr>
              <w:t>+1/B/dp</w:t>
            </w:r>
          </w:p>
        </w:tc>
      </w:tr>
      <w:tr w:rsidR="00517CB8" w:rsidRPr="00111F34" w14:paraId="5561DACE" w14:textId="77777777" w:rsidTr="00111F34">
        <w:trPr>
          <w:trHeight w:val="265"/>
        </w:trPr>
        <w:tc>
          <w:tcPr>
            <w:tcW w:w="343" w:type="pct"/>
            <w:tcBorders>
              <w:top w:val="single" w:sz="4" w:space="0" w:color="auto"/>
              <w:bottom w:val="single" w:sz="4" w:space="0" w:color="auto"/>
              <w:right w:val="single" w:sz="4" w:space="0" w:color="auto"/>
            </w:tcBorders>
            <w:shd w:val="clear" w:color="auto" w:fill="auto"/>
            <w:vAlign w:val="center"/>
          </w:tcPr>
          <w:p w14:paraId="6DD402C6" w14:textId="2B2DCF90" w:rsidR="00517CB8" w:rsidRPr="00111F34" w:rsidRDefault="00517CB8" w:rsidP="00517CB8">
            <w:pPr>
              <w:pStyle w:val="normln0"/>
              <w:snapToGrid w:val="0"/>
              <w:spacing w:before="0"/>
              <w:jc w:val="center"/>
              <w:rPr>
                <w:rFonts w:ascii="Arial Narrow" w:hAnsi="Arial Narrow" w:cs="Arial"/>
                <w:b/>
                <w:sz w:val="14"/>
                <w:szCs w:val="14"/>
              </w:rPr>
            </w:pPr>
            <w:r w:rsidRPr="00111F34">
              <w:rPr>
                <w:rFonts w:ascii="Arial Narrow" w:hAnsi="Arial Narrow" w:cs="Arial"/>
                <w:b/>
                <w:sz w:val="14"/>
                <w:szCs w:val="14"/>
              </w:rPr>
              <w:t>Kamýcká</w:t>
            </w:r>
          </w:p>
        </w:tc>
        <w:tc>
          <w:tcPr>
            <w:tcW w:w="360" w:type="pct"/>
            <w:tcBorders>
              <w:top w:val="single" w:sz="4" w:space="0" w:color="auto"/>
              <w:left w:val="single" w:sz="4" w:space="0" w:color="auto"/>
              <w:bottom w:val="single" w:sz="4" w:space="0" w:color="auto"/>
              <w:right w:val="single" w:sz="4" w:space="0" w:color="auto"/>
            </w:tcBorders>
            <w:shd w:val="clear" w:color="auto" w:fill="auto"/>
            <w:vAlign w:val="center"/>
          </w:tcPr>
          <w:p w14:paraId="797B4BD4" w14:textId="7F10BBD8" w:rsidR="00517CB8" w:rsidRPr="00111F34" w:rsidRDefault="00517CB8" w:rsidP="00517CB8">
            <w:pPr>
              <w:spacing w:beforeLines="20" w:before="48" w:afterLines="20" w:after="48"/>
              <w:jc w:val="center"/>
              <w:rPr>
                <w:rFonts w:ascii="Arial Narrow" w:hAnsi="Arial Narrow"/>
                <w:sz w:val="14"/>
                <w:szCs w:val="16"/>
              </w:rPr>
            </w:pPr>
            <w:r w:rsidRPr="00111F34">
              <w:rPr>
                <w:rFonts w:ascii="Arial Narrow" w:hAnsi="Arial Narrow"/>
                <w:sz w:val="14"/>
                <w:szCs w:val="16"/>
              </w:rPr>
              <w:t>0</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0A19056C" w14:textId="4003534A" w:rsidR="00517CB8" w:rsidRPr="00111F34" w:rsidRDefault="00517CB8" w:rsidP="00517CB8">
            <w:pPr>
              <w:spacing w:beforeLines="20" w:before="48" w:afterLines="20" w:after="48"/>
              <w:jc w:val="center"/>
              <w:rPr>
                <w:rFonts w:ascii="Arial Narrow" w:hAnsi="Arial Narrow"/>
                <w:sz w:val="14"/>
                <w:szCs w:val="16"/>
              </w:rPr>
            </w:pPr>
            <w:r w:rsidRPr="00111F34">
              <w:rPr>
                <w:rFonts w:ascii="Arial Narrow" w:hAnsi="Arial Narrow"/>
                <w:sz w:val="14"/>
                <w:szCs w:val="16"/>
              </w:rPr>
              <w:t>0</w:t>
            </w:r>
          </w:p>
        </w:tc>
        <w:tc>
          <w:tcPr>
            <w:tcW w:w="391" w:type="pct"/>
            <w:tcBorders>
              <w:top w:val="single" w:sz="4" w:space="0" w:color="auto"/>
              <w:left w:val="single" w:sz="4" w:space="0" w:color="auto"/>
              <w:bottom w:val="single" w:sz="4" w:space="0" w:color="auto"/>
              <w:right w:val="single" w:sz="4" w:space="0" w:color="auto"/>
            </w:tcBorders>
            <w:shd w:val="clear" w:color="auto" w:fill="auto"/>
            <w:vAlign w:val="center"/>
          </w:tcPr>
          <w:p w14:paraId="7CF1A805" w14:textId="5A9F279B" w:rsidR="00517CB8" w:rsidRPr="00111F34" w:rsidRDefault="00517CB8" w:rsidP="00517CB8">
            <w:pPr>
              <w:spacing w:beforeLines="20" w:before="48" w:afterLines="20" w:after="48"/>
              <w:jc w:val="center"/>
              <w:rPr>
                <w:rFonts w:ascii="Arial Narrow" w:hAnsi="Arial Narrow"/>
                <w:sz w:val="14"/>
                <w:szCs w:val="16"/>
              </w:rPr>
            </w:pPr>
            <w:r w:rsidRPr="00111F34">
              <w:rPr>
                <w:rFonts w:ascii="Arial Narrow" w:hAnsi="Arial Narrow"/>
                <w:sz w:val="14"/>
                <w:szCs w:val="16"/>
              </w:rPr>
              <w:t>0</w:t>
            </w:r>
          </w:p>
        </w:tc>
        <w:tc>
          <w:tcPr>
            <w:tcW w:w="341" w:type="pct"/>
            <w:tcBorders>
              <w:top w:val="single" w:sz="4" w:space="0" w:color="auto"/>
              <w:left w:val="single" w:sz="4" w:space="0" w:color="auto"/>
              <w:bottom w:val="single" w:sz="4" w:space="0" w:color="auto"/>
              <w:right w:val="single" w:sz="4" w:space="0" w:color="auto"/>
            </w:tcBorders>
            <w:shd w:val="clear" w:color="auto" w:fill="auto"/>
            <w:vAlign w:val="center"/>
          </w:tcPr>
          <w:p w14:paraId="5DC7B2F6" w14:textId="26BF4A77" w:rsidR="00517CB8" w:rsidRPr="00111F34" w:rsidRDefault="00517CB8" w:rsidP="00517CB8">
            <w:pPr>
              <w:spacing w:beforeLines="20" w:before="48" w:afterLines="20" w:after="48"/>
              <w:jc w:val="center"/>
              <w:rPr>
                <w:rFonts w:ascii="Arial Narrow" w:hAnsi="Arial Narrow"/>
                <w:sz w:val="14"/>
                <w:szCs w:val="16"/>
              </w:rPr>
            </w:pPr>
            <w:r w:rsidRPr="00111F34">
              <w:rPr>
                <w:rFonts w:ascii="Arial Narrow" w:hAnsi="Arial Narrow"/>
                <w:sz w:val="14"/>
                <w:szCs w:val="16"/>
              </w:rPr>
              <w:t>0</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51297DFA" w14:textId="139872F4" w:rsidR="00517CB8" w:rsidRPr="00111F34" w:rsidRDefault="00517CB8" w:rsidP="00517CB8">
            <w:pPr>
              <w:spacing w:beforeLines="20" w:before="48" w:afterLines="20" w:after="48"/>
              <w:jc w:val="center"/>
              <w:rPr>
                <w:rFonts w:ascii="Arial Narrow" w:hAnsi="Arial Narrow"/>
                <w:sz w:val="14"/>
                <w:szCs w:val="16"/>
              </w:rPr>
            </w:pPr>
            <w:r w:rsidRPr="00111F34">
              <w:rPr>
                <w:rFonts w:ascii="Arial Narrow" w:hAnsi="Arial Narrow"/>
                <w:sz w:val="14"/>
                <w:szCs w:val="16"/>
              </w:rPr>
              <w:t>0</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3FD2CE44" w14:textId="5A7EA533" w:rsidR="00517CB8" w:rsidRPr="00111F34" w:rsidRDefault="00517CB8" w:rsidP="00517CB8">
            <w:pPr>
              <w:spacing w:beforeLines="20" w:before="48" w:afterLines="20" w:after="48"/>
              <w:jc w:val="center"/>
              <w:rPr>
                <w:rFonts w:ascii="Arial Narrow" w:hAnsi="Arial Narrow"/>
                <w:sz w:val="14"/>
                <w:szCs w:val="16"/>
              </w:rPr>
            </w:pPr>
            <w:r w:rsidRPr="00111F34">
              <w:rPr>
                <w:rFonts w:ascii="Arial Narrow" w:hAnsi="Arial Narrow"/>
                <w:sz w:val="14"/>
                <w:szCs w:val="16"/>
              </w:rPr>
              <w:t>0</w:t>
            </w:r>
          </w:p>
        </w:tc>
        <w:tc>
          <w:tcPr>
            <w:tcW w:w="341" w:type="pct"/>
            <w:tcBorders>
              <w:top w:val="single" w:sz="4" w:space="0" w:color="auto"/>
              <w:left w:val="single" w:sz="4" w:space="0" w:color="auto"/>
              <w:bottom w:val="single" w:sz="4" w:space="0" w:color="auto"/>
            </w:tcBorders>
            <w:shd w:val="clear" w:color="auto" w:fill="auto"/>
            <w:vAlign w:val="center"/>
          </w:tcPr>
          <w:p w14:paraId="153FD681" w14:textId="479475F6" w:rsidR="00517CB8" w:rsidRPr="00111F34" w:rsidRDefault="00517CB8" w:rsidP="00517CB8">
            <w:pPr>
              <w:spacing w:beforeLines="20" w:before="48" w:afterLines="20" w:after="48"/>
              <w:jc w:val="center"/>
              <w:rPr>
                <w:rFonts w:ascii="Arial Narrow" w:hAnsi="Arial Narrow"/>
                <w:sz w:val="14"/>
                <w:szCs w:val="16"/>
              </w:rPr>
            </w:pPr>
            <w:r w:rsidRPr="00111F34">
              <w:rPr>
                <w:rFonts w:ascii="Arial Narrow" w:hAnsi="Arial Narrow"/>
                <w:sz w:val="14"/>
                <w:szCs w:val="16"/>
              </w:rPr>
              <w:t>-1/B/dp</w:t>
            </w:r>
          </w:p>
        </w:tc>
        <w:tc>
          <w:tcPr>
            <w:tcW w:w="293" w:type="pct"/>
            <w:tcBorders>
              <w:bottom w:val="single" w:sz="4" w:space="0" w:color="auto"/>
            </w:tcBorders>
            <w:shd w:val="clear" w:color="auto" w:fill="auto"/>
            <w:vAlign w:val="center"/>
          </w:tcPr>
          <w:p w14:paraId="4D14D77F" w14:textId="4ADD66E0" w:rsidR="00517CB8" w:rsidRPr="00111F34" w:rsidRDefault="00517CB8" w:rsidP="00517CB8">
            <w:pPr>
              <w:spacing w:beforeLines="20" w:before="48" w:afterLines="20" w:after="48"/>
              <w:jc w:val="center"/>
              <w:rPr>
                <w:rFonts w:ascii="Arial Narrow" w:hAnsi="Arial Narrow"/>
                <w:sz w:val="14"/>
                <w:szCs w:val="16"/>
              </w:rPr>
            </w:pPr>
            <w:r w:rsidRPr="00111F34">
              <w:rPr>
                <w:rFonts w:ascii="Arial Narrow" w:hAnsi="Arial Narrow"/>
                <w:sz w:val="14"/>
                <w:szCs w:val="16"/>
              </w:rPr>
              <w:t>+1/B/dp</w:t>
            </w:r>
          </w:p>
        </w:tc>
        <w:tc>
          <w:tcPr>
            <w:tcW w:w="293" w:type="pct"/>
            <w:tcBorders>
              <w:bottom w:val="single" w:sz="4" w:space="0" w:color="auto"/>
            </w:tcBorders>
            <w:shd w:val="clear" w:color="auto" w:fill="auto"/>
            <w:vAlign w:val="center"/>
          </w:tcPr>
          <w:p w14:paraId="339C0BAA" w14:textId="74EECA0E" w:rsidR="00517CB8" w:rsidRPr="00111F34" w:rsidRDefault="00517CB8" w:rsidP="00517CB8">
            <w:pPr>
              <w:spacing w:beforeLines="20" w:before="48" w:afterLines="20" w:after="48"/>
              <w:jc w:val="center"/>
              <w:rPr>
                <w:rFonts w:ascii="Arial Narrow" w:hAnsi="Arial Narrow"/>
                <w:sz w:val="14"/>
                <w:szCs w:val="16"/>
              </w:rPr>
            </w:pPr>
            <w:r w:rsidRPr="00111F34">
              <w:rPr>
                <w:rFonts w:ascii="Arial Narrow" w:hAnsi="Arial Narrow"/>
                <w:sz w:val="14"/>
                <w:szCs w:val="16"/>
              </w:rPr>
              <w:t>-1/B/dp</w:t>
            </w:r>
          </w:p>
        </w:tc>
        <w:tc>
          <w:tcPr>
            <w:tcW w:w="293" w:type="pct"/>
            <w:tcBorders>
              <w:top w:val="single" w:sz="4" w:space="0" w:color="auto"/>
              <w:bottom w:val="single" w:sz="18" w:space="0" w:color="FF0000"/>
              <w:right w:val="single" w:sz="4" w:space="0" w:color="auto"/>
            </w:tcBorders>
            <w:shd w:val="clear" w:color="auto" w:fill="F2DBDB" w:themeFill="accent2" w:themeFillTint="33"/>
            <w:vAlign w:val="center"/>
          </w:tcPr>
          <w:p w14:paraId="04783B26" w14:textId="6AB06A4F" w:rsidR="00517CB8" w:rsidRPr="00111F34" w:rsidRDefault="00517CB8" w:rsidP="00517CB8">
            <w:pPr>
              <w:spacing w:beforeLines="20" w:before="48" w:afterLines="20" w:after="48"/>
              <w:jc w:val="center"/>
              <w:rPr>
                <w:rFonts w:ascii="Arial Narrow" w:hAnsi="Arial Narrow"/>
                <w:sz w:val="14"/>
                <w:szCs w:val="16"/>
              </w:rPr>
            </w:pPr>
            <w:r w:rsidRPr="00111F34">
              <w:rPr>
                <w:rFonts w:ascii="Arial Narrow" w:hAnsi="Arial Narrow"/>
                <w:sz w:val="14"/>
                <w:szCs w:val="16"/>
              </w:rPr>
              <w:t>-1/</w:t>
            </w:r>
            <w:r w:rsidR="00E02FAB">
              <w:rPr>
                <w:rFonts w:ascii="Arial Narrow" w:hAnsi="Arial Narrow"/>
                <w:sz w:val="14"/>
                <w:szCs w:val="16"/>
              </w:rPr>
              <w:t>+1/</w:t>
            </w:r>
            <w:r w:rsidRPr="00111F34">
              <w:rPr>
                <w:rFonts w:ascii="Arial Narrow" w:hAnsi="Arial Narrow"/>
                <w:sz w:val="14"/>
                <w:szCs w:val="16"/>
              </w:rPr>
              <w:t>B/dp/S</w:t>
            </w:r>
          </w:p>
        </w:tc>
        <w:tc>
          <w:tcPr>
            <w:tcW w:w="314" w:type="pct"/>
            <w:tcBorders>
              <w:top w:val="single" w:sz="4" w:space="0" w:color="auto"/>
              <w:left w:val="single" w:sz="4" w:space="0" w:color="auto"/>
              <w:bottom w:val="single" w:sz="4" w:space="0" w:color="auto"/>
              <w:right w:val="single" w:sz="4" w:space="0" w:color="auto"/>
            </w:tcBorders>
            <w:shd w:val="clear" w:color="auto" w:fill="auto"/>
            <w:vAlign w:val="center"/>
          </w:tcPr>
          <w:p w14:paraId="1381D1BC" w14:textId="7B5C14E9" w:rsidR="00517CB8" w:rsidRPr="00111F34" w:rsidRDefault="00517CB8" w:rsidP="00517CB8">
            <w:pPr>
              <w:spacing w:beforeLines="20" w:before="48" w:afterLines="20" w:after="48"/>
              <w:jc w:val="center"/>
              <w:rPr>
                <w:rFonts w:ascii="Arial Narrow" w:hAnsi="Arial Narrow"/>
                <w:sz w:val="14"/>
                <w:szCs w:val="16"/>
              </w:rPr>
            </w:pPr>
            <w:r w:rsidRPr="00111F34">
              <w:rPr>
                <w:rFonts w:ascii="Arial Narrow" w:hAnsi="Arial Narrow"/>
                <w:sz w:val="14"/>
                <w:szCs w:val="16"/>
              </w:rPr>
              <w:t>+1/B/dp</w:t>
            </w:r>
          </w:p>
        </w:tc>
        <w:tc>
          <w:tcPr>
            <w:tcW w:w="245" w:type="pct"/>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7657E439" w14:textId="169B16CC" w:rsidR="00517CB8" w:rsidRPr="00111F34" w:rsidRDefault="00517CB8" w:rsidP="00517CB8">
            <w:pPr>
              <w:spacing w:beforeLines="20" w:before="48" w:afterLines="20" w:after="48"/>
              <w:jc w:val="center"/>
              <w:rPr>
                <w:rFonts w:ascii="Arial Narrow" w:hAnsi="Arial Narrow"/>
                <w:sz w:val="14"/>
                <w:szCs w:val="16"/>
              </w:rPr>
            </w:pPr>
            <w:r w:rsidRPr="00111F34">
              <w:rPr>
                <w:rFonts w:ascii="Arial Narrow" w:hAnsi="Arial Narrow"/>
                <w:sz w:val="14"/>
                <w:szCs w:val="16"/>
              </w:rPr>
              <w:t>+1/R/dp/S</w:t>
            </w:r>
          </w:p>
        </w:tc>
        <w:tc>
          <w:tcPr>
            <w:tcW w:w="417" w:type="pct"/>
            <w:tcBorders>
              <w:top w:val="single" w:sz="4" w:space="0" w:color="auto"/>
              <w:left w:val="single" w:sz="4" w:space="0" w:color="auto"/>
              <w:bottom w:val="single" w:sz="4" w:space="0" w:color="auto"/>
              <w:right w:val="single" w:sz="4" w:space="0" w:color="auto"/>
            </w:tcBorders>
            <w:shd w:val="clear" w:color="auto" w:fill="auto"/>
            <w:vAlign w:val="center"/>
          </w:tcPr>
          <w:p w14:paraId="24DB5120" w14:textId="3E33B6AB" w:rsidR="00517CB8" w:rsidRPr="00111F34" w:rsidRDefault="00517CB8" w:rsidP="00517CB8">
            <w:pPr>
              <w:spacing w:beforeLines="20" w:before="48" w:afterLines="20" w:after="48"/>
              <w:jc w:val="center"/>
              <w:rPr>
                <w:rFonts w:ascii="Arial Narrow" w:hAnsi="Arial Narrow"/>
                <w:sz w:val="14"/>
                <w:szCs w:val="16"/>
              </w:rPr>
            </w:pPr>
            <w:r w:rsidRPr="00111F34">
              <w:rPr>
                <w:rFonts w:ascii="Arial Narrow" w:hAnsi="Arial Narrow"/>
                <w:sz w:val="14"/>
                <w:szCs w:val="16"/>
              </w:rPr>
              <w:t>0</w:t>
            </w:r>
          </w:p>
        </w:tc>
        <w:tc>
          <w:tcPr>
            <w:tcW w:w="304" w:type="pct"/>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tcPr>
          <w:p w14:paraId="0CC3FA31" w14:textId="11E48318" w:rsidR="00517CB8" w:rsidRPr="00111F34" w:rsidRDefault="00517CB8" w:rsidP="00517CB8">
            <w:pPr>
              <w:spacing w:beforeLines="20" w:before="48" w:afterLines="20" w:after="48"/>
              <w:jc w:val="center"/>
              <w:rPr>
                <w:rFonts w:ascii="Arial Narrow" w:hAnsi="Arial Narrow"/>
                <w:sz w:val="14"/>
                <w:szCs w:val="16"/>
              </w:rPr>
            </w:pPr>
            <w:r w:rsidRPr="00111F34">
              <w:rPr>
                <w:rFonts w:ascii="Arial Narrow" w:hAnsi="Arial Narrow"/>
                <w:sz w:val="14"/>
                <w:szCs w:val="16"/>
              </w:rPr>
              <w:t>-1/B/dp/S</w:t>
            </w:r>
          </w:p>
        </w:tc>
      </w:tr>
      <w:tr w:rsidR="00517CB8" w:rsidRPr="00111F34" w14:paraId="3BC0D4F8" w14:textId="77777777" w:rsidTr="00111F34">
        <w:trPr>
          <w:trHeight w:val="265"/>
        </w:trPr>
        <w:tc>
          <w:tcPr>
            <w:tcW w:w="343" w:type="pct"/>
            <w:tcBorders>
              <w:top w:val="single" w:sz="4" w:space="0" w:color="auto"/>
              <w:bottom w:val="single" w:sz="4" w:space="0" w:color="auto"/>
              <w:right w:val="single" w:sz="4" w:space="0" w:color="auto"/>
            </w:tcBorders>
            <w:shd w:val="clear" w:color="auto" w:fill="auto"/>
            <w:vAlign w:val="center"/>
          </w:tcPr>
          <w:p w14:paraId="6CF52B2B" w14:textId="6D8226A1" w:rsidR="00517CB8" w:rsidRPr="00111F34" w:rsidRDefault="00BE198A" w:rsidP="00517CB8">
            <w:pPr>
              <w:pStyle w:val="normln0"/>
              <w:snapToGrid w:val="0"/>
              <w:spacing w:before="0"/>
              <w:jc w:val="center"/>
              <w:rPr>
                <w:rFonts w:ascii="Arial Narrow" w:hAnsi="Arial Narrow" w:cs="Arial"/>
                <w:b/>
                <w:sz w:val="14"/>
                <w:szCs w:val="14"/>
              </w:rPr>
            </w:pPr>
            <w:r w:rsidRPr="00111F34">
              <w:rPr>
                <w:rFonts w:ascii="Arial Narrow" w:hAnsi="Arial Narrow" w:cs="Arial"/>
                <w:b/>
                <w:sz w:val="14"/>
                <w:szCs w:val="14"/>
              </w:rPr>
              <w:t>Výhledy</w:t>
            </w:r>
          </w:p>
        </w:tc>
        <w:tc>
          <w:tcPr>
            <w:tcW w:w="360" w:type="pct"/>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14860A15" w14:textId="0F28E259" w:rsidR="00517CB8" w:rsidRPr="00111F34" w:rsidRDefault="00517CB8" w:rsidP="00517CB8">
            <w:pPr>
              <w:spacing w:beforeLines="20" w:before="48" w:afterLines="20" w:after="48"/>
              <w:jc w:val="center"/>
              <w:rPr>
                <w:rFonts w:ascii="Arial Narrow" w:hAnsi="Arial Narrow"/>
                <w:sz w:val="14"/>
                <w:szCs w:val="16"/>
              </w:rPr>
            </w:pPr>
            <w:r w:rsidRPr="00111F34">
              <w:rPr>
                <w:rFonts w:ascii="Arial Narrow" w:hAnsi="Arial Narrow"/>
                <w:sz w:val="14"/>
                <w:szCs w:val="16"/>
              </w:rPr>
              <w:t>+2/B/dp</w:t>
            </w:r>
            <w:r w:rsidR="005506D8" w:rsidRPr="00111F34">
              <w:rPr>
                <w:rFonts w:ascii="Arial Narrow" w:hAnsi="Arial Narrow"/>
                <w:sz w:val="14"/>
                <w:szCs w:val="16"/>
              </w:rPr>
              <w:t>/S</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753D8C09" w14:textId="28DFF734" w:rsidR="00517CB8" w:rsidRPr="00111F34" w:rsidRDefault="00517CB8" w:rsidP="00517CB8">
            <w:pPr>
              <w:spacing w:beforeLines="20" w:before="48" w:afterLines="20" w:after="48"/>
              <w:jc w:val="center"/>
              <w:rPr>
                <w:rFonts w:ascii="Arial Narrow" w:hAnsi="Arial Narrow"/>
                <w:sz w:val="14"/>
                <w:szCs w:val="16"/>
              </w:rPr>
            </w:pPr>
            <w:r w:rsidRPr="00111F34">
              <w:rPr>
                <w:rFonts w:ascii="Arial Narrow" w:hAnsi="Arial Narrow"/>
                <w:sz w:val="14"/>
                <w:szCs w:val="16"/>
              </w:rPr>
              <w:t>+1/B/dp</w:t>
            </w:r>
          </w:p>
        </w:tc>
        <w:tc>
          <w:tcPr>
            <w:tcW w:w="391" w:type="pct"/>
            <w:tcBorders>
              <w:top w:val="single" w:sz="4" w:space="0" w:color="auto"/>
              <w:left w:val="single" w:sz="4" w:space="0" w:color="auto"/>
              <w:bottom w:val="single" w:sz="4" w:space="0" w:color="auto"/>
              <w:right w:val="single" w:sz="4" w:space="0" w:color="auto"/>
            </w:tcBorders>
            <w:shd w:val="clear" w:color="auto" w:fill="auto"/>
            <w:vAlign w:val="center"/>
          </w:tcPr>
          <w:p w14:paraId="55322F40" w14:textId="331B42A9" w:rsidR="00517CB8" w:rsidRPr="00111F34" w:rsidRDefault="00517CB8" w:rsidP="00517CB8">
            <w:pPr>
              <w:spacing w:beforeLines="20" w:before="48" w:afterLines="20" w:after="48"/>
              <w:jc w:val="center"/>
              <w:rPr>
                <w:rFonts w:ascii="Arial Narrow" w:hAnsi="Arial Narrow"/>
                <w:sz w:val="14"/>
                <w:szCs w:val="16"/>
              </w:rPr>
            </w:pPr>
            <w:r w:rsidRPr="00111F34">
              <w:rPr>
                <w:rFonts w:ascii="Arial Narrow" w:hAnsi="Arial Narrow"/>
                <w:sz w:val="14"/>
                <w:szCs w:val="16"/>
              </w:rPr>
              <w:t>0</w:t>
            </w:r>
          </w:p>
        </w:tc>
        <w:tc>
          <w:tcPr>
            <w:tcW w:w="341" w:type="pct"/>
            <w:tcBorders>
              <w:top w:val="single" w:sz="4" w:space="0" w:color="auto"/>
              <w:left w:val="single" w:sz="4" w:space="0" w:color="auto"/>
              <w:bottom w:val="single" w:sz="4" w:space="0" w:color="auto"/>
              <w:right w:val="single" w:sz="4" w:space="0" w:color="auto"/>
            </w:tcBorders>
            <w:shd w:val="clear" w:color="auto" w:fill="auto"/>
            <w:vAlign w:val="center"/>
          </w:tcPr>
          <w:p w14:paraId="014B9F5E" w14:textId="37D90CC9" w:rsidR="00517CB8" w:rsidRPr="00111F34" w:rsidRDefault="00517CB8" w:rsidP="00517CB8">
            <w:pPr>
              <w:spacing w:beforeLines="20" w:before="48" w:afterLines="20" w:after="48"/>
              <w:jc w:val="center"/>
              <w:rPr>
                <w:rFonts w:ascii="Arial Narrow" w:hAnsi="Arial Narrow"/>
                <w:sz w:val="14"/>
                <w:szCs w:val="16"/>
              </w:rPr>
            </w:pPr>
            <w:r w:rsidRPr="00111F34">
              <w:rPr>
                <w:rFonts w:ascii="Arial Narrow" w:hAnsi="Arial Narrow"/>
                <w:sz w:val="14"/>
                <w:szCs w:val="16"/>
              </w:rPr>
              <w:t>-1/B/dp</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4D2D88F4" w14:textId="4E1F3B3D" w:rsidR="00517CB8" w:rsidRPr="00111F34" w:rsidRDefault="00517CB8" w:rsidP="00517CB8">
            <w:pPr>
              <w:spacing w:beforeLines="20" w:before="48" w:afterLines="20" w:after="48"/>
              <w:jc w:val="center"/>
              <w:rPr>
                <w:rFonts w:ascii="Arial Narrow" w:hAnsi="Arial Narrow"/>
                <w:sz w:val="14"/>
                <w:szCs w:val="16"/>
              </w:rPr>
            </w:pPr>
            <w:r w:rsidRPr="00111F34">
              <w:rPr>
                <w:rFonts w:ascii="Arial Narrow" w:hAnsi="Arial Narrow"/>
                <w:sz w:val="14"/>
                <w:szCs w:val="16"/>
              </w:rPr>
              <w:t>-</w:t>
            </w:r>
            <w:r w:rsidR="00606C6E" w:rsidRPr="00111F34">
              <w:rPr>
                <w:rFonts w:ascii="Arial Narrow" w:hAnsi="Arial Narrow"/>
                <w:sz w:val="14"/>
                <w:szCs w:val="16"/>
              </w:rPr>
              <w:t>1</w:t>
            </w:r>
            <w:r w:rsidRPr="00111F34">
              <w:rPr>
                <w:rFonts w:ascii="Arial Narrow" w:hAnsi="Arial Narrow"/>
                <w:sz w:val="14"/>
                <w:szCs w:val="16"/>
              </w:rPr>
              <w:t>/B/dp</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66EBCE22" w14:textId="63F7A394" w:rsidR="00517CB8" w:rsidRPr="00111F34" w:rsidRDefault="00517CB8" w:rsidP="00517CB8">
            <w:pPr>
              <w:spacing w:beforeLines="20" w:before="48" w:afterLines="20" w:after="48"/>
              <w:jc w:val="center"/>
              <w:rPr>
                <w:rFonts w:ascii="Arial Narrow" w:hAnsi="Arial Narrow"/>
                <w:sz w:val="14"/>
                <w:szCs w:val="16"/>
              </w:rPr>
            </w:pPr>
            <w:r w:rsidRPr="00111F34">
              <w:rPr>
                <w:rFonts w:ascii="Arial Narrow" w:hAnsi="Arial Narrow"/>
                <w:sz w:val="14"/>
                <w:szCs w:val="16"/>
              </w:rPr>
              <w:t>-1/B/dp</w:t>
            </w:r>
          </w:p>
        </w:tc>
        <w:tc>
          <w:tcPr>
            <w:tcW w:w="341" w:type="pct"/>
            <w:tcBorders>
              <w:top w:val="single" w:sz="4" w:space="0" w:color="auto"/>
              <w:left w:val="single" w:sz="4" w:space="0" w:color="auto"/>
              <w:bottom w:val="single" w:sz="4" w:space="0" w:color="auto"/>
            </w:tcBorders>
            <w:shd w:val="clear" w:color="auto" w:fill="F2DBDB" w:themeFill="accent2" w:themeFillTint="33"/>
            <w:vAlign w:val="center"/>
          </w:tcPr>
          <w:p w14:paraId="7F4FDD51" w14:textId="2E4B4832" w:rsidR="00517CB8" w:rsidRPr="00111F34" w:rsidRDefault="00517CB8" w:rsidP="00517CB8">
            <w:pPr>
              <w:spacing w:beforeLines="20" w:before="48" w:afterLines="20" w:after="48"/>
              <w:jc w:val="center"/>
              <w:rPr>
                <w:rFonts w:ascii="Arial Narrow" w:hAnsi="Arial Narrow"/>
                <w:sz w:val="14"/>
                <w:szCs w:val="16"/>
              </w:rPr>
            </w:pPr>
            <w:r w:rsidRPr="00111F34">
              <w:rPr>
                <w:rFonts w:ascii="Arial Narrow" w:hAnsi="Arial Narrow"/>
                <w:sz w:val="14"/>
                <w:szCs w:val="16"/>
              </w:rPr>
              <w:t>-1/B/dp/S</w:t>
            </w:r>
          </w:p>
        </w:tc>
        <w:tc>
          <w:tcPr>
            <w:tcW w:w="293" w:type="pct"/>
            <w:tcBorders>
              <w:bottom w:val="single" w:sz="4" w:space="0" w:color="auto"/>
            </w:tcBorders>
            <w:shd w:val="clear" w:color="auto" w:fill="EAF1DD" w:themeFill="accent3" w:themeFillTint="33"/>
            <w:vAlign w:val="center"/>
          </w:tcPr>
          <w:p w14:paraId="35EA6D01" w14:textId="3FF958AA" w:rsidR="00517CB8" w:rsidRPr="00111F34" w:rsidRDefault="00B765EB" w:rsidP="00517CB8">
            <w:pPr>
              <w:spacing w:beforeLines="20" w:before="48" w:afterLines="20" w:after="48"/>
              <w:jc w:val="center"/>
              <w:rPr>
                <w:rFonts w:ascii="Arial Narrow" w:hAnsi="Arial Narrow"/>
                <w:sz w:val="14"/>
                <w:szCs w:val="16"/>
              </w:rPr>
            </w:pPr>
            <w:r w:rsidRPr="00111F34">
              <w:rPr>
                <w:rFonts w:ascii="Arial Narrow" w:hAnsi="Arial Narrow"/>
                <w:sz w:val="14"/>
                <w:szCs w:val="16"/>
              </w:rPr>
              <w:t>+1/R/dp/S</w:t>
            </w:r>
          </w:p>
        </w:tc>
        <w:tc>
          <w:tcPr>
            <w:tcW w:w="293" w:type="pct"/>
            <w:tcBorders>
              <w:bottom w:val="single" w:sz="4" w:space="0" w:color="auto"/>
              <w:right w:val="single" w:sz="18" w:space="0" w:color="FF0000"/>
            </w:tcBorders>
            <w:shd w:val="clear" w:color="auto" w:fill="FFE1E1"/>
            <w:vAlign w:val="center"/>
          </w:tcPr>
          <w:p w14:paraId="7D648D83" w14:textId="1BFB1595" w:rsidR="00517CB8" w:rsidRPr="00111F34" w:rsidRDefault="00517CB8" w:rsidP="00517CB8">
            <w:pPr>
              <w:spacing w:beforeLines="20" w:before="48" w:afterLines="20" w:after="48"/>
              <w:jc w:val="center"/>
              <w:rPr>
                <w:rFonts w:ascii="Arial Narrow" w:hAnsi="Arial Narrow"/>
                <w:sz w:val="14"/>
                <w:szCs w:val="16"/>
              </w:rPr>
            </w:pPr>
            <w:r w:rsidRPr="00111F34">
              <w:rPr>
                <w:rFonts w:ascii="Arial Narrow" w:hAnsi="Arial Narrow"/>
                <w:sz w:val="14"/>
                <w:szCs w:val="16"/>
              </w:rPr>
              <w:t>-1/B/dp/S</w:t>
            </w:r>
          </w:p>
        </w:tc>
        <w:tc>
          <w:tcPr>
            <w:tcW w:w="293" w:type="pct"/>
            <w:tcBorders>
              <w:top w:val="single" w:sz="18" w:space="0" w:color="FF0000"/>
              <w:left w:val="single" w:sz="18" w:space="0" w:color="FF0000"/>
              <w:bottom w:val="single" w:sz="18" w:space="0" w:color="FF0000"/>
              <w:right w:val="single" w:sz="18" w:space="0" w:color="FF0000"/>
            </w:tcBorders>
            <w:shd w:val="clear" w:color="auto" w:fill="EAF1DD" w:themeFill="accent3" w:themeFillTint="33"/>
            <w:vAlign w:val="center"/>
          </w:tcPr>
          <w:p w14:paraId="1595C5BD" w14:textId="25A3A265" w:rsidR="00517CB8" w:rsidRPr="00111F34" w:rsidRDefault="00517CB8" w:rsidP="00517CB8">
            <w:pPr>
              <w:spacing w:beforeLines="20" w:before="48" w:afterLines="20" w:after="48"/>
              <w:jc w:val="center"/>
              <w:rPr>
                <w:rFonts w:ascii="Arial Narrow" w:hAnsi="Arial Narrow"/>
                <w:sz w:val="14"/>
                <w:szCs w:val="16"/>
              </w:rPr>
            </w:pPr>
            <w:r w:rsidRPr="00111F34">
              <w:rPr>
                <w:rFonts w:ascii="Arial Narrow" w:hAnsi="Arial Narrow"/>
                <w:sz w:val="14"/>
                <w:szCs w:val="16"/>
              </w:rPr>
              <w:t>-1</w:t>
            </w:r>
            <w:r w:rsidR="00B765EB" w:rsidRPr="00111F34">
              <w:rPr>
                <w:rFonts w:ascii="Arial Narrow" w:hAnsi="Arial Narrow"/>
                <w:sz w:val="14"/>
                <w:szCs w:val="16"/>
              </w:rPr>
              <w:t>/</w:t>
            </w:r>
            <w:r w:rsidRPr="00111F34">
              <w:rPr>
                <w:rFonts w:ascii="Arial Narrow" w:hAnsi="Arial Narrow"/>
                <w:sz w:val="14"/>
                <w:szCs w:val="16"/>
              </w:rPr>
              <w:t>+1/B</w:t>
            </w:r>
            <w:r w:rsidR="00B765EB" w:rsidRPr="00111F34">
              <w:rPr>
                <w:rFonts w:ascii="Arial Narrow" w:hAnsi="Arial Narrow"/>
                <w:sz w:val="14"/>
                <w:szCs w:val="16"/>
              </w:rPr>
              <w:t>/R</w:t>
            </w:r>
            <w:r w:rsidRPr="00111F34">
              <w:rPr>
                <w:rFonts w:ascii="Arial Narrow" w:hAnsi="Arial Narrow"/>
                <w:sz w:val="14"/>
                <w:szCs w:val="16"/>
              </w:rPr>
              <w:t>/dp</w:t>
            </w:r>
            <w:r w:rsidR="00B765EB" w:rsidRPr="00111F34">
              <w:rPr>
                <w:rFonts w:ascii="Arial Narrow" w:hAnsi="Arial Narrow"/>
                <w:sz w:val="14"/>
                <w:szCs w:val="16"/>
              </w:rPr>
              <w:t>/S</w:t>
            </w:r>
          </w:p>
        </w:tc>
        <w:tc>
          <w:tcPr>
            <w:tcW w:w="314" w:type="pct"/>
            <w:tcBorders>
              <w:top w:val="single" w:sz="4" w:space="0" w:color="auto"/>
              <w:left w:val="single" w:sz="18" w:space="0" w:color="FF0000"/>
              <w:bottom w:val="single" w:sz="4" w:space="0" w:color="auto"/>
              <w:right w:val="single" w:sz="4" w:space="0" w:color="auto"/>
            </w:tcBorders>
            <w:shd w:val="clear" w:color="auto" w:fill="auto"/>
            <w:vAlign w:val="center"/>
          </w:tcPr>
          <w:p w14:paraId="2DCFB3E9" w14:textId="2B3E7779" w:rsidR="00517CB8" w:rsidRPr="00111F34" w:rsidRDefault="00517CB8" w:rsidP="00517CB8">
            <w:pPr>
              <w:spacing w:beforeLines="20" w:before="48" w:afterLines="20" w:after="48"/>
              <w:jc w:val="center"/>
              <w:rPr>
                <w:rFonts w:ascii="Arial Narrow" w:hAnsi="Arial Narrow"/>
                <w:sz w:val="14"/>
                <w:szCs w:val="16"/>
              </w:rPr>
            </w:pPr>
            <w:r w:rsidRPr="00111F34">
              <w:rPr>
                <w:rFonts w:ascii="Arial Narrow" w:hAnsi="Arial Narrow"/>
                <w:sz w:val="14"/>
                <w:szCs w:val="16"/>
              </w:rPr>
              <w:t>+2/B/dp</w:t>
            </w:r>
          </w:p>
        </w:tc>
        <w:tc>
          <w:tcPr>
            <w:tcW w:w="245" w:type="pct"/>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1435B9BB" w14:textId="0FB2D95C" w:rsidR="00517CB8" w:rsidRPr="00111F34" w:rsidRDefault="00B765EB" w:rsidP="00517CB8">
            <w:pPr>
              <w:spacing w:beforeLines="20" w:before="48" w:afterLines="20" w:after="48"/>
              <w:jc w:val="center"/>
              <w:rPr>
                <w:rFonts w:ascii="Arial Narrow" w:hAnsi="Arial Narrow"/>
                <w:sz w:val="14"/>
                <w:szCs w:val="16"/>
              </w:rPr>
            </w:pPr>
            <w:r w:rsidRPr="00111F34">
              <w:rPr>
                <w:rFonts w:ascii="Arial Narrow" w:hAnsi="Arial Narrow"/>
                <w:sz w:val="14"/>
                <w:szCs w:val="16"/>
              </w:rPr>
              <w:t>+2/R/dp/S</w:t>
            </w:r>
          </w:p>
        </w:tc>
        <w:tc>
          <w:tcPr>
            <w:tcW w:w="417" w:type="pct"/>
            <w:tcBorders>
              <w:top w:val="single" w:sz="4" w:space="0" w:color="auto"/>
              <w:left w:val="single" w:sz="4" w:space="0" w:color="auto"/>
              <w:bottom w:val="single" w:sz="4" w:space="0" w:color="auto"/>
              <w:right w:val="single" w:sz="4" w:space="0" w:color="auto"/>
            </w:tcBorders>
            <w:shd w:val="clear" w:color="auto" w:fill="auto"/>
            <w:vAlign w:val="center"/>
          </w:tcPr>
          <w:p w14:paraId="6C22E45E" w14:textId="68F12927" w:rsidR="00517CB8" w:rsidRPr="00111F34" w:rsidRDefault="00517CB8" w:rsidP="00517CB8">
            <w:pPr>
              <w:spacing w:beforeLines="20" w:before="48" w:afterLines="20" w:after="48"/>
              <w:jc w:val="center"/>
              <w:rPr>
                <w:rFonts w:ascii="Arial Narrow" w:hAnsi="Arial Narrow"/>
                <w:sz w:val="14"/>
                <w:szCs w:val="16"/>
              </w:rPr>
            </w:pPr>
            <w:r w:rsidRPr="00111F34">
              <w:rPr>
                <w:rFonts w:ascii="Arial Narrow" w:hAnsi="Arial Narrow"/>
                <w:sz w:val="14"/>
                <w:szCs w:val="16"/>
              </w:rPr>
              <w:t>0</w:t>
            </w:r>
          </w:p>
        </w:tc>
        <w:tc>
          <w:tcPr>
            <w:tcW w:w="304" w:type="pct"/>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tcPr>
          <w:p w14:paraId="119FD526" w14:textId="6782D2AF" w:rsidR="00517CB8" w:rsidRPr="00111F34" w:rsidRDefault="00B765EB" w:rsidP="00517CB8">
            <w:pPr>
              <w:spacing w:beforeLines="20" w:before="48" w:afterLines="20" w:after="48"/>
              <w:jc w:val="center"/>
              <w:rPr>
                <w:rFonts w:ascii="Arial Narrow" w:hAnsi="Arial Narrow"/>
                <w:sz w:val="14"/>
                <w:szCs w:val="16"/>
              </w:rPr>
            </w:pPr>
            <w:r w:rsidRPr="00111F34">
              <w:rPr>
                <w:rFonts w:ascii="Arial Narrow" w:hAnsi="Arial Narrow"/>
                <w:sz w:val="14"/>
                <w:szCs w:val="16"/>
              </w:rPr>
              <w:t>-1/</w:t>
            </w:r>
            <w:r w:rsidR="00517CB8" w:rsidRPr="00111F34">
              <w:rPr>
                <w:rFonts w:ascii="Arial Narrow" w:hAnsi="Arial Narrow"/>
                <w:sz w:val="14"/>
                <w:szCs w:val="16"/>
              </w:rPr>
              <w:t>B/dp</w:t>
            </w:r>
            <w:r w:rsidRPr="00111F34">
              <w:rPr>
                <w:rFonts w:ascii="Arial Narrow" w:hAnsi="Arial Narrow"/>
                <w:sz w:val="14"/>
                <w:szCs w:val="16"/>
              </w:rPr>
              <w:t>/S</w:t>
            </w:r>
          </w:p>
        </w:tc>
      </w:tr>
      <w:tr w:rsidR="00B765EB" w:rsidRPr="00111F34" w14:paraId="45673A18" w14:textId="77777777" w:rsidTr="00111F34">
        <w:trPr>
          <w:trHeight w:val="265"/>
        </w:trPr>
        <w:tc>
          <w:tcPr>
            <w:tcW w:w="343" w:type="pct"/>
            <w:tcBorders>
              <w:top w:val="single" w:sz="4" w:space="0" w:color="auto"/>
              <w:bottom w:val="single" w:sz="4" w:space="0" w:color="auto"/>
              <w:right w:val="single" w:sz="4" w:space="0" w:color="auto"/>
            </w:tcBorders>
            <w:shd w:val="clear" w:color="auto" w:fill="auto"/>
            <w:vAlign w:val="center"/>
          </w:tcPr>
          <w:p w14:paraId="547E1073" w14:textId="3D4722DC" w:rsidR="00B765EB" w:rsidRPr="00111F34" w:rsidRDefault="00B765EB" w:rsidP="00B765EB">
            <w:pPr>
              <w:pStyle w:val="normln0"/>
              <w:snapToGrid w:val="0"/>
              <w:spacing w:before="0"/>
              <w:jc w:val="center"/>
              <w:rPr>
                <w:rFonts w:ascii="Arial Narrow" w:hAnsi="Arial Narrow" w:cs="Arial"/>
                <w:b/>
                <w:sz w:val="14"/>
                <w:szCs w:val="14"/>
              </w:rPr>
            </w:pPr>
            <w:r w:rsidRPr="00111F34">
              <w:rPr>
                <w:rFonts w:ascii="Arial Narrow" w:hAnsi="Arial Narrow" w:cs="Arial"/>
                <w:b/>
                <w:sz w:val="14"/>
                <w:szCs w:val="14"/>
              </w:rPr>
              <w:t>Z 3827/00 celek</w:t>
            </w:r>
          </w:p>
        </w:tc>
        <w:tc>
          <w:tcPr>
            <w:tcW w:w="360" w:type="pct"/>
            <w:tcBorders>
              <w:top w:val="single" w:sz="4" w:space="0" w:color="auto"/>
              <w:left w:val="single" w:sz="4" w:space="0" w:color="auto"/>
              <w:bottom w:val="single" w:sz="4" w:space="0" w:color="auto"/>
              <w:right w:val="single" w:sz="4" w:space="0" w:color="auto"/>
            </w:tcBorders>
            <w:shd w:val="clear" w:color="auto" w:fill="EAF1DD" w:themeFill="accent3" w:themeFillTint="33"/>
            <w:vAlign w:val="center"/>
          </w:tcPr>
          <w:p w14:paraId="0349EE50" w14:textId="6F5C6828" w:rsidR="00B765EB" w:rsidRPr="00111F34" w:rsidRDefault="00B765EB" w:rsidP="00B765EB">
            <w:pPr>
              <w:spacing w:beforeLines="20" w:before="48" w:afterLines="20" w:after="48"/>
              <w:jc w:val="center"/>
              <w:rPr>
                <w:rFonts w:ascii="Arial Narrow" w:hAnsi="Arial Narrow"/>
                <w:sz w:val="14"/>
                <w:szCs w:val="16"/>
              </w:rPr>
            </w:pPr>
            <w:r w:rsidRPr="00111F34">
              <w:rPr>
                <w:rFonts w:ascii="Arial Narrow" w:hAnsi="Arial Narrow"/>
                <w:sz w:val="14"/>
                <w:szCs w:val="16"/>
              </w:rPr>
              <w:t>+2/B/dp</w:t>
            </w:r>
            <w:r w:rsidR="005506D8" w:rsidRPr="00111F34">
              <w:rPr>
                <w:rFonts w:ascii="Arial Narrow" w:hAnsi="Arial Narrow"/>
                <w:sz w:val="14"/>
                <w:szCs w:val="16"/>
              </w:rPr>
              <w:t>/S</w:t>
            </w:r>
          </w:p>
        </w:tc>
        <w:tc>
          <w:tcPr>
            <w:tcW w:w="381" w:type="pct"/>
            <w:tcBorders>
              <w:top w:val="single" w:sz="4" w:space="0" w:color="auto"/>
              <w:left w:val="single" w:sz="4" w:space="0" w:color="auto"/>
              <w:bottom w:val="single" w:sz="4" w:space="0" w:color="auto"/>
              <w:right w:val="single" w:sz="4" w:space="0" w:color="auto"/>
            </w:tcBorders>
            <w:shd w:val="clear" w:color="auto" w:fill="auto"/>
            <w:vAlign w:val="center"/>
          </w:tcPr>
          <w:p w14:paraId="46482112" w14:textId="4178481F" w:rsidR="00B765EB" w:rsidRPr="00111F34" w:rsidRDefault="00B765EB" w:rsidP="00B765EB">
            <w:pPr>
              <w:spacing w:beforeLines="20" w:before="48" w:afterLines="20" w:after="48"/>
              <w:jc w:val="center"/>
              <w:rPr>
                <w:rFonts w:ascii="Arial Narrow" w:hAnsi="Arial Narrow"/>
                <w:sz w:val="14"/>
                <w:szCs w:val="16"/>
              </w:rPr>
            </w:pPr>
            <w:r w:rsidRPr="00111F34">
              <w:rPr>
                <w:rFonts w:ascii="Arial Narrow" w:hAnsi="Arial Narrow"/>
                <w:sz w:val="14"/>
                <w:szCs w:val="16"/>
              </w:rPr>
              <w:t>+1/B/dp</w:t>
            </w:r>
          </w:p>
        </w:tc>
        <w:tc>
          <w:tcPr>
            <w:tcW w:w="391" w:type="pct"/>
            <w:tcBorders>
              <w:top w:val="single" w:sz="4" w:space="0" w:color="auto"/>
              <w:left w:val="single" w:sz="4" w:space="0" w:color="auto"/>
              <w:bottom w:val="single" w:sz="4" w:space="0" w:color="auto"/>
              <w:right w:val="single" w:sz="4" w:space="0" w:color="auto"/>
            </w:tcBorders>
            <w:shd w:val="clear" w:color="auto" w:fill="auto"/>
            <w:vAlign w:val="center"/>
          </w:tcPr>
          <w:p w14:paraId="5829773F" w14:textId="3E739498" w:rsidR="00B765EB" w:rsidRPr="00111F34" w:rsidRDefault="00B765EB" w:rsidP="00B765EB">
            <w:pPr>
              <w:spacing w:beforeLines="20" w:before="48" w:afterLines="20" w:after="48"/>
              <w:jc w:val="center"/>
              <w:rPr>
                <w:rFonts w:ascii="Arial Narrow" w:hAnsi="Arial Narrow"/>
                <w:sz w:val="14"/>
                <w:szCs w:val="16"/>
              </w:rPr>
            </w:pPr>
            <w:r w:rsidRPr="00111F34">
              <w:rPr>
                <w:rFonts w:ascii="Arial Narrow" w:hAnsi="Arial Narrow"/>
                <w:sz w:val="14"/>
                <w:szCs w:val="16"/>
              </w:rPr>
              <w:t>0</w:t>
            </w:r>
          </w:p>
        </w:tc>
        <w:tc>
          <w:tcPr>
            <w:tcW w:w="341" w:type="pct"/>
            <w:tcBorders>
              <w:top w:val="single" w:sz="4" w:space="0" w:color="auto"/>
              <w:left w:val="single" w:sz="4" w:space="0" w:color="auto"/>
              <w:bottom w:val="single" w:sz="4" w:space="0" w:color="auto"/>
              <w:right w:val="single" w:sz="4" w:space="0" w:color="auto"/>
            </w:tcBorders>
            <w:shd w:val="clear" w:color="auto" w:fill="auto"/>
            <w:vAlign w:val="center"/>
          </w:tcPr>
          <w:p w14:paraId="49D09636" w14:textId="7318620F" w:rsidR="00B765EB" w:rsidRPr="00111F34" w:rsidRDefault="00B765EB" w:rsidP="00B765EB">
            <w:pPr>
              <w:spacing w:beforeLines="20" w:before="48" w:afterLines="20" w:after="48"/>
              <w:jc w:val="center"/>
              <w:rPr>
                <w:rFonts w:ascii="Arial Narrow" w:hAnsi="Arial Narrow"/>
                <w:sz w:val="14"/>
                <w:szCs w:val="16"/>
              </w:rPr>
            </w:pPr>
            <w:r w:rsidRPr="00111F34">
              <w:rPr>
                <w:rFonts w:ascii="Arial Narrow" w:hAnsi="Arial Narrow"/>
                <w:sz w:val="14"/>
                <w:szCs w:val="16"/>
              </w:rPr>
              <w:t>-1/B/dp</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621F65CA" w14:textId="0976C74C" w:rsidR="00B765EB" w:rsidRPr="00111F34" w:rsidRDefault="00B765EB" w:rsidP="00B765EB">
            <w:pPr>
              <w:spacing w:beforeLines="20" w:before="48" w:afterLines="20" w:after="48"/>
              <w:jc w:val="center"/>
              <w:rPr>
                <w:rFonts w:ascii="Arial Narrow" w:hAnsi="Arial Narrow"/>
                <w:sz w:val="14"/>
                <w:szCs w:val="16"/>
              </w:rPr>
            </w:pPr>
            <w:r w:rsidRPr="00111F34">
              <w:rPr>
                <w:rFonts w:ascii="Arial Narrow" w:hAnsi="Arial Narrow"/>
                <w:sz w:val="14"/>
                <w:szCs w:val="16"/>
              </w:rPr>
              <w:t>-1/B/dp</w:t>
            </w:r>
          </w:p>
        </w:tc>
        <w:tc>
          <w:tcPr>
            <w:tcW w:w="342" w:type="pct"/>
            <w:tcBorders>
              <w:top w:val="single" w:sz="4" w:space="0" w:color="auto"/>
              <w:left w:val="single" w:sz="4" w:space="0" w:color="auto"/>
              <w:bottom w:val="single" w:sz="4" w:space="0" w:color="auto"/>
              <w:right w:val="single" w:sz="4" w:space="0" w:color="auto"/>
            </w:tcBorders>
            <w:shd w:val="clear" w:color="auto" w:fill="auto"/>
            <w:vAlign w:val="center"/>
          </w:tcPr>
          <w:p w14:paraId="6990DDDB" w14:textId="2CC86D2D" w:rsidR="00B765EB" w:rsidRPr="00111F34" w:rsidRDefault="00B765EB" w:rsidP="00B765EB">
            <w:pPr>
              <w:spacing w:beforeLines="20" w:before="48" w:afterLines="20" w:after="48"/>
              <w:jc w:val="center"/>
              <w:rPr>
                <w:rFonts w:ascii="Arial Narrow" w:hAnsi="Arial Narrow"/>
                <w:sz w:val="14"/>
                <w:szCs w:val="16"/>
              </w:rPr>
            </w:pPr>
            <w:r w:rsidRPr="00111F34">
              <w:rPr>
                <w:rFonts w:ascii="Arial Narrow" w:hAnsi="Arial Narrow"/>
                <w:sz w:val="14"/>
                <w:szCs w:val="16"/>
              </w:rPr>
              <w:t>-1/B/dp</w:t>
            </w:r>
          </w:p>
        </w:tc>
        <w:tc>
          <w:tcPr>
            <w:tcW w:w="341" w:type="pct"/>
            <w:tcBorders>
              <w:top w:val="single" w:sz="4" w:space="0" w:color="auto"/>
              <w:left w:val="single" w:sz="4" w:space="0" w:color="auto"/>
              <w:bottom w:val="single" w:sz="4" w:space="0" w:color="auto"/>
            </w:tcBorders>
            <w:shd w:val="clear" w:color="auto" w:fill="F2DBDB" w:themeFill="accent2" w:themeFillTint="33"/>
            <w:vAlign w:val="center"/>
          </w:tcPr>
          <w:p w14:paraId="759C14D7" w14:textId="20112487" w:rsidR="00B765EB" w:rsidRPr="00111F34" w:rsidRDefault="00B765EB" w:rsidP="00B765EB">
            <w:pPr>
              <w:spacing w:beforeLines="20" w:before="48" w:afterLines="20" w:after="48"/>
              <w:jc w:val="center"/>
              <w:rPr>
                <w:rFonts w:ascii="Arial Narrow" w:hAnsi="Arial Narrow"/>
                <w:sz w:val="14"/>
                <w:szCs w:val="16"/>
              </w:rPr>
            </w:pPr>
            <w:r w:rsidRPr="00111F34">
              <w:rPr>
                <w:rFonts w:ascii="Arial Narrow" w:hAnsi="Arial Narrow"/>
                <w:sz w:val="14"/>
                <w:szCs w:val="16"/>
              </w:rPr>
              <w:t>-1/B/dp/S</w:t>
            </w:r>
          </w:p>
        </w:tc>
        <w:tc>
          <w:tcPr>
            <w:tcW w:w="293" w:type="pct"/>
            <w:tcBorders>
              <w:bottom w:val="single" w:sz="4" w:space="0" w:color="auto"/>
            </w:tcBorders>
            <w:shd w:val="clear" w:color="auto" w:fill="EAF1DD" w:themeFill="accent3" w:themeFillTint="33"/>
            <w:vAlign w:val="center"/>
          </w:tcPr>
          <w:p w14:paraId="7FD866BA" w14:textId="4747CF61" w:rsidR="00B765EB" w:rsidRPr="00111F34" w:rsidRDefault="00B765EB" w:rsidP="00B765EB">
            <w:pPr>
              <w:spacing w:beforeLines="20" w:before="48" w:afterLines="20" w:after="48"/>
              <w:jc w:val="center"/>
              <w:rPr>
                <w:rFonts w:ascii="Arial Narrow" w:hAnsi="Arial Narrow"/>
                <w:sz w:val="14"/>
                <w:szCs w:val="16"/>
              </w:rPr>
            </w:pPr>
            <w:r w:rsidRPr="00111F34">
              <w:rPr>
                <w:rFonts w:ascii="Arial Narrow" w:hAnsi="Arial Narrow"/>
                <w:sz w:val="14"/>
                <w:szCs w:val="16"/>
              </w:rPr>
              <w:t>+1/R/dp/S</w:t>
            </w:r>
          </w:p>
        </w:tc>
        <w:tc>
          <w:tcPr>
            <w:tcW w:w="293" w:type="pct"/>
            <w:tcBorders>
              <w:bottom w:val="single" w:sz="4" w:space="0" w:color="auto"/>
              <w:right w:val="single" w:sz="18" w:space="0" w:color="FF0000"/>
            </w:tcBorders>
            <w:shd w:val="clear" w:color="auto" w:fill="auto"/>
            <w:vAlign w:val="center"/>
          </w:tcPr>
          <w:p w14:paraId="2BE9D9B2" w14:textId="0AF8B40B" w:rsidR="00B765EB" w:rsidRPr="00111F34" w:rsidRDefault="00B765EB" w:rsidP="00B765EB">
            <w:pPr>
              <w:spacing w:beforeLines="20" w:before="48" w:afterLines="20" w:after="48"/>
              <w:jc w:val="center"/>
              <w:rPr>
                <w:rFonts w:ascii="Arial Narrow" w:hAnsi="Arial Narrow"/>
                <w:sz w:val="14"/>
                <w:szCs w:val="16"/>
              </w:rPr>
            </w:pPr>
            <w:r w:rsidRPr="00111F34">
              <w:rPr>
                <w:rFonts w:ascii="Arial Narrow" w:hAnsi="Arial Narrow"/>
                <w:sz w:val="14"/>
                <w:szCs w:val="16"/>
              </w:rPr>
              <w:t>-1/B/dp/S</w:t>
            </w:r>
          </w:p>
        </w:tc>
        <w:tc>
          <w:tcPr>
            <w:tcW w:w="293" w:type="pct"/>
            <w:tcBorders>
              <w:top w:val="single" w:sz="18" w:space="0" w:color="FF0000"/>
              <w:left w:val="single" w:sz="18" w:space="0" w:color="FF0000"/>
              <w:bottom w:val="single" w:sz="18" w:space="0" w:color="FF0000"/>
              <w:right w:val="single" w:sz="18" w:space="0" w:color="FF0000"/>
            </w:tcBorders>
            <w:shd w:val="clear" w:color="auto" w:fill="EAF1DD" w:themeFill="accent3" w:themeFillTint="33"/>
            <w:vAlign w:val="center"/>
          </w:tcPr>
          <w:p w14:paraId="45513956" w14:textId="021FBF46" w:rsidR="00B765EB" w:rsidRPr="00111F34" w:rsidRDefault="00B765EB" w:rsidP="00B765EB">
            <w:pPr>
              <w:spacing w:beforeLines="20" w:before="48" w:afterLines="20" w:after="48"/>
              <w:jc w:val="center"/>
              <w:rPr>
                <w:rFonts w:ascii="Arial Narrow" w:hAnsi="Arial Narrow"/>
                <w:sz w:val="14"/>
                <w:szCs w:val="16"/>
              </w:rPr>
            </w:pPr>
            <w:r w:rsidRPr="00111F34">
              <w:rPr>
                <w:rFonts w:ascii="Arial Narrow" w:hAnsi="Arial Narrow"/>
                <w:sz w:val="14"/>
                <w:szCs w:val="16"/>
              </w:rPr>
              <w:t>-1/+1/B/R/dp/S</w:t>
            </w:r>
          </w:p>
        </w:tc>
        <w:tc>
          <w:tcPr>
            <w:tcW w:w="314" w:type="pct"/>
            <w:tcBorders>
              <w:top w:val="single" w:sz="4" w:space="0" w:color="auto"/>
              <w:left w:val="single" w:sz="18" w:space="0" w:color="FF0000"/>
              <w:bottom w:val="single" w:sz="4" w:space="0" w:color="auto"/>
              <w:right w:val="single" w:sz="4" w:space="0" w:color="auto"/>
            </w:tcBorders>
            <w:shd w:val="clear" w:color="auto" w:fill="auto"/>
            <w:vAlign w:val="center"/>
          </w:tcPr>
          <w:p w14:paraId="58117082" w14:textId="16F99987" w:rsidR="00B765EB" w:rsidRPr="00111F34" w:rsidRDefault="00B765EB" w:rsidP="00B765EB">
            <w:pPr>
              <w:spacing w:beforeLines="20" w:before="48" w:afterLines="20" w:after="48"/>
              <w:jc w:val="center"/>
              <w:rPr>
                <w:rFonts w:ascii="Arial Narrow" w:hAnsi="Arial Narrow"/>
                <w:sz w:val="14"/>
                <w:szCs w:val="16"/>
              </w:rPr>
            </w:pPr>
            <w:r w:rsidRPr="00111F34">
              <w:rPr>
                <w:rFonts w:ascii="Arial Narrow" w:hAnsi="Arial Narrow"/>
                <w:sz w:val="14"/>
                <w:szCs w:val="16"/>
              </w:rPr>
              <w:t>+2/B/dp</w:t>
            </w:r>
          </w:p>
        </w:tc>
        <w:tc>
          <w:tcPr>
            <w:tcW w:w="245" w:type="pct"/>
            <w:tcBorders>
              <w:top w:val="single" w:sz="4" w:space="0" w:color="auto"/>
              <w:left w:val="single" w:sz="4" w:space="0" w:color="auto"/>
              <w:bottom w:val="single" w:sz="4" w:space="0" w:color="auto"/>
              <w:right w:val="single" w:sz="4" w:space="0" w:color="auto"/>
            </w:tcBorders>
            <w:shd w:val="clear" w:color="auto" w:fill="C2D69B" w:themeFill="accent3" w:themeFillTint="99"/>
            <w:vAlign w:val="center"/>
          </w:tcPr>
          <w:p w14:paraId="30160405" w14:textId="00839343" w:rsidR="00B765EB" w:rsidRPr="00111F34" w:rsidRDefault="00B765EB" w:rsidP="00B765EB">
            <w:pPr>
              <w:spacing w:beforeLines="20" w:before="48" w:afterLines="20" w:after="48"/>
              <w:jc w:val="center"/>
              <w:rPr>
                <w:rFonts w:ascii="Arial Narrow" w:hAnsi="Arial Narrow"/>
                <w:sz w:val="14"/>
                <w:szCs w:val="16"/>
              </w:rPr>
            </w:pPr>
            <w:r w:rsidRPr="00111F34">
              <w:rPr>
                <w:rFonts w:ascii="Arial Narrow" w:hAnsi="Arial Narrow"/>
                <w:sz w:val="14"/>
                <w:szCs w:val="16"/>
              </w:rPr>
              <w:t>+2/R/dp/S</w:t>
            </w:r>
          </w:p>
        </w:tc>
        <w:tc>
          <w:tcPr>
            <w:tcW w:w="417" w:type="pct"/>
            <w:tcBorders>
              <w:top w:val="single" w:sz="4" w:space="0" w:color="auto"/>
              <w:left w:val="single" w:sz="4" w:space="0" w:color="auto"/>
              <w:bottom w:val="single" w:sz="4" w:space="0" w:color="auto"/>
              <w:right w:val="single" w:sz="4" w:space="0" w:color="auto"/>
            </w:tcBorders>
            <w:shd w:val="clear" w:color="auto" w:fill="auto"/>
            <w:vAlign w:val="center"/>
          </w:tcPr>
          <w:p w14:paraId="57A4F0A8" w14:textId="51390FA2" w:rsidR="00B765EB" w:rsidRPr="00111F34" w:rsidRDefault="00B765EB" w:rsidP="00B765EB">
            <w:pPr>
              <w:spacing w:beforeLines="20" w:before="48" w:afterLines="20" w:after="48"/>
              <w:jc w:val="center"/>
              <w:rPr>
                <w:rFonts w:ascii="Arial Narrow" w:hAnsi="Arial Narrow"/>
                <w:sz w:val="14"/>
                <w:szCs w:val="16"/>
              </w:rPr>
            </w:pPr>
            <w:r w:rsidRPr="00111F34">
              <w:rPr>
                <w:rFonts w:ascii="Arial Narrow" w:hAnsi="Arial Narrow"/>
                <w:sz w:val="14"/>
                <w:szCs w:val="16"/>
              </w:rPr>
              <w:t>-1/B/dp</w:t>
            </w:r>
          </w:p>
        </w:tc>
        <w:tc>
          <w:tcPr>
            <w:tcW w:w="304" w:type="pct"/>
            <w:tcBorders>
              <w:top w:val="single" w:sz="4" w:space="0" w:color="auto"/>
              <w:left w:val="single" w:sz="4" w:space="0" w:color="auto"/>
              <w:bottom w:val="single" w:sz="4" w:space="0" w:color="auto"/>
              <w:right w:val="single" w:sz="4" w:space="0" w:color="auto"/>
            </w:tcBorders>
            <w:shd w:val="clear" w:color="auto" w:fill="F2DBDB" w:themeFill="accent2" w:themeFillTint="33"/>
            <w:vAlign w:val="center"/>
          </w:tcPr>
          <w:p w14:paraId="6DB149C0" w14:textId="09D06BCE" w:rsidR="00B765EB" w:rsidRPr="00111F34" w:rsidRDefault="00B765EB" w:rsidP="00B765EB">
            <w:pPr>
              <w:spacing w:beforeLines="20" w:before="48" w:afterLines="20" w:after="48"/>
              <w:jc w:val="center"/>
              <w:rPr>
                <w:rFonts w:ascii="Arial Narrow" w:hAnsi="Arial Narrow"/>
                <w:sz w:val="14"/>
                <w:szCs w:val="16"/>
              </w:rPr>
            </w:pPr>
            <w:r w:rsidRPr="00111F34">
              <w:rPr>
                <w:rFonts w:ascii="Arial Narrow" w:hAnsi="Arial Narrow"/>
                <w:sz w:val="14"/>
                <w:szCs w:val="16"/>
              </w:rPr>
              <w:t>+1/-1/B/dp/S</w:t>
            </w:r>
          </w:p>
        </w:tc>
      </w:tr>
      <w:tr w:rsidR="00517CB8" w:rsidRPr="00111F34" w14:paraId="45B2C3E9" w14:textId="77777777" w:rsidTr="00B34C98">
        <w:tc>
          <w:tcPr>
            <w:tcW w:w="5000" w:type="pct"/>
            <w:gridSpan w:val="15"/>
            <w:tcBorders>
              <w:top w:val="single" w:sz="4" w:space="0" w:color="auto"/>
            </w:tcBorders>
            <w:shd w:val="clear" w:color="auto" w:fill="auto"/>
          </w:tcPr>
          <w:p w14:paraId="3A2A9636" w14:textId="77777777" w:rsidR="00517CB8" w:rsidRPr="00111F34" w:rsidRDefault="00517CB8" w:rsidP="00BE198A">
            <w:pPr>
              <w:pStyle w:val="Texttabulky"/>
              <w:spacing w:before="60"/>
              <w:jc w:val="both"/>
              <w:rPr>
                <w:rFonts w:cs="Arial"/>
                <w:szCs w:val="16"/>
              </w:rPr>
            </w:pPr>
            <w:r w:rsidRPr="00111F34">
              <w:rPr>
                <w:rFonts w:cs="Arial"/>
                <w:b/>
                <w:szCs w:val="16"/>
              </w:rPr>
              <w:t>Komentář:</w:t>
            </w:r>
            <w:r w:rsidRPr="00111F34">
              <w:rPr>
                <w:rFonts w:cs="Arial"/>
                <w:szCs w:val="16"/>
              </w:rPr>
              <w:t xml:space="preserve"> </w:t>
            </w:r>
          </w:p>
          <w:p w14:paraId="6B750C8E" w14:textId="4CA0EC8C" w:rsidR="007F3D29" w:rsidRPr="00111F34" w:rsidRDefault="007F3D29" w:rsidP="00BE198A">
            <w:pPr>
              <w:pStyle w:val="Texttabulky"/>
              <w:spacing w:before="60"/>
              <w:jc w:val="both"/>
              <w:rPr>
                <w:noProof/>
                <w:szCs w:val="16"/>
              </w:rPr>
            </w:pPr>
            <w:r w:rsidRPr="00111F34">
              <w:rPr>
                <w:noProof/>
                <w:szCs w:val="16"/>
              </w:rPr>
              <w:t>Řešené území zahrnuje oblast tzv. Nového Sedlce a Výhledů, okrajové části MČ Praha - Suchdol. Obě tyto oblasti jsou vzájemně provázány Kamýckou ulicí, kterou je plánováno vedení budoucí tramvajové tra</w:t>
            </w:r>
            <w:r w:rsidR="00BE198A" w:rsidRPr="00111F34">
              <w:rPr>
                <w:noProof/>
                <w:szCs w:val="16"/>
              </w:rPr>
              <w:t>ti</w:t>
            </w:r>
            <w:r w:rsidRPr="00111F34">
              <w:rPr>
                <w:noProof/>
                <w:szCs w:val="16"/>
              </w:rPr>
              <w:t xml:space="preserve"> z Podbaby do Suchdola. Území řešené změnou lze rozdělit na lokality Podbabská, Nový Sedlec, Kamýcká a Výhledy.</w:t>
            </w:r>
          </w:p>
          <w:p w14:paraId="1EF831B1" w14:textId="5F2CC03E" w:rsidR="007F3D29" w:rsidRPr="00111F34" w:rsidRDefault="007F3D29" w:rsidP="00BE198A">
            <w:pPr>
              <w:pStyle w:val="Texttabulky"/>
              <w:spacing w:before="60"/>
              <w:jc w:val="both"/>
              <w:rPr>
                <w:noProof/>
                <w:szCs w:val="16"/>
              </w:rPr>
            </w:pPr>
            <w:r w:rsidRPr="00111F34">
              <w:rPr>
                <w:noProof/>
                <w:szCs w:val="16"/>
              </w:rPr>
              <w:t xml:space="preserve">V řešeném území je vymezena přírodní památka Podbabské skály, evropsky významná </w:t>
            </w:r>
            <w:r w:rsidR="000F4558">
              <w:rPr>
                <w:noProof/>
                <w:szCs w:val="16"/>
              </w:rPr>
              <w:t xml:space="preserve">lokalita </w:t>
            </w:r>
            <w:r w:rsidRPr="00111F34">
              <w:rPr>
                <w:noProof/>
                <w:szCs w:val="16"/>
              </w:rPr>
              <w:t>(EVL) Kaňon Vltavy u Sedlce, celoměstský systém zeleně a územní systém ekologické stability (ÚSES).</w:t>
            </w:r>
          </w:p>
          <w:p w14:paraId="69594846" w14:textId="42F6B3D4" w:rsidR="007F3D29" w:rsidRPr="00111F34" w:rsidRDefault="007F3D29" w:rsidP="00BE198A">
            <w:pPr>
              <w:pStyle w:val="Texttabulky"/>
              <w:spacing w:before="60"/>
              <w:jc w:val="both"/>
              <w:rPr>
                <w:noProof/>
                <w:szCs w:val="16"/>
              </w:rPr>
            </w:pPr>
            <w:r w:rsidRPr="00111F34">
              <w:rPr>
                <w:noProof/>
                <w:szCs w:val="16"/>
              </w:rPr>
              <w:t>Řešené území na jihu navazuje na stávající tramvajovou smyčku v</w:t>
            </w:r>
            <w:r w:rsidR="00A80DB4">
              <w:rPr>
                <w:noProof/>
                <w:szCs w:val="16"/>
              </w:rPr>
              <w:t> </w:t>
            </w:r>
            <w:r w:rsidRPr="00111F34">
              <w:rPr>
                <w:noProof/>
                <w:szCs w:val="16"/>
              </w:rPr>
              <w:t>Podbabě a dále pokračuje Podbabskou a Roztockou ulicí až ke křižovatce s</w:t>
            </w:r>
            <w:r w:rsidR="00A80DB4">
              <w:rPr>
                <w:noProof/>
                <w:szCs w:val="16"/>
              </w:rPr>
              <w:t> </w:t>
            </w:r>
            <w:r w:rsidRPr="00111F34">
              <w:rPr>
                <w:noProof/>
                <w:szCs w:val="16"/>
              </w:rPr>
              <w:t xml:space="preserve">ulicí Kamýckou (dále lokalita Podbaba </w:t>
            </w:r>
            <w:r w:rsidR="00A80DB4">
              <w:rPr>
                <w:noProof/>
                <w:szCs w:val="16"/>
              </w:rPr>
              <w:t>–</w:t>
            </w:r>
            <w:r w:rsidRPr="00111F34">
              <w:rPr>
                <w:noProof/>
                <w:szCs w:val="16"/>
              </w:rPr>
              <w:t xml:space="preserve"> Kamýcká). Zde se rozšiřuje a umožňuje návrh zástavby v</w:t>
            </w:r>
            <w:r w:rsidR="00A80DB4">
              <w:rPr>
                <w:noProof/>
                <w:szCs w:val="16"/>
              </w:rPr>
              <w:t> </w:t>
            </w:r>
            <w:r w:rsidRPr="00111F34">
              <w:rPr>
                <w:noProof/>
                <w:szCs w:val="16"/>
              </w:rPr>
              <w:t>okolí nové tramvajové trati. Jedná se o lokalitu zvanou Nový Sedlec – jednu ze dvou oblastí, kde se navrhuje nová zástavba. Jde o plochy vymezené ze severu Kamýckou ulicí, z</w:t>
            </w:r>
            <w:r w:rsidR="00A80DB4">
              <w:rPr>
                <w:noProof/>
                <w:szCs w:val="16"/>
              </w:rPr>
              <w:t> </w:t>
            </w:r>
            <w:r w:rsidRPr="00111F34">
              <w:rPr>
                <w:noProof/>
                <w:szCs w:val="16"/>
              </w:rPr>
              <w:t>východu železnicí, z</w:t>
            </w:r>
            <w:r w:rsidR="00A80DB4">
              <w:rPr>
                <w:noProof/>
                <w:szCs w:val="16"/>
              </w:rPr>
              <w:t> </w:t>
            </w:r>
            <w:r w:rsidRPr="00111F34">
              <w:rPr>
                <w:noProof/>
                <w:szCs w:val="16"/>
              </w:rPr>
              <w:t>jihu a jihovýchodu hranou Podbabských skal a Lysolajského údolí a na západě stávající zástavbou rodinných domů při ulici Nad Podbabskou skálou. Suchdolem prochází řešené území převážně v</w:t>
            </w:r>
            <w:r w:rsidR="00A80DB4">
              <w:rPr>
                <w:noProof/>
                <w:szCs w:val="16"/>
              </w:rPr>
              <w:t> </w:t>
            </w:r>
            <w:r w:rsidRPr="00111F34">
              <w:rPr>
                <w:noProof/>
                <w:szCs w:val="16"/>
              </w:rPr>
              <w:t>rozsahu Kamýcké ulice, kterou vede navrhovaná tramvajová trať (dále lokalita Kamýcká). Řešené území končí v</w:t>
            </w:r>
            <w:r w:rsidR="00A80DB4">
              <w:rPr>
                <w:noProof/>
                <w:szCs w:val="16"/>
              </w:rPr>
              <w:t> </w:t>
            </w:r>
            <w:r w:rsidRPr="00111F34">
              <w:rPr>
                <w:noProof/>
                <w:szCs w:val="16"/>
              </w:rPr>
              <w:t xml:space="preserve">oblasti nazvané Výhledy, kde se opět mírně rozšiřuje </w:t>
            </w:r>
            <w:r w:rsidRPr="00111F34">
              <w:rPr>
                <w:noProof/>
                <w:szCs w:val="16"/>
              </w:rPr>
              <w:lastRenderedPageBreak/>
              <w:t>na dnes nezastavěné pozemky mezi Kamýckou ulicí a zástavbou Starého Suchdola. V</w:t>
            </w:r>
            <w:r w:rsidR="00A80DB4">
              <w:rPr>
                <w:noProof/>
                <w:szCs w:val="16"/>
              </w:rPr>
              <w:t> </w:t>
            </w:r>
            <w:r w:rsidRPr="00111F34">
              <w:rPr>
                <w:noProof/>
                <w:szCs w:val="16"/>
              </w:rPr>
              <w:t>oblasti Výhledů má končit nová tramvajová trať smyčkou.</w:t>
            </w:r>
          </w:p>
          <w:p w14:paraId="223FD222" w14:textId="4EBACACC" w:rsidR="00026ACC" w:rsidRPr="00111F34" w:rsidRDefault="00026ACC" w:rsidP="00BE198A">
            <w:pPr>
              <w:pStyle w:val="Texttabulky"/>
              <w:spacing w:before="60"/>
              <w:jc w:val="both"/>
              <w:rPr>
                <w:noProof/>
                <w:szCs w:val="16"/>
              </w:rPr>
            </w:pPr>
            <w:r w:rsidRPr="00111F34">
              <w:rPr>
                <w:noProof/>
                <w:szCs w:val="16"/>
              </w:rPr>
              <w:t xml:space="preserve">Návrh změny vytváří </w:t>
            </w:r>
            <w:r w:rsidR="00BE198A" w:rsidRPr="00111F34">
              <w:rPr>
                <w:noProof/>
                <w:szCs w:val="16"/>
              </w:rPr>
              <w:t xml:space="preserve">územní </w:t>
            </w:r>
            <w:r w:rsidRPr="00111F34">
              <w:rPr>
                <w:noProof/>
                <w:szCs w:val="16"/>
              </w:rPr>
              <w:t>předpoklady realizace připravovaného komplexního rozvoje rezidenčních lokalit Nový Sedlec a Výhledy, stabilizace tramvajové trati a dopravního řešení v</w:t>
            </w:r>
            <w:r w:rsidR="00A80DB4">
              <w:rPr>
                <w:noProof/>
                <w:szCs w:val="16"/>
              </w:rPr>
              <w:t> </w:t>
            </w:r>
            <w:r w:rsidRPr="00111F34">
              <w:rPr>
                <w:noProof/>
                <w:szCs w:val="16"/>
              </w:rPr>
              <w:t>koordinaci s</w:t>
            </w:r>
            <w:r w:rsidR="00A80DB4">
              <w:rPr>
                <w:noProof/>
                <w:szCs w:val="16"/>
              </w:rPr>
              <w:t> </w:t>
            </w:r>
            <w:r w:rsidRPr="00111F34">
              <w:rPr>
                <w:noProof/>
                <w:szCs w:val="16"/>
              </w:rPr>
              <w:t>ostatními záměry v</w:t>
            </w:r>
            <w:r w:rsidR="00A80DB4">
              <w:rPr>
                <w:noProof/>
                <w:szCs w:val="16"/>
              </w:rPr>
              <w:t> </w:t>
            </w:r>
            <w:r w:rsidRPr="00111F34">
              <w:rPr>
                <w:noProof/>
                <w:szCs w:val="16"/>
              </w:rPr>
              <w:t>území. Cílem změny je vzájemně smysluplně provázat území Sedlce a Suchdola a propojit tuto lokalitu i s</w:t>
            </w:r>
            <w:r w:rsidR="00A80DB4">
              <w:rPr>
                <w:noProof/>
                <w:szCs w:val="16"/>
              </w:rPr>
              <w:t> </w:t>
            </w:r>
            <w:r w:rsidRPr="00111F34">
              <w:rPr>
                <w:noProof/>
                <w:szCs w:val="16"/>
              </w:rPr>
              <w:t>centrem Prahy.</w:t>
            </w:r>
          </w:p>
          <w:p w14:paraId="180A995C" w14:textId="04FB6AA8" w:rsidR="00026ACC" w:rsidRPr="00111F34" w:rsidRDefault="00026ACC" w:rsidP="00026ACC">
            <w:pPr>
              <w:pStyle w:val="Texttabulky"/>
              <w:spacing w:before="60"/>
              <w:rPr>
                <w:noProof/>
                <w:szCs w:val="16"/>
              </w:rPr>
            </w:pPr>
            <w:r w:rsidRPr="00111F34">
              <w:rPr>
                <w:noProof/>
                <w:szCs w:val="16"/>
              </w:rPr>
              <w:t>Změna navrhuje zastavitelné plochy v</w:t>
            </w:r>
            <w:r w:rsidR="00A80DB4">
              <w:rPr>
                <w:noProof/>
                <w:szCs w:val="16"/>
              </w:rPr>
              <w:t> </w:t>
            </w:r>
            <w:r w:rsidRPr="00111F34">
              <w:rPr>
                <w:noProof/>
                <w:szCs w:val="16"/>
              </w:rPr>
              <w:t>rozsahu 133 083 m</w:t>
            </w:r>
            <w:r w:rsidRPr="00111F34">
              <w:rPr>
                <w:noProof/>
                <w:szCs w:val="16"/>
                <w:vertAlign w:val="superscript"/>
              </w:rPr>
              <w:t>2</w:t>
            </w:r>
            <w:r w:rsidRPr="00111F34">
              <w:rPr>
                <w:noProof/>
                <w:szCs w:val="16"/>
              </w:rPr>
              <w:t>. Oproti tomu návrh změny navrhuje plochy nezastavitelné a tímto ruší zastavitelné plochy v</w:t>
            </w:r>
            <w:r w:rsidR="00A80DB4">
              <w:rPr>
                <w:noProof/>
                <w:szCs w:val="16"/>
              </w:rPr>
              <w:t> </w:t>
            </w:r>
            <w:r w:rsidRPr="00111F34">
              <w:rPr>
                <w:noProof/>
                <w:szCs w:val="16"/>
              </w:rPr>
              <w:t>rozsahu 31 244 m</w:t>
            </w:r>
            <w:r w:rsidRPr="00111F34">
              <w:rPr>
                <w:noProof/>
                <w:szCs w:val="16"/>
                <w:vertAlign w:val="superscript"/>
              </w:rPr>
              <w:t>2</w:t>
            </w:r>
            <w:r w:rsidRPr="00111F34">
              <w:rPr>
                <w:noProof/>
                <w:szCs w:val="16"/>
              </w:rPr>
              <w:t>. Finálně je ve změně navrhován nárůst zastavitelných ploch v</w:t>
            </w:r>
            <w:r w:rsidR="00A80DB4">
              <w:rPr>
                <w:noProof/>
                <w:szCs w:val="16"/>
              </w:rPr>
              <w:t> </w:t>
            </w:r>
            <w:r w:rsidRPr="00111F34">
              <w:rPr>
                <w:noProof/>
                <w:szCs w:val="16"/>
              </w:rPr>
              <w:t>rozsahu 101 839 m</w:t>
            </w:r>
            <w:r w:rsidRPr="00111F34">
              <w:rPr>
                <w:noProof/>
                <w:szCs w:val="16"/>
                <w:vertAlign w:val="superscript"/>
              </w:rPr>
              <w:t>2</w:t>
            </w:r>
            <w:r w:rsidRPr="00111F34">
              <w:rPr>
                <w:noProof/>
                <w:szCs w:val="16"/>
              </w:rPr>
              <w:t>.</w:t>
            </w:r>
          </w:p>
          <w:p w14:paraId="35AC01C2" w14:textId="021A4FFD" w:rsidR="00026ACC" w:rsidRPr="00111F34" w:rsidRDefault="00026ACC" w:rsidP="00026ACC">
            <w:pPr>
              <w:pStyle w:val="Texttabulky"/>
              <w:spacing w:before="60"/>
              <w:rPr>
                <w:noProof/>
                <w:szCs w:val="16"/>
              </w:rPr>
            </w:pPr>
            <w:r w:rsidRPr="00111F34">
              <w:rPr>
                <w:noProof/>
                <w:szCs w:val="16"/>
              </w:rPr>
              <w:t>Z</w:t>
            </w:r>
            <w:r w:rsidR="00A80DB4">
              <w:rPr>
                <w:noProof/>
                <w:szCs w:val="16"/>
              </w:rPr>
              <w:t> </w:t>
            </w:r>
            <w:r w:rsidRPr="00111F34">
              <w:rPr>
                <w:noProof/>
                <w:szCs w:val="16"/>
              </w:rPr>
              <w:t xml:space="preserve">věcného hlediska jsou navrhovány tyto základní typy změn: </w:t>
            </w:r>
          </w:p>
          <w:p w14:paraId="6AC90677" w14:textId="5EFEA249" w:rsidR="00026ACC" w:rsidRPr="00111F34" w:rsidRDefault="00026ACC" w:rsidP="00026ACC">
            <w:pPr>
              <w:pStyle w:val="Texttabulky"/>
              <w:spacing w:before="60"/>
              <w:rPr>
                <w:noProof/>
                <w:szCs w:val="16"/>
              </w:rPr>
            </w:pPr>
            <w:r w:rsidRPr="00111F34">
              <w:rPr>
                <w:noProof/>
                <w:szCs w:val="16"/>
              </w:rPr>
              <w:t xml:space="preserve">Podbabská </w:t>
            </w:r>
            <w:r w:rsidR="00A80DB4">
              <w:rPr>
                <w:noProof/>
                <w:szCs w:val="16"/>
              </w:rPr>
              <w:t>–</w:t>
            </w:r>
            <w:r w:rsidRPr="00111F34">
              <w:rPr>
                <w:noProof/>
                <w:szCs w:val="16"/>
              </w:rPr>
              <w:t xml:space="preserve"> Kamýcká</w:t>
            </w:r>
          </w:p>
          <w:p w14:paraId="22CC4C17" w14:textId="4F5F31BD" w:rsidR="00026ACC" w:rsidRPr="00111F34" w:rsidRDefault="00026ACC" w:rsidP="00026ACC">
            <w:pPr>
              <w:pStyle w:val="Texttabulky"/>
              <w:spacing w:before="60"/>
              <w:rPr>
                <w:noProof/>
                <w:szCs w:val="16"/>
              </w:rPr>
            </w:pPr>
            <w:r w:rsidRPr="00111F34">
              <w:rPr>
                <w:noProof/>
                <w:szCs w:val="16"/>
              </w:rPr>
              <w:t>Rozšíření ulice Podbabská/Roztocká – navrhováno rozšíření plochy S2 umožňující umístění tramvajové trati při zachování dostatečného prostoru pro pěší, cyklistickou a motorovou dopravu, na úkor ploch VN, IZ, DZ, ZVO, DGP, ZMK</w:t>
            </w:r>
            <w:r w:rsidR="00A80DB4">
              <w:rPr>
                <w:noProof/>
                <w:szCs w:val="16"/>
              </w:rPr>
              <w:t>.</w:t>
            </w:r>
          </w:p>
          <w:p w14:paraId="5B3AA279" w14:textId="16FA4055" w:rsidR="00026ACC" w:rsidRPr="00111F34" w:rsidRDefault="00026ACC" w:rsidP="008443B2">
            <w:pPr>
              <w:pStyle w:val="Texttabulky"/>
              <w:spacing w:before="60"/>
              <w:jc w:val="both"/>
              <w:rPr>
                <w:noProof/>
                <w:szCs w:val="16"/>
              </w:rPr>
            </w:pPr>
            <w:r w:rsidRPr="00111F34">
              <w:rPr>
                <w:noProof/>
                <w:szCs w:val="16"/>
              </w:rPr>
              <w:t>Nový Sedlec</w:t>
            </w:r>
          </w:p>
          <w:p w14:paraId="513C89AF" w14:textId="492C3F9B" w:rsidR="00026ACC" w:rsidRPr="00111F34" w:rsidRDefault="00026ACC" w:rsidP="008443B2">
            <w:pPr>
              <w:pStyle w:val="Texttabulky"/>
              <w:spacing w:before="60"/>
              <w:jc w:val="both"/>
              <w:rPr>
                <w:noProof/>
                <w:szCs w:val="16"/>
              </w:rPr>
            </w:pPr>
            <w:r w:rsidRPr="00111F34">
              <w:rPr>
                <w:noProof/>
                <w:szCs w:val="16"/>
              </w:rPr>
              <w:t>Rozvoj lokality Nový Sedlec v</w:t>
            </w:r>
            <w:r w:rsidR="00A80DB4">
              <w:rPr>
                <w:noProof/>
                <w:szCs w:val="16"/>
              </w:rPr>
              <w:t> </w:t>
            </w:r>
            <w:r w:rsidRPr="00111F34">
              <w:rPr>
                <w:noProof/>
                <w:szCs w:val="16"/>
              </w:rPr>
              <w:t>návaznosti na tramvajovou trať – vymezeny plochy OB-F, ZMK, VV, OV-G, OB-D, OB-C, OB-E, OV-E, SV-F, SV-E, DU, SV-G, DH, pevná značka VV, SP, SO 5,6, plovoucí značka VV, vytvářející územní předpoklady pro obytnou čtvť na místě stávajících brownfields využívající tramvajové spojení s</w:t>
            </w:r>
            <w:r w:rsidR="00A80DB4">
              <w:rPr>
                <w:noProof/>
                <w:szCs w:val="16"/>
              </w:rPr>
              <w:t> </w:t>
            </w:r>
            <w:r w:rsidRPr="00111F34">
              <w:rPr>
                <w:noProof/>
                <w:szCs w:val="16"/>
              </w:rPr>
              <w:t>centrem města, bydlení, veřejná a komerční vybavenost pro území Sedlce (obytné soubory na sever od Kamýcké na území bývalé cihelny a mrazíren); plochy VV jsou  určeny pro umístění škol dvou městských částí – Prahy 6 a Suchdola. Kapacity (kód C-F), nově vymezený ÚSES v</w:t>
            </w:r>
            <w:r w:rsidR="00A80DB4">
              <w:rPr>
                <w:noProof/>
                <w:szCs w:val="16"/>
              </w:rPr>
              <w:t> </w:t>
            </w:r>
            <w:r w:rsidRPr="00111F34">
              <w:rPr>
                <w:noProof/>
                <w:szCs w:val="16"/>
              </w:rPr>
              <w:t xml:space="preserve">souladu se ZÚR. Na úkor ploch OP/NL, TVV, OP/OB-B, OP/ZMK, NL/OB-B, NL/SV-B, SV, SV-B, NL/OB-B, NL/ZP, ZP, ZMK, VN, DZ, SP, DH, IZ </w:t>
            </w:r>
          </w:p>
          <w:p w14:paraId="36B45F6A" w14:textId="542B4DB9" w:rsidR="00026ACC" w:rsidRPr="00111F34" w:rsidRDefault="00026ACC" w:rsidP="008443B2">
            <w:pPr>
              <w:pStyle w:val="Texttabulky"/>
              <w:spacing w:before="60"/>
              <w:jc w:val="both"/>
              <w:rPr>
                <w:noProof/>
                <w:szCs w:val="16"/>
              </w:rPr>
            </w:pPr>
            <w:r w:rsidRPr="00111F34">
              <w:rPr>
                <w:noProof/>
                <w:szCs w:val="16"/>
              </w:rPr>
              <w:t>Kamýcká</w:t>
            </w:r>
            <w:r w:rsidR="00A80DB4">
              <w:rPr>
                <w:noProof/>
                <w:szCs w:val="16"/>
              </w:rPr>
              <w:t>.</w:t>
            </w:r>
          </w:p>
          <w:p w14:paraId="1A7AE17B" w14:textId="5EB3CB61" w:rsidR="00026ACC" w:rsidRPr="00111F34" w:rsidRDefault="00026ACC" w:rsidP="008443B2">
            <w:pPr>
              <w:pStyle w:val="Texttabulky"/>
              <w:spacing w:before="60"/>
              <w:jc w:val="both"/>
              <w:rPr>
                <w:noProof/>
                <w:szCs w:val="16"/>
              </w:rPr>
            </w:pPr>
            <w:r w:rsidRPr="00111F34">
              <w:rPr>
                <w:noProof/>
                <w:szCs w:val="16"/>
              </w:rPr>
              <w:t>Návrh vyústění přivaděče Rybářka na základě dopravního prověření vedení tramvajové trati – vymezeny plochy OV-B, OV-C, IZ, DU, DH. Návrh umožňuje variantní řešení vyústění přivaděče Rybářka podle aktuálních podkladů, zachovává všesměrné uspořádání a zároveň maximalizuje vzdálenost portálu tunelu Rybářka do stávající obytné zástavby. Návrh umožní mírný posun portálu a trasy tunelu v</w:t>
            </w:r>
            <w:r w:rsidR="00A80DB4">
              <w:rPr>
                <w:noProof/>
                <w:szCs w:val="16"/>
              </w:rPr>
              <w:t> </w:t>
            </w:r>
            <w:r w:rsidRPr="00111F34">
              <w:rPr>
                <w:noProof/>
                <w:szCs w:val="16"/>
              </w:rPr>
              <w:t>souladu se ZÚR. Na úkor ploch ZMK, S2, SV-B, OV-B</w:t>
            </w:r>
            <w:r w:rsidR="00A80DB4">
              <w:rPr>
                <w:noProof/>
                <w:szCs w:val="16"/>
              </w:rPr>
              <w:t>.</w:t>
            </w:r>
            <w:r w:rsidRPr="00111F34">
              <w:rPr>
                <w:noProof/>
                <w:szCs w:val="16"/>
              </w:rPr>
              <w:t xml:space="preserve"> </w:t>
            </w:r>
          </w:p>
          <w:p w14:paraId="7728FC87" w14:textId="23A2BBC3" w:rsidR="00026ACC" w:rsidRPr="00111F34" w:rsidRDefault="00026ACC" w:rsidP="008443B2">
            <w:pPr>
              <w:pStyle w:val="Texttabulky"/>
              <w:spacing w:before="60"/>
              <w:jc w:val="both"/>
              <w:rPr>
                <w:noProof/>
                <w:szCs w:val="16"/>
              </w:rPr>
            </w:pPr>
            <w:r w:rsidRPr="00111F34">
              <w:rPr>
                <w:noProof/>
                <w:szCs w:val="16"/>
              </w:rPr>
              <w:t>Rozšíření ulice Kamýcká pro doplnění tramvajové trati – navrhováno rozšíření plochy DU. Rozšíření vychází z úpravy uličního profilu na základě dopravního prověření vedení tramvajové trati, která bude vedena po západní straně Kamýcké ulice a v prostoru Brandejsova náměstí se přesune do osy ulice OB. Na úkor plochy IZ.</w:t>
            </w:r>
          </w:p>
          <w:p w14:paraId="5A235693" w14:textId="282F0334" w:rsidR="00026ACC" w:rsidRPr="00111F34" w:rsidRDefault="00026ACC" w:rsidP="008443B2">
            <w:pPr>
              <w:pStyle w:val="Texttabulky"/>
              <w:spacing w:before="60"/>
              <w:jc w:val="both"/>
              <w:rPr>
                <w:noProof/>
                <w:szCs w:val="16"/>
              </w:rPr>
            </w:pPr>
            <w:r w:rsidRPr="00111F34">
              <w:rPr>
                <w:noProof/>
                <w:szCs w:val="16"/>
              </w:rPr>
              <w:t>Výhledy</w:t>
            </w:r>
          </w:p>
          <w:p w14:paraId="7A6CC6DE" w14:textId="0F56DE54" w:rsidR="00026ACC" w:rsidRPr="00111F34" w:rsidRDefault="00026ACC" w:rsidP="008443B2">
            <w:pPr>
              <w:pStyle w:val="Texttabulky"/>
              <w:spacing w:before="60"/>
              <w:jc w:val="both"/>
              <w:rPr>
                <w:noProof/>
                <w:szCs w:val="16"/>
              </w:rPr>
            </w:pPr>
            <w:r w:rsidRPr="00111F34">
              <w:rPr>
                <w:noProof/>
                <w:szCs w:val="16"/>
              </w:rPr>
              <w:t>Rozvoj jižní části lokality Výhledy v návaznosti na tramvajovou trať – vymezeny plochy OV-D, SP, pevná značka VV. Změna umožňuje umístění obytné zástavby, veřejné vybavenosti, sportovního areálu a objektu IZS v návaznosti na tramvajovou trať, která se z osy Kamýcké ulice přesune na její východní stranu. Návrh umožní omezený počet parkovacích míst v blízkosti zastávky pro obyvatele Starého Suchdola jako součásti parkovací zóny. Na úkor ploch OV-B, OV-C, OB, ZMK, SP</w:t>
            </w:r>
            <w:r w:rsidR="00875723">
              <w:rPr>
                <w:noProof/>
                <w:szCs w:val="16"/>
              </w:rPr>
              <w:t>.</w:t>
            </w:r>
          </w:p>
          <w:p w14:paraId="773EF7BB" w14:textId="75193B8C" w:rsidR="00517CB8" w:rsidRPr="00111F34" w:rsidRDefault="00026ACC" w:rsidP="008443B2">
            <w:pPr>
              <w:pStyle w:val="Texttabulky"/>
              <w:spacing w:before="60"/>
              <w:jc w:val="both"/>
              <w:rPr>
                <w:noProof/>
                <w:szCs w:val="16"/>
              </w:rPr>
            </w:pPr>
            <w:r w:rsidRPr="00111F34">
              <w:rPr>
                <w:noProof/>
                <w:szCs w:val="16"/>
              </w:rPr>
              <w:t>Rozvoj severní části lokality Výhledy v návaznosti na smyčku tramvajové trati a terminál příměstské dopravy – vymezeny plochy OV-C, OV-D, OV-E, SV-D, SV-F, SV-E, DU, DH, IZ, ZMK, NL, pevná značka DH, plovoucí značka VV. Změna navazuje na MUK Suchdol Pražského okruhu a umožní obytnou zástavbu a komerční a veřejnou vybavenost, doplňující tramvajovou smyčku a terminál příměstské autobusové dopravy s P+R pro individuální dopravu. Návrh umožní omezený počet parkovacích míst v blízkosti terminálu pro obyvatele Starého Suchdola jako součásti parkovací zóny. Na úkor ploch ZMK, SV, OV-B, OB-A, I.</w:t>
            </w:r>
          </w:p>
        </w:tc>
      </w:tr>
      <w:tr w:rsidR="00517CB8" w:rsidRPr="00111F34" w14:paraId="03A9F2BF" w14:textId="77777777" w:rsidTr="00B34C98">
        <w:tc>
          <w:tcPr>
            <w:tcW w:w="5000" w:type="pct"/>
            <w:gridSpan w:val="15"/>
            <w:tcBorders>
              <w:top w:val="single" w:sz="4" w:space="0" w:color="auto"/>
            </w:tcBorders>
            <w:shd w:val="clear" w:color="auto" w:fill="auto"/>
          </w:tcPr>
          <w:p w14:paraId="76128899" w14:textId="77777777" w:rsidR="00517CB8" w:rsidRPr="00111F34" w:rsidRDefault="00517CB8" w:rsidP="00517CB8">
            <w:pPr>
              <w:pStyle w:val="Texttabulky"/>
              <w:spacing w:before="60"/>
              <w:jc w:val="both"/>
              <w:rPr>
                <w:rFonts w:eastAsia="Arial" w:cs="Arial"/>
                <w:snapToGrid/>
                <w:color w:val="auto"/>
                <w:szCs w:val="22"/>
                <w:lang w:eastAsia="en-US"/>
              </w:rPr>
            </w:pPr>
            <w:bookmarkStart w:id="238" w:name="_Hlk112154658"/>
            <w:bookmarkStart w:id="239" w:name="_Hlk103776855"/>
            <w:r w:rsidRPr="00111F34">
              <w:rPr>
                <w:rFonts w:cs="Arial"/>
                <w:b/>
                <w:szCs w:val="16"/>
              </w:rPr>
              <w:t>Pozitivní vlivy:</w:t>
            </w:r>
            <w:r w:rsidRPr="00111F34">
              <w:rPr>
                <w:rFonts w:eastAsia="Arial" w:cs="Arial"/>
                <w:snapToGrid/>
                <w:color w:val="auto"/>
                <w:szCs w:val="22"/>
                <w:lang w:eastAsia="en-US"/>
              </w:rPr>
              <w:t xml:space="preserve"> </w:t>
            </w:r>
          </w:p>
          <w:p w14:paraId="400F564F" w14:textId="0C2A1681" w:rsidR="00517CB8" w:rsidRPr="00111F34" w:rsidRDefault="00517CB8" w:rsidP="00517CB8">
            <w:pPr>
              <w:pStyle w:val="Texttabulky"/>
              <w:numPr>
                <w:ilvl w:val="0"/>
                <w:numId w:val="36"/>
              </w:numPr>
              <w:spacing w:before="40"/>
              <w:ind w:left="65" w:hanging="65"/>
              <w:jc w:val="both"/>
              <w:rPr>
                <w:rFonts w:eastAsia="Arial" w:cs="Arial"/>
                <w:snapToGrid/>
                <w:color w:val="auto"/>
                <w:szCs w:val="22"/>
                <w:lang w:eastAsia="en-US"/>
              </w:rPr>
            </w:pPr>
            <w:r w:rsidRPr="00111F34">
              <w:rPr>
                <w:rFonts w:eastAsia="Arial" w:cs="Arial"/>
                <w:snapToGrid/>
                <w:color w:val="auto"/>
                <w:szCs w:val="22"/>
                <w:lang w:eastAsia="en-US"/>
              </w:rPr>
              <w:t xml:space="preserve">Obyvatelstvo a veřejné zdraví: </w:t>
            </w:r>
            <w:r w:rsidRPr="00111F34">
              <w:t xml:space="preserve">Významně pozitivní vliv díky transformaci jádrového území s využitím pro kvalitní bydlení, pracovní příležitosti i občanskou a komerční vybavenost, včetně veřejných prostranství a zeleně, a tím i zvýšení kvality života obyvatel i uživatelů </w:t>
            </w:r>
            <w:r w:rsidR="005506D8" w:rsidRPr="00111F34">
              <w:t>Nového Sedlce i Výhledů</w:t>
            </w:r>
            <w:r w:rsidRPr="00111F34">
              <w:t xml:space="preserve"> se synergickým spolupůsobením ostatních strategických rozhodnutí v souvisejícím území, zejména z hlediska přerozdělení dopravních zátěží v souvislosti </w:t>
            </w:r>
            <w:r w:rsidR="005506D8" w:rsidRPr="00111F34">
              <w:t>s dobudování</w:t>
            </w:r>
            <w:r w:rsidR="00BE198A" w:rsidRPr="00111F34">
              <w:t>m</w:t>
            </w:r>
            <w:r w:rsidR="005506D8" w:rsidRPr="00111F34">
              <w:t xml:space="preserve"> dopravního systému nadmístního významu, obsluhy kapacitní VHD a záchytným parkovištěm v oblasti Výhledů</w:t>
            </w:r>
            <w:r w:rsidRPr="00111F34">
              <w:t xml:space="preserve">. </w:t>
            </w:r>
            <w:r w:rsidRPr="00111F34">
              <w:rPr>
                <w:rFonts w:eastAsia="Arial" w:cs="Arial"/>
                <w:snapToGrid/>
                <w:color w:val="auto"/>
                <w:szCs w:val="22"/>
                <w:lang w:eastAsia="en-US"/>
              </w:rPr>
              <w:t xml:space="preserve">Vytvoření územních předpokladů pro vytvoření </w:t>
            </w:r>
            <w:r w:rsidR="005506D8" w:rsidRPr="00111F34">
              <w:rPr>
                <w:rFonts w:eastAsia="Arial" w:cs="Arial"/>
                <w:snapToGrid/>
                <w:color w:val="auto"/>
                <w:szCs w:val="22"/>
                <w:lang w:eastAsia="en-US"/>
              </w:rPr>
              <w:t>kvalitní rezidenční zástavby</w:t>
            </w:r>
            <w:r w:rsidRPr="00111F34">
              <w:rPr>
                <w:rFonts w:eastAsia="Arial" w:cs="Arial"/>
                <w:snapToGrid/>
                <w:color w:val="auto"/>
                <w:szCs w:val="22"/>
                <w:lang w:eastAsia="en-US"/>
              </w:rPr>
              <w:t xml:space="preserve"> s </w:t>
            </w:r>
            <w:r w:rsidR="00BE198A" w:rsidRPr="00111F34">
              <w:rPr>
                <w:rFonts w:eastAsia="Arial" w:cs="Arial"/>
                <w:snapToGrid/>
                <w:color w:val="auto"/>
                <w:szCs w:val="22"/>
                <w:lang w:eastAsia="en-US"/>
              </w:rPr>
              <w:t>atraktivní</w:t>
            </w:r>
            <w:r w:rsidRPr="00111F34">
              <w:rPr>
                <w:rFonts w:eastAsia="Arial" w:cs="Arial"/>
                <w:snapToGrid/>
                <w:color w:val="auto"/>
                <w:szCs w:val="22"/>
                <w:lang w:eastAsia="en-US"/>
              </w:rPr>
              <w:t xml:space="preserve"> polohou </w:t>
            </w:r>
            <w:r w:rsidR="00BE198A" w:rsidRPr="00111F34">
              <w:rPr>
                <w:rFonts w:eastAsia="Arial" w:cs="Arial"/>
                <w:snapToGrid/>
                <w:color w:val="auto"/>
                <w:szCs w:val="22"/>
                <w:lang w:eastAsia="en-US"/>
              </w:rPr>
              <w:t xml:space="preserve">a krajinným zázemím </w:t>
            </w:r>
            <w:r w:rsidRPr="00111F34">
              <w:rPr>
                <w:rFonts w:eastAsia="Arial" w:cs="Arial"/>
                <w:snapToGrid/>
                <w:color w:val="auto"/>
                <w:szCs w:val="22"/>
                <w:lang w:eastAsia="en-US"/>
              </w:rPr>
              <w:t xml:space="preserve">v rámci města i </w:t>
            </w:r>
            <w:r w:rsidR="00BE198A" w:rsidRPr="00111F34">
              <w:rPr>
                <w:rFonts w:eastAsia="Arial" w:cs="Arial"/>
                <w:snapToGrid/>
                <w:color w:val="auto"/>
                <w:szCs w:val="22"/>
                <w:lang w:eastAsia="en-US"/>
              </w:rPr>
              <w:t xml:space="preserve">dobrou </w:t>
            </w:r>
            <w:r w:rsidRPr="00111F34">
              <w:rPr>
                <w:rFonts w:eastAsia="Arial" w:cs="Arial"/>
                <w:snapToGrid/>
                <w:color w:val="auto"/>
                <w:szCs w:val="22"/>
                <w:lang w:eastAsia="en-US"/>
              </w:rPr>
              <w:t>dopravní obslužností</w:t>
            </w:r>
            <w:r w:rsidR="005506D8" w:rsidRPr="00111F34">
              <w:rPr>
                <w:rFonts w:eastAsia="Arial" w:cs="Arial"/>
                <w:snapToGrid/>
                <w:color w:val="auto"/>
                <w:szCs w:val="22"/>
                <w:lang w:eastAsia="en-US"/>
              </w:rPr>
              <w:t xml:space="preserve"> a s občanskou vybaveností v podobě školských zařízení a možností rekreace v přírodním prostředí</w:t>
            </w:r>
            <w:r w:rsidRPr="00111F34">
              <w:rPr>
                <w:rFonts w:eastAsia="Arial" w:cs="Arial"/>
                <w:snapToGrid/>
                <w:color w:val="auto"/>
                <w:szCs w:val="22"/>
                <w:lang w:eastAsia="en-US"/>
              </w:rPr>
              <w:t>.</w:t>
            </w:r>
          </w:p>
          <w:p w14:paraId="276EF0F0" w14:textId="1AC5497D" w:rsidR="00517CB8" w:rsidRPr="00111F34" w:rsidRDefault="00517CB8" w:rsidP="00517CB8">
            <w:pPr>
              <w:pStyle w:val="Texttabulky"/>
              <w:numPr>
                <w:ilvl w:val="0"/>
                <w:numId w:val="36"/>
              </w:numPr>
              <w:spacing w:before="40"/>
              <w:ind w:left="65" w:hanging="65"/>
              <w:jc w:val="both"/>
              <w:rPr>
                <w:rFonts w:eastAsia="Arial" w:cs="Arial"/>
                <w:snapToGrid/>
                <w:color w:val="auto"/>
                <w:szCs w:val="22"/>
                <w:lang w:eastAsia="en-US"/>
              </w:rPr>
            </w:pPr>
            <w:r w:rsidRPr="00111F34">
              <w:rPr>
                <w:rFonts w:eastAsia="Arial" w:cs="Arial"/>
                <w:snapToGrid/>
                <w:color w:val="auto"/>
                <w:szCs w:val="22"/>
                <w:lang w:eastAsia="en-US"/>
              </w:rPr>
              <w:t xml:space="preserve"> Fauna, flóra, biodiverzita, ochrana přírody; krajina: Žádné</w:t>
            </w:r>
            <w:r w:rsidR="00BE198A" w:rsidRPr="00111F34">
              <w:rPr>
                <w:rFonts w:eastAsia="Arial" w:cs="Arial"/>
                <w:snapToGrid/>
                <w:color w:val="auto"/>
                <w:szCs w:val="22"/>
                <w:lang w:eastAsia="en-US"/>
              </w:rPr>
              <w:t xml:space="preserve"> podstatné</w:t>
            </w:r>
            <w:r w:rsidRPr="00111F34">
              <w:rPr>
                <w:rFonts w:eastAsia="Arial" w:cs="Arial"/>
                <w:snapToGrid/>
                <w:color w:val="auto"/>
                <w:szCs w:val="22"/>
                <w:lang w:eastAsia="en-US"/>
              </w:rPr>
              <w:t xml:space="preserve"> potenciální pozitivní vlivy posuzované koncepce nebyly identifikovány</w:t>
            </w:r>
            <w:r w:rsidR="00770949" w:rsidRPr="00111F34">
              <w:rPr>
                <w:rFonts w:eastAsia="Arial" w:cs="Arial"/>
                <w:snapToGrid/>
                <w:color w:val="auto"/>
                <w:szCs w:val="22"/>
                <w:lang w:eastAsia="en-US"/>
              </w:rPr>
              <w:t xml:space="preserve"> s výjimkou relativního rozšíření CSZ</w:t>
            </w:r>
            <w:r w:rsidR="00BE198A" w:rsidRPr="00111F34">
              <w:rPr>
                <w:rFonts w:eastAsia="Arial" w:cs="Arial"/>
                <w:snapToGrid/>
                <w:color w:val="auto"/>
                <w:szCs w:val="22"/>
                <w:lang w:eastAsia="en-US"/>
              </w:rPr>
              <w:t xml:space="preserve"> a dílčí optimalizace ÚSES a stabilizace ploch zeleně na přechodu do volné krajiny</w:t>
            </w:r>
            <w:r w:rsidR="00770949" w:rsidRPr="00111F34">
              <w:rPr>
                <w:rFonts w:eastAsia="Arial" w:cs="Arial"/>
                <w:snapToGrid/>
                <w:color w:val="auto"/>
                <w:szCs w:val="22"/>
                <w:lang w:eastAsia="en-US"/>
              </w:rPr>
              <w:t>.</w:t>
            </w:r>
          </w:p>
          <w:p w14:paraId="661DF1AA" w14:textId="77777777" w:rsidR="00517CB8" w:rsidRPr="00111F34" w:rsidRDefault="00517CB8" w:rsidP="00517CB8">
            <w:pPr>
              <w:pStyle w:val="Texttabulky"/>
              <w:spacing w:before="40"/>
              <w:jc w:val="both"/>
              <w:rPr>
                <w:rFonts w:eastAsia="Arial" w:cs="Arial"/>
                <w:snapToGrid/>
                <w:color w:val="auto"/>
                <w:szCs w:val="22"/>
                <w:lang w:eastAsia="en-US"/>
              </w:rPr>
            </w:pPr>
            <w:r w:rsidRPr="00111F34">
              <w:rPr>
                <w:rFonts w:eastAsia="Arial" w:cs="Arial"/>
                <w:snapToGrid/>
                <w:color w:val="auto"/>
                <w:szCs w:val="22"/>
                <w:lang w:eastAsia="en-US"/>
              </w:rPr>
              <w:t>• Půda a horninové prostředí: Žádné potenciální pozitivní vlivy posuzované koncepce nebyly identifikovány.</w:t>
            </w:r>
          </w:p>
          <w:p w14:paraId="3CE56D6C" w14:textId="77777777" w:rsidR="00517CB8" w:rsidRPr="00111F34" w:rsidRDefault="00517CB8" w:rsidP="00517CB8">
            <w:pPr>
              <w:pStyle w:val="Texttabulky"/>
              <w:spacing w:before="40"/>
              <w:jc w:val="both"/>
              <w:rPr>
                <w:rFonts w:eastAsia="Arial" w:cs="Arial"/>
                <w:snapToGrid/>
                <w:color w:val="auto"/>
                <w:szCs w:val="22"/>
                <w:lang w:eastAsia="en-US"/>
              </w:rPr>
            </w:pPr>
            <w:r w:rsidRPr="00111F34">
              <w:rPr>
                <w:rFonts w:eastAsia="Arial" w:cs="Arial"/>
                <w:snapToGrid/>
                <w:color w:val="auto"/>
                <w:szCs w:val="22"/>
                <w:lang w:eastAsia="en-US"/>
              </w:rPr>
              <w:t>• Voda: Žádné podstatné potenciální pozitivní vlivy posuzované koncepce nebyly identifikovány s výjimkou na úrovni územního plánu marginálního rozšíření ploch zeleně.</w:t>
            </w:r>
          </w:p>
          <w:p w14:paraId="6C3EC43D" w14:textId="6F873A6C" w:rsidR="00517CB8" w:rsidRPr="00111F34" w:rsidRDefault="00517CB8" w:rsidP="00517CB8">
            <w:pPr>
              <w:pStyle w:val="Texttabulky"/>
              <w:spacing w:before="40"/>
              <w:jc w:val="both"/>
              <w:rPr>
                <w:rFonts w:eastAsia="Arial" w:cs="Arial"/>
                <w:snapToGrid/>
                <w:color w:val="auto"/>
                <w:szCs w:val="22"/>
                <w:lang w:eastAsia="en-US"/>
              </w:rPr>
            </w:pPr>
            <w:r w:rsidRPr="00111F34">
              <w:rPr>
                <w:rFonts w:eastAsia="Arial" w:cs="Arial"/>
                <w:snapToGrid/>
                <w:color w:val="auto"/>
                <w:szCs w:val="22"/>
                <w:lang w:eastAsia="en-US"/>
              </w:rPr>
              <w:t xml:space="preserve"> • Ovzduší a klima: </w:t>
            </w:r>
            <w:r w:rsidR="005506D8" w:rsidRPr="00111F34">
              <w:rPr>
                <w:rFonts w:eastAsia="Arial" w:cs="Arial"/>
                <w:snapToGrid/>
                <w:color w:val="auto"/>
                <w:szCs w:val="22"/>
                <w:lang w:eastAsia="en-US"/>
              </w:rPr>
              <w:t>Potenciálně</w:t>
            </w:r>
            <w:r w:rsidR="00E77F01" w:rsidRPr="00111F34">
              <w:rPr>
                <w:rFonts w:eastAsia="Arial" w:cs="Arial"/>
                <w:snapToGrid/>
                <w:color w:val="auto"/>
                <w:szCs w:val="22"/>
                <w:lang w:eastAsia="en-US"/>
              </w:rPr>
              <w:t xml:space="preserve"> mírně</w:t>
            </w:r>
            <w:r w:rsidR="005506D8" w:rsidRPr="00111F34">
              <w:rPr>
                <w:rFonts w:eastAsia="Arial" w:cs="Arial"/>
                <w:snapToGrid/>
                <w:color w:val="auto"/>
                <w:szCs w:val="22"/>
                <w:lang w:eastAsia="en-US"/>
              </w:rPr>
              <w:t xml:space="preserve"> pozitivní vliv na přerozdělení dopravních zátěží ve prospěch bezemisní kapacitní VHD, a tím i snížení intenzit IAD směřujících do města s</w:t>
            </w:r>
            <w:r w:rsidR="00363683" w:rsidRPr="00111F34">
              <w:rPr>
                <w:rFonts w:eastAsia="Arial" w:cs="Arial"/>
                <w:snapToGrid/>
                <w:color w:val="auto"/>
                <w:szCs w:val="22"/>
                <w:lang w:eastAsia="en-US"/>
              </w:rPr>
              <w:t xml:space="preserve"> místním (z hlediska obsluhy vymezených ploch) a </w:t>
            </w:r>
            <w:r w:rsidR="005506D8" w:rsidRPr="00111F34">
              <w:rPr>
                <w:rFonts w:eastAsia="Arial" w:cs="Arial"/>
                <w:snapToGrid/>
                <w:color w:val="auto"/>
                <w:szCs w:val="22"/>
                <w:lang w:eastAsia="en-US"/>
              </w:rPr>
              <w:t>nadmístním významem</w:t>
            </w:r>
            <w:r w:rsidR="00363683" w:rsidRPr="00111F34">
              <w:rPr>
                <w:rFonts w:eastAsia="Arial" w:cs="Arial"/>
                <w:snapToGrid/>
                <w:color w:val="auto"/>
                <w:szCs w:val="22"/>
                <w:lang w:eastAsia="en-US"/>
              </w:rPr>
              <w:t xml:space="preserve"> (s přesahem i do zázemí aglomerace v kontextu parkoviště P+R a SOKP)</w:t>
            </w:r>
            <w:r w:rsidR="005506D8" w:rsidRPr="00111F34">
              <w:rPr>
                <w:rFonts w:eastAsia="Arial" w:cs="Arial"/>
                <w:snapToGrid/>
                <w:color w:val="auto"/>
                <w:szCs w:val="22"/>
                <w:lang w:eastAsia="en-US"/>
              </w:rPr>
              <w:t xml:space="preserve"> a synergickým spolupůsobením</w:t>
            </w:r>
            <w:r w:rsidR="00363683" w:rsidRPr="00111F34">
              <w:rPr>
                <w:rFonts w:eastAsia="Arial" w:cs="Arial"/>
                <w:snapToGrid/>
                <w:color w:val="auto"/>
                <w:szCs w:val="22"/>
                <w:lang w:eastAsia="en-US"/>
              </w:rPr>
              <w:t xml:space="preserve"> s nadmístním významem</w:t>
            </w:r>
            <w:r w:rsidR="005506D8" w:rsidRPr="00111F34">
              <w:rPr>
                <w:rFonts w:eastAsia="Arial" w:cs="Arial"/>
                <w:snapToGrid/>
                <w:color w:val="auto"/>
                <w:szCs w:val="22"/>
                <w:lang w:eastAsia="en-US"/>
              </w:rPr>
              <w:t xml:space="preserve"> v kontextu souvisejících připravovaných staveb SOKP. </w:t>
            </w:r>
          </w:p>
          <w:p w14:paraId="3EFB549E" w14:textId="07558271" w:rsidR="00517CB8" w:rsidRPr="00111F34" w:rsidRDefault="00517CB8" w:rsidP="00517CB8">
            <w:pPr>
              <w:pStyle w:val="Texttabulky"/>
              <w:spacing w:before="60"/>
              <w:jc w:val="both"/>
              <w:rPr>
                <w:rFonts w:eastAsia="Arial" w:cs="Arial"/>
                <w:snapToGrid/>
                <w:color w:val="auto"/>
                <w:szCs w:val="22"/>
                <w:lang w:eastAsia="en-US"/>
              </w:rPr>
            </w:pPr>
            <w:r w:rsidRPr="00111F34">
              <w:rPr>
                <w:rFonts w:eastAsia="Arial" w:cs="Arial"/>
                <w:snapToGrid/>
                <w:color w:val="auto"/>
                <w:szCs w:val="22"/>
                <w:lang w:eastAsia="en-US"/>
              </w:rPr>
              <w:t xml:space="preserve">• Hluková zátěž: Zprostředkovaně potenciálně mírně pozitivní až marginální vliv s mírně pozitivním synergickým spolupůsobením v širším kontextu z hlediska optimalizace dopravního systému jako celku </w:t>
            </w:r>
            <w:r w:rsidRPr="00111F34">
              <w:rPr>
                <w:rFonts w:eastAsia="Arial" w:cs="Arial"/>
                <w:snapToGrid/>
                <w:color w:val="auto"/>
                <w:szCs w:val="22"/>
                <w:lang w:eastAsia="en-US"/>
              </w:rPr>
              <w:lastRenderedPageBreak/>
              <w:t>a přerozdělení dopravních zátěží, a s nimi spojených externalit ve prospěch bezemisní veřejné hromadné dopravy ve vazbě na ostatní strategická rozhodnutí v</w:t>
            </w:r>
            <w:r w:rsidR="00363683" w:rsidRPr="00111F34">
              <w:rPr>
                <w:rFonts w:eastAsia="Arial" w:cs="Arial"/>
                <w:snapToGrid/>
                <w:color w:val="auto"/>
                <w:szCs w:val="22"/>
                <w:lang w:eastAsia="en-US"/>
              </w:rPr>
              <w:t> </w:t>
            </w:r>
            <w:r w:rsidRPr="00111F34">
              <w:rPr>
                <w:rFonts w:eastAsia="Arial" w:cs="Arial"/>
                <w:snapToGrid/>
                <w:color w:val="auto"/>
                <w:szCs w:val="22"/>
                <w:lang w:eastAsia="en-US"/>
              </w:rPr>
              <w:t>území</w:t>
            </w:r>
            <w:r w:rsidR="00363683" w:rsidRPr="00111F34">
              <w:rPr>
                <w:rFonts w:eastAsia="Arial" w:cs="Arial"/>
                <w:snapToGrid/>
                <w:color w:val="auto"/>
                <w:szCs w:val="22"/>
                <w:lang w:eastAsia="en-US"/>
              </w:rPr>
              <w:t xml:space="preserve"> (POZN: na lokální úrovni zvýšení hlukové zátěže v důsledku vložení nového zdroje hluku do území)</w:t>
            </w:r>
            <w:r w:rsidRPr="00111F34">
              <w:rPr>
                <w:rFonts w:eastAsia="Arial" w:cs="Arial"/>
                <w:snapToGrid/>
                <w:color w:val="auto"/>
                <w:szCs w:val="22"/>
                <w:lang w:eastAsia="en-US"/>
              </w:rPr>
              <w:t xml:space="preserve">. </w:t>
            </w:r>
          </w:p>
          <w:p w14:paraId="4AE9FFFF" w14:textId="429EA4C8" w:rsidR="00517CB8" w:rsidRPr="00111F34" w:rsidRDefault="00517CB8" w:rsidP="00517CB8">
            <w:pPr>
              <w:pStyle w:val="Texttabulky"/>
              <w:spacing w:before="60"/>
              <w:jc w:val="both"/>
              <w:rPr>
                <w:rFonts w:eastAsia="Arial" w:cs="Arial"/>
                <w:snapToGrid/>
                <w:color w:val="auto"/>
                <w:szCs w:val="22"/>
                <w:lang w:eastAsia="en-US"/>
              </w:rPr>
            </w:pPr>
            <w:r w:rsidRPr="00111F34">
              <w:rPr>
                <w:rFonts w:eastAsia="Arial" w:cs="Arial"/>
                <w:snapToGrid/>
                <w:color w:val="auto"/>
                <w:szCs w:val="22"/>
                <w:lang w:eastAsia="en-US"/>
              </w:rPr>
              <w:t xml:space="preserve">• </w:t>
            </w:r>
            <w:bookmarkStart w:id="240" w:name="_Hlk103777043"/>
            <w:r w:rsidRPr="00111F34">
              <w:rPr>
                <w:rFonts w:eastAsia="Arial" w:cs="Arial"/>
                <w:snapToGrid/>
                <w:color w:val="auto"/>
                <w:szCs w:val="22"/>
                <w:lang w:eastAsia="en-US"/>
              </w:rPr>
              <w:t xml:space="preserve">Sídla, urbanizace: Významně pozitivní působení v důsledku zintenzivnění využití vnitřního města </w:t>
            </w:r>
            <w:r w:rsidR="00363683" w:rsidRPr="00111F34">
              <w:rPr>
                <w:rFonts w:eastAsia="Arial" w:cs="Arial"/>
                <w:snapToGrid/>
                <w:color w:val="auto"/>
                <w:szCs w:val="22"/>
                <w:lang w:eastAsia="en-US"/>
              </w:rPr>
              <w:t>a transformace průmyslových ploch na plochy rezidenční</w:t>
            </w:r>
            <w:r w:rsidRPr="00111F34">
              <w:rPr>
                <w:rFonts w:eastAsia="Arial" w:cs="Arial"/>
                <w:snapToGrid/>
                <w:color w:val="auto"/>
                <w:szCs w:val="22"/>
                <w:lang w:eastAsia="en-US"/>
              </w:rPr>
              <w:t xml:space="preserve"> jako prevence suburbanizace</w:t>
            </w:r>
            <w:r w:rsidR="00363683" w:rsidRPr="00111F34">
              <w:rPr>
                <w:rFonts w:eastAsia="Arial" w:cs="Arial"/>
                <w:snapToGrid/>
                <w:color w:val="auto"/>
                <w:szCs w:val="22"/>
                <w:lang w:eastAsia="en-US"/>
              </w:rPr>
              <w:t xml:space="preserve"> se synergickým spolupůsobením z hlediska přerozdělení dopravních zátěží ve prospěch VHD, zlepšení dopravní obslužnosti a vybavení území nadřazenou dopravní infrastrukturou s nadmístním významem a přesahem do širšího území</w:t>
            </w:r>
            <w:r w:rsidRPr="00111F34">
              <w:rPr>
                <w:rFonts w:eastAsia="Arial" w:cs="Arial"/>
                <w:snapToGrid/>
                <w:color w:val="auto"/>
                <w:szCs w:val="22"/>
                <w:lang w:eastAsia="en-US"/>
              </w:rPr>
              <w:t>.</w:t>
            </w:r>
          </w:p>
          <w:bookmarkEnd w:id="240"/>
          <w:p w14:paraId="6FC278AA" w14:textId="1AF15C1D" w:rsidR="00517CB8" w:rsidRPr="00111F34" w:rsidRDefault="00517CB8" w:rsidP="00517CB8">
            <w:pPr>
              <w:pStyle w:val="Texttabulky"/>
              <w:spacing w:before="40"/>
              <w:jc w:val="both"/>
              <w:rPr>
                <w:rFonts w:eastAsia="Arial" w:cs="Arial"/>
                <w:snapToGrid/>
                <w:color w:val="auto"/>
                <w:szCs w:val="22"/>
                <w:lang w:eastAsia="en-US"/>
              </w:rPr>
            </w:pPr>
            <w:r w:rsidRPr="00111F34">
              <w:rPr>
                <w:rFonts w:eastAsia="Arial" w:cs="Arial"/>
                <w:snapToGrid/>
                <w:color w:val="auto"/>
                <w:szCs w:val="22"/>
                <w:lang w:eastAsia="en-US"/>
              </w:rPr>
              <w:t>• Hmotný majetek, nemovité památky, včetně dědictví architektonického a archeologického: Na úrovni ÚP bez</w:t>
            </w:r>
            <w:r w:rsidR="00363683" w:rsidRPr="00111F34">
              <w:rPr>
                <w:rFonts w:eastAsia="Arial" w:cs="Arial"/>
                <w:snapToGrid/>
                <w:color w:val="auto"/>
                <w:szCs w:val="22"/>
                <w:lang w:eastAsia="en-US"/>
              </w:rPr>
              <w:t xml:space="preserve"> pozitivního</w:t>
            </w:r>
            <w:r w:rsidRPr="00111F34">
              <w:rPr>
                <w:rFonts w:eastAsia="Arial" w:cs="Arial"/>
                <w:snapToGrid/>
                <w:color w:val="auto"/>
                <w:szCs w:val="22"/>
                <w:lang w:eastAsia="en-US"/>
              </w:rPr>
              <w:t xml:space="preserve"> vlivu.</w:t>
            </w:r>
          </w:p>
          <w:p w14:paraId="129BF245" w14:textId="03CE20FB" w:rsidR="00517CB8" w:rsidRPr="00111F34" w:rsidRDefault="00517CB8" w:rsidP="00517CB8">
            <w:pPr>
              <w:pStyle w:val="Texttabulky"/>
              <w:spacing w:before="40"/>
              <w:jc w:val="both"/>
              <w:rPr>
                <w:rFonts w:eastAsia="Arial" w:cs="Arial"/>
                <w:snapToGrid/>
                <w:color w:val="auto"/>
                <w:szCs w:val="22"/>
                <w:lang w:eastAsia="en-US"/>
              </w:rPr>
            </w:pPr>
            <w:r w:rsidRPr="00111F34">
              <w:rPr>
                <w:rFonts w:eastAsia="Arial" w:cs="Arial"/>
                <w:snapToGrid/>
                <w:color w:val="auto"/>
                <w:szCs w:val="22"/>
                <w:lang w:eastAsia="en-US"/>
              </w:rPr>
              <w:t xml:space="preserve">• Krajinný ráz: Dojde k vytvoření územních předpokladů pro transformaci brownfields a území s dlouhodobě blokovaným rozvojem s předpokládaně spíše pozitivním vlivem na krajinný ráz na úrovni územního plánu s místním dopadem. Zda bude v realizační fázi vliv spíše mírně pozitivní nebo mírně negativní závisí na konečné volbě umisťovaných projektů. Lze očekávat spíše pozitivní spolupůsobení v kontextu ostatních souvisejících </w:t>
            </w:r>
            <w:r w:rsidR="00BE198A" w:rsidRPr="00111F34">
              <w:rPr>
                <w:rFonts w:eastAsia="Arial" w:cs="Arial"/>
                <w:snapToGrid/>
                <w:color w:val="auto"/>
                <w:szCs w:val="22"/>
                <w:lang w:eastAsia="en-US"/>
              </w:rPr>
              <w:t>záměr</w:t>
            </w:r>
            <w:r w:rsidRPr="00111F34">
              <w:rPr>
                <w:rFonts w:eastAsia="Arial" w:cs="Arial"/>
                <w:snapToGrid/>
                <w:color w:val="auto"/>
                <w:szCs w:val="22"/>
                <w:lang w:eastAsia="en-US"/>
              </w:rPr>
              <w:t xml:space="preserve">ů a strategických rozhodnutí v řešeném území. </w:t>
            </w:r>
          </w:p>
        </w:tc>
      </w:tr>
      <w:bookmarkEnd w:id="238"/>
      <w:tr w:rsidR="00517CB8" w:rsidRPr="00111F34" w14:paraId="35DDECFB" w14:textId="77777777" w:rsidTr="00B34C98">
        <w:tc>
          <w:tcPr>
            <w:tcW w:w="5000" w:type="pct"/>
            <w:gridSpan w:val="15"/>
            <w:tcBorders>
              <w:top w:val="single" w:sz="4" w:space="0" w:color="auto"/>
            </w:tcBorders>
            <w:shd w:val="clear" w:color="auto" w:fill="auto"/>
          </w:tcPr>
          <w:p w14:paraId="29D24D46" w14:textId="77777777" w:rsidR="00517CB8" w:rsidRPr="00111F34" w:rsidRDefault="00517CB8" w:rsidP="00517CB8">
            <w:pPr>
              <w:snapToGrid w:val="0"/>
              <w:spacing w:before="60"/>
              <w:rPr>
                <w:b/>
                <w:sz w:val="16"/>
                <w:szCs w:val="16"/>
              </w:rPr>
            </w:pPr>
            <w:r w:rsidRPr="00111F34">
              <w:rPr>
                <w:b/>
                <w:sz w:val="16"/>
                <w:szCs w:val="16"/>
              </w:rPr>
              <w:t xml:space="preserve">Negativní vlivy: </w:t>
            </w:r>
          </w:p>
          <w:p w14:paraId="03EB3FA3" w14:textId="5D7D5D05" w:rsidR="00517CB8" w:rsidRPr="00111F34" w:rsidRDefault="00517CB8" w:rsidP="00517CB8">
            <w:pPr>
              <w:pStyle w:val="Texttabulky"/>
              <w:numPr>
                <w:ilvl w:val="0"/>
                <w:numId w:val="36"/>
              </w:numPr>
              <w:spacing w:before="40"/>
              <w:ind w:left="65" w:hanging="65"/>
              <w:jc w:val="both"/>
              <w:rPr>
                <w:rFonts w:eastAsia="Arial" w:cs="Arial"/>
                <w:snapToGrid/>
                <w:color w:val="auto"/>
                <w:szCs w:val="16"/>
                <w:lang w:eastAsia="en-US"/>
              </w:rPr>
            </w:pPr>
            <w:r w:rsidRPr="00111F34">
              <w:rPr>
                <w:rFonts w:eastAsia="Arial" w:cs="Arial"/>
                <w:snapToGrid/>
                <w:color w:val="auto"/>
                <w:szCs w:val="16"/>
                <w:lang w:eastAsia="en-US"/>
              </w:rPr>
              <w:t xml:space="preserve"> Obyvatelstvo a veřejné zdraví: Žádné potenciální negativní vlivy posuzované koncepce nebyly identifikovány</w:t>
            </w:r>
            <w:r w:rsidR="00DA2590" w:rsidRPr="00111F34">
              <w:rPr>
                <w:rFonts w:eastAsia="Arial" w:cs="Arial"/>
                <w:snapToGrid/>
                <w:color w:val="auto"/>
                <w:szCs w:val="16"/>
                <w:lang w:eastAsia="en-US"/>
              </w:rPr>
              <w:t xml:space="preserve"> s výjimkou vložení nového zdroje hlukové zátěže, což je hodnoceno níže</w:t>
            </w:r>
            <w:r w:rsidRPr="00111F34">
              <w:rPr>
                <w:rFonts w:eastAsia="Arial" w:cs="Arial"/>
                <w:snapToGrid/>
                <w:color w:val="auto"/>
                <w:szCs w:val="16"/>
                <w:lang w:eastAsia="en-US"/>
              </w:rPr>
              <w:t>.</w:t>
            </w:r>
          </w:p>
          <w:p w14:paraId="72F51572" w14:textId="620DE96F" w:rsidR="00517CB8" w:rsidRPr="0046206D" w:rsidRDefault="00517CB8" w:rsidP="009B4A0C">
            <w:pPr>
              <w:pStyle w:val="Texttabulky"/>
              <w:numPr>
                <w:ilvl w:val="0"/>
                <w:numId w:val="36"/>
              </w:numPr>
              <w:spacing w:before="40"/>
              <w:ind w:left="65" w:hanging="65"/>
              <w:jc w:val="both"/>
              <w:rPr>
                <w:rFonts w:eastAsia="Arial" w:cs="Arial"/>
                <w:snapToGrid/>
                <w:color w:val="auto"/>
                <w:szCs w:val="16"/>
                <w:lang w:eastAsia="en-US"/>
              </w:rPr>
            </w:pPr>
            <w:r w:rsidRPr="0046206D">
              <w:rPr>
                <w:rFonts w:eastAsia="Arial" w:cs="Arial"/>
                <w:snapToGrid/>
                <w:color w:val="auto"/>
                <w:szCs w:val="16"/>
                <w:lang w:eastAsia="en-US"/>
              </w:rPr>
              <w:t xml:space="preserve"> Fauna, flóra, biodiverzita, ochrana přírody; krajina: </w:t>
            </w:r>
            <w:r w:rsidR="00620BC5" w:rsidRPr="0046206D">
              <w:rPr>
                <w:rFonts w:eastAsia="Arial" w:cs="Arial"/>
                <w:snapToGrid/>
                <w:color w:val="auto"/>
                <w:szCs w:val="16"/>
                <w:lang w:eastAsia="en-US"/>
              </w:rPr>
              <w:t>K přímým střetům s chráněnými územími nedojde</w:t>
            </w:r>
            <w:r w:rsidR="00B91576" w:rsidRPr="0046206D">
              <w:rPr>
                <w:rFonts w:eastAsia="Arial" w:cs="Arial"/>
                <w:snapToGrid/>
                <w:color w:val="auto"/>
                <w:szCs w:val="16"/>
                <w:lang w:eastAsia="en-US"/>
              </w:rPr>
              <w:t>. Je zde</w:t>
            </w:r>
            <w:r w:rsidR="00620BC5" w:rsidRPr="0046206D">
              <w:rPr>
                <w:rFonts w:eastAsia="Arial" w:cs="Arial"/>
                <w:snapToGrid/>
                <w:color w:val="auto"/>
                <w:szCs w:val="16"/>
                <w:lang w:eastAsia="en-US"/>
              </w:rPr>
              <w:t xml:space="preserve"> </w:t>
            </w:r>
            <w:r w:rsidR="00B91576" w:rsidRPr="0046206D">
              <w:rPr>
                <w:rFonts w:eastAsia="Arial" w:cs="Arial"/>
                <w:snapToGrid/>
                <w:color w:val="auto"/>
                <w:szCs w:val="16"/>
                <w:lang w:eastAsia="en-US"/>
              </w:rPr>
              <w:t>p</w:t>
            </w:r>
            <w:r w:rsidR="00620BC5" w:rsidRPr="0046206D">
              <w:rPr>
                <w:rFonts w:eastAsia="Arial" w:cs="Arial"/>
                <w:snapToGrid/>
                <w:color w:val="auto"/>
                <w:szCs w:val="16"/>
                <w:lang w:eastAsia="en-US"/>
              </w:rPr>
              <w:t>otenciál zvýšení návštěvnosti horní partie Podbabských skal v důsledku zlepšení přístupnosti území</w:t>
            </w:r>
            <w:r w:rsidR="00B91576" w:rsidRPr="0046206D">
              <w:rPr>
                <w:rFonts w:eastAsia="Arial" w:cs="Arial"/>
                <w:snapToGrid/>
                <w:color w:val="auto"/>
                <w:szCs w:val="16"/>
                <w:lang w:eastAsia="en-US"/>
              </w:rPr>
              <w:t xml:space="preserve"> – </w:t>
            </w:r>
            <w:r w:rsidR="00CC1516" w:rsidRPr="0046206D">
              <w:rPr>
                <w:rFonts w:eastAsia="Arial" w:cs="Arial"/>
                <w:snapToGrid/>
                <w:color w:val="auto"/>
                <w:szCs w:val="16"/>
                <w:lang w:eastAsia="en-US"/>
              </w:rPr>
              <w:t xml:space="preserve">zprostředkovaně </w:t>
            </w:r>
            <w:r w:rsidR="00B91576" w:rsidRPr="0046206D">
              <w:rPr>
                <w:rFonts w:eastAsia="Arial" w:cs="Arial"/>
                <w:snapToGrid/>
                <w:color w:val="auto"/>
                <w:szCs w:val="16"/>
                <w:lang w:eastAsia="en-US"/>
              </w:rPr>
              <w:t>mírně negativní</w:t>
            </w:r>
            <w:r w:rsidR="00CC1516" w:rsidRPr="0046206D">
              <w:rPr>
                <w:rFonts w:eastAsia="Arial" w:cs="Arial"/>
                <w:snapToGrid/>
                <w:color w:val="auto"/>
                <w:szCs w:val="16"/>
                <w:lang w:eastAsia="en-US"/>
              </w:rPr>
              <w:t xml:space="preserve"> vliv</w:t>
            </w:r>
            <w:r w:rsidR="00620BC5" w:rsidRPr="0046206D">
              <w:rPr>
                <w:rFonts w:eastAsia="Arial" w:cs="Arial"/>
                <w:snapToGrid/>
                <w:color w:val="auto"/>
                <w:szCs w:val="16"/>
                <w:lang w:eastAsia="en-US"/>
              </w:rPr>
              <w:t xml:space="preserve">. Potenciální vlivy realizace tramvajové trati i zástavby v návrhových plochách na stávající vzrostlou zeleň, především podél ulice Kamýcká a náletových porostů v oblasti Nového Suchdola. </w:t>
            </w:r>
            <w:r w:rsidR="0046206D" w:rsidRPr="0046206D">
              <w:rPr>
                <w:rFonts w:cs="Arial"/>
                <w:szCs w:val="16"/>
              </w:rPr>
              <w:t>Z polohy řešeného území Z 3827/00 explicitně nevyplývají přímé územní střety s EVL ani jeho předmětů ochrany. EVL byla zahrnuta do území Z 3827/00 s ohledem na funkční návaznost a propojení na okolní území mimo jiné i z pohledu změny funkčního využití na plochy ZMK s cílem územně stabilizovat souvislý pás městské krajinné zeleně, a to ve vazbě zahrnutí těchto ploch do skladebných částí ÚSES. Případné velmi okrajové zásahy v rámci přípravy území pro výstavbu, lze řešit zřetelným vyznačením hranic (viz podrobněji v kap. XI., Opatření k prevenci, vyloučení…). Jako relevantnější se tak jeví spíše soubor vlivů nepřímých, zprostředkovaných</w:t>
            </w:r>
            <w:r w:rsidR="0046206D">
              <w:rPr>
                <w:rFonts w:cs="Arial"/>
                <w:szCs w:val="16"/>
              </w:rPr>
              <w:t>,</w:t>
            </w:r>
            <w:r w:rsidR="0046206D" w:rsidRPr="0046206D">
              <w:rPr>
                <w:rFonts w:cs="Arial"/>
                <w:szCs w:val="16"/>
              </w:rPr>
              <w:t xml:space="preserve"> a to zejména z pohledu uvažovaného zvýšení návštěvnosti </w:t>
            </w:r>
            <w:r w:rsidR="00CF6B6D" w:rsidRPr="0046206D">
              <w:rPr>
                <w:rFonts w:cs="Arial"/>
                <w:szCs w:val="16"/>
              </w:rPr>
              <w:t>lokality,</w:t>
            </w:r>
            <w:r w:rsidR="0046206D" w:rsidRPr="0046206D">
              <w:rPr>
                <w:rFonts w:cs="Arial"/>
                <w:szCs w:val="16"/>
              </w:rPr>
              <w:t xml:space="preserve"> a tedy předpokládané zvýšené zátěže na EVL. Míru významného zvýšení tlaku s negativními dopady na úrovni významně negativního vlivu však nelze automaticky implikovat a uvažované vlivy na EVL se dle soudu zpracovatele hodnocení budou pohybovat max. na úrovni mírně negativního vlivu (-1).</w:t>
            </w:r>
          </w:p>
          <w:p w14:paraId="3F44B053" w14:textId="09AD4234" w:rsidR="00517CB8" w:rsidRPr="00111F34" w:rsidRDefault="00517CB8" w:rsidP="00517CB8">
            <w:pPr>
              <w:pStyle w:val="Texttabulky"/>
              <w:spacing w:before="40"/>
              <w:jc w:val="both"/>
              <w:rPr>
                <w:rFonts w:eastAsia="Arial" w:cs="Arial"/>
                <w:snapToGrid/>
                <w:color w:val="auto"/>
                <w:szCs w:val="16"/>
                <w:lang w:eastAsia="en-US"/>
              </w:rPr>
            </w:pPr>
            <w:r w:rsidRPr="00111F34">
              <w:rPr>
                <w:rFonts w:eastAsia="Arial" w:cs="Arial"/>
                <w:snapToGrid/>
                <w:color w:val="auto"/>
                <w:szCs w:val="16"/>
                <w:lang w:eastAsia="en-US"/>
              </w:rPr>
              <w:t>• Půda a horninové prostředí: Mírně negativní vliv s místním dopadem a dočasným působením v důsledku zásahu do geologických struktur ve střetu s územím potenciálních ekologických zátěží</w:t>
            </w:r>
            <w:r w:rsidR="00D27800" w:rsidRPr="00111F34">
              <w:rPr>
                <w:rFonts w:eastAsia="Arial" w:cs="Arial"/>
                <w:snapToGrid/>
                <w:color w:val="auto"/>
                <w:szCs w:val="16"/>
                <w:lang w:eastAsia="en-US"/>
              </w:rPr>
              <w:t xml:space="preserve"> a svahových pohybů. Mimo podrobnost územního plánu, je třeba řešit na úrovni projektové přípravy staveb</w:t>
            </w:r>
            <w:r w:rsidRPr="00111F34">
              <w:rPr>
                <w:rFonts w:eastAsia="Arial" w:cs="Arial"/>
                <w:snapToGrid/>
                <w:color w:val="auto"/>
                <w:szCs w:val="16"/>
                <w:lang w:eastAsia="en-US"/>
              </w:rPr>
              <w:t xml:space="preserve">. </w:t>
            </w:r>
            <w:r w:rsidR="00DA2590" w:rsidRPr="00111F34">
              <w:rPr>
                <w:rFonts w:eastAsia="Arial" w:cs="Arial"/>
                <w:snapToGrid/>
                <w:color w:val="auto"/>
                <w:szCs w:val="16"/>
                <w:lang w:eastAsia="en-US"/>
              </w:rPr>
              <w:t>Mírně negativní vliv s místním dopadem z hlediska potenciálních záboru ZPF a PUPFL. Dochází k transformaci a přerozdělení záborů</w:t>
            </w:r>
            <w:r w:rsidR="00606C6E" w:rsidRPr="00111F34">
              <w:rPr>
                <w:rFonts w:eastAsia="Arial" w:cs="Arial"/>
                <w:snapToGrid/>
                <w:color w:val="auto"/>
                <w:szCs w:val="16"/>
                <w:lang w:eastAsia="en-US"/>
              </w:rPr>
              <w:t xml:space="preserve"> převážně</w:t>
            </w:r>
            <w:r w:rsidR="00DA2590" w:rsidRPr="00111F34">
              <w:rPr>
                <w:rFonts w:eastAsia="Arial" w:cs="Arial"/>
                <w:snapToGrid/>
                <w:color w:val="auto"/>
                <w:szCs w:val="16"/>
                <w:lang w:eastAsia="en-US"/>
              </w:rPr>
              <w:t xml:space="preserve"> již vyplývajících z platného ÚP, převážně pro veřejně prospěšné stavby a dílčímu rozšíření záborů převážně pro zeleň</w:t>
            </w:r>
            <w:r w:rsidRPr="00111F34">
              <w:rPr>
                <w:rFonts w:eastAsia="Arial" w:cs="Arial"/>
                <w:snapToGrid/>
                <w:color w:val="auto"/>
                <w:szCs w:val="16"/>
                <w:lang w:eastAsia="en-US"/>
              </w:rPr>
              <w:t>.</w:t>
            </w:r>
          </w:p>
          <w:p w14:paraId="492D2802" w14:textId="290F669F" w:rsidR="00517CB8" w:rsidRPr="00111F34" w:rsidRDefault="00517CB8" w:rsidP="00517CB8">
            <w:pPr>
              <w:pStyle w:val="Texttabulky"/>
              <w:spacing w:before="40"/>
              <w:jc w:val="both"/>
              <w:rPr>
                <w:rFonts w:eastAsia="Arial" w:cs="Arial"/>
                <w:snapToGrid/>
                <w:color w:val="auto"/>
                <w:szCs w:val="16"/>
                <w:lang w:eastAsia="en-US"/>
              </w:rPr>
            </w:pPr>
            <w:r w:rsidRPr="00111F34">
              <w:rPr>
                <w:rFonts w:eastAsia="Arial" w:cs="Arial"/>
                <w:snapToGrid/>
                <w:color w:val="auto"/>
                <w:szCs w:val="16"/>
                <w:lang w:eastAsia="en-US"/>
              </w:rPr>
              <w:t xml:space="preserve">• Voda: Mírně negativní vliv s místním dopadem a dočasným působením v důsledku vytvoření územních předpokladů pro větší zastavěnost území. </w:t>
            </w:r>
            <w:r w:rsidR="00D27800" w:rsidRPr="00111F34">
              <w:rPr>
                <w:rFonts w:eastAsia="Arial" w:cs="Arial"/>
                <w:snapToGrid/>
                <w:color w:val="auto"/>
                <w:szCs w:val="16"/>
                <w:lang w:eastAsia="en-US"/>
              </w:rPr>
              <w:t>M</w:t>
            </w:r>
            <w:r w:rsidRPr="00111F34">
              <w:rPr>
                <w:rFonts w:eastAsia="Arial" w:cs="Arial"/>
                <w:snapToGrid/>
                <w:color w:val="auto"/>
                <w:szCs w:val="16"/>
                <w:lang w:eastAsia="en-US"/>
              </w:rPr>
              <w:t>írně negativní vliv z hlediska působení tepelného ostrova města</w:t>
            </w:r>
            <w:r w:rsidR="00DA2590" w:rsidRPr="00111F34">
              <w:rPr>
                <w:rFonts w:eastAsia="Arial" w:cs="Arial"/>
                <w:snapToGrid/>
                <w:color w:val="auto"/>
                <w:szCs w:val="16"/>
                <w:lang w:eastAsia="en-US"/>
              </w:rPr>
              <w:t xml:space="preserve"> – předpoklady realizace zástavby s nízkou intenzitou a vysokým podílem zeleně</w:t>
            </w:r>
            <w:r w:rsidRPr="00111F34">
              <w:rPr>
                <w:rFonts w:eastAsia="Arial" w:cs="Arial"/>
                <w:snapToGrid/>
                <w:color w:val="auto"/>
                <w:szCs w:val="16"/>
                <w:lang w:eastAsia="en-US"/>
              </w:rPr>
              <w:t xml:space="preserve">. </w:t>
            </w:r>
            <w:r w:rsidRPr="00111F34">
              <w:rPr>
                <w:rFonts w:cs="Arial"/>
              </w:rPr>
              <w:t xml:space="preserve">Vliv na retenční schopnost území, bude mírně negativní na úrovni navazujících řízení, mírně negativní z hlediska posuzované ÚPD. </w:t>
            </w:r>
          </w:p>
          <w:p w14:paraId="6464B5FB" w14:textId="13C1B865" w:rsidR="00517CB8" w:rsidRPr="00111F34" w:rsidRDefault="00517CB8" w:rsidP="00517CB8">
            <w:pPr>
              <w:pStyle w:val="Texttabulky"/>
              <w:spacing w:before="40"/>
              <w:jc w:val="both"/>
              <w:rPr>
                <w:rFonts w:eastAsia="Arial" w:cs="Arial"/>
                <w:snapToGrid/>
                <w:color w:val="auto"/>
                <w:szCs w:val="16"/>
                <w:lang w:eastAsia="en-US"/>
              </w:rPr>
            </w:pPr>
            <w:r w:rsidRPr="00111F34">
              <w:rPr>
                <w:rFonts w:eastAsia="Arial" w:cs="Arial"/>
                <w:snapToGrid/>
                <w:color w:val="auto"/>
                <w:szCs w:val="16"/>
                <w:lang w:eastAsia="en-US"/>
              </w:rPr>
              <w:t xml:space="preserve">• Ovzduší, klima: Podstatné potenciální negativní vlivy posuzované koncepce </w:t>
            </w:r>
            <w:r w:rsidR="00D27800" w:rsidRPr="00111F34">
              <w:rPr>
                <w:rFonts w:eastAsia="Arial" w:cs="Arial"/>
                <w:snapToGrid/>
                <w:color w:val="auto"/>
                <w:szCs w:val="16"/>
                <w:lang w:eastAsia="en-US"/>
              </w:rPr>
              <w:t xml:space="preserve">na ovzduší </w:t>
            </w:r>
            <w:r w:rsidRPr="00111F34">
              <w:rPr>
                <w:rFonts w:eastAsia="Arial" w:cs="Arial"/>
                <w:snapToGrid/>
                <w:color w:val="auto"/>
                <w:szCs w:val="16"/>
                <w:lang w:eastAsia="en-US"/>
              </w:rPr>
              <w:t>nebyly identifikovány.</w:t>
            </w:r>
            <w:r w:rsidR="00D27800" w:rsidRPr="00111F34">
              <w:rPr>
                <w:rFonts w:eastAsia="Arial" w:cs="Arial"/>
                <w:snapToGrid/>
                <w:color w:val="auto"/>
                <w:szCs w:val="16"/>
                <w:lang w:eastAsia="en-US"/>
              </w:rPr>
              <w:t xml:space="preserve"> Z hlediska mikroklimatu, lze především v oblasti Výhledů očekávat mírné zvýšení teplot povrchů v důsledku zastavění dosud volných ploch využívaných k intenzivní zemědělské výrobě. V prostoru Nového Suchdola naopak dojde ke stabilizaci území a vytvoření smíšené zástavby s nízkou intenzitou a ploch zeleně na místě stávajících ploch využívaných jako skládky sypkých materiálů</w:t>
            </w:r>
            <w:r w:rsidR="00DA2590" w:rsidRPr="00111F34">
              <w:rPr>
                <w:rFonts w:eastAsia="Arial" w:cs="Arial"/>
                <w:snapToGrid/>
                <w:color w:val="auto"/>
                <w:szCs w:val="16"/>
                <w:lang w:eastAsia="en-US"/>
              </w:rPr>
              <w:t xml:space="preserve"> a parkovací plochy</w:t>
            </w:r>
            <w:r w:rsidR="00D27800" w:rsidRPr="00111F34">
              <w:rPr>
                <w:rFonts w:eastAsia="Arial" w:cs="Arial"/>
                <w:snapToGrid/>
                <w:color w:val="auto"/>
                <w:szCs w:val="16"/>
                <w:lang w:eastAsia="en-US"/>
              </w:rPr>
              <w:t>. Mírně negativní až marginální vliv na mikroklima se synergickým spolupůsobením generuje rovněž vložení nové tramvajové trati do kontextu stávajících dopravních staveb a již zastavěného území.</w:t>
            </w:r>
            <w:r w:rsidR="00FA67CE" w:rsidRPr="00111F34">
              <w:rPr>
                <w:rFonts w:eastAsia="Arial" w:cs="Arial"/>
                <w:snapToGrid/>
                <w:color w:val="auto"/>
                <w:szCs w:val="16"/>
                <w:lang w:eastAsia="en-US"/>
              </w:rPr>
              <w:t xml:space="preserve"> </w:t>
            </w:r>
            <w:bookmarkStart w:id="241" w:name="_Hlk136262196"/>
            <w:r w:rsidR="00FA67CE" w:rsidRPr="00111F34">
              <w:rPr>
                <w:rFonts w:eastAsia="Arial" w:cs="Arial"/>
                <w:snapToGrid/>
                <w:color w:val="auto"/>
                <w:szCs w:val="16"/>
                <w:lang w:eastAsia="en-US"/>
              </w:rPr>
              <w:t>Pozitivně spolupůsobit bude dobudování dopravního systému včetně záchytného parkoviště, terminálu Výhledy a SOKP na relativní snížení produkce CO</w:t>
            </w:r>
            <w:r w:rsidR="00FA67CE" w:rsidRPr="00111F34">
              <w:rPr>
                <w:rFonts w:eastAsia="Arial" w:cs="Arial"/>
                <w:snapToGrid/>
                <w:color w:val="auto"/>
                <w:szCs w:val="16"/>
                <w:vertAlign w:val="subscript"/>
                <w:lang w:eastAsia="en-US"/>
              </w:rPr>
              <w:t>2</w:t>
            </w:r>
            <w:r w:rsidR="00FA67CE" w:rsidRPr="00111F34">
              <w:rPr>
                <w:rFonts w:eastAsia="Arial" w:cs="Arial"/>
                <w:snapToGrid/>
                <w:color w:val="auto"/>
                <w:szCs w:val="16"/>
                <w:lang w:eastAsia="en-US"/>
              </w:rPr>
              <w:t>.</w:t>
            </w:r>
          </w:p>
          <w:bookmarkEnd w:id="241"/>
          <w:p w14:paraId="06A6558C" w14:textId="1ED665BA" w:rsidR="00517CB8" w:rsidRPr="00111F34" w:rsidRDefault="00517CB8" w:rsidP="00517CB8">
            <w:pPr>
              <w:snapToGrid w:val="0"/>
              <w:spacing w:before="40"/>
              <w:rPr>
                <w:b/>
                <w:sz w:val="16"/>
                <w:szCs w:val="16"/>
              </w:rPr>
            </w:pPr>
            <w:r w:rsidRPr="00111F34">
              <w:rPr>
                <w:rFonts w:cs="Arial"/>
                <w:sz w:val="16"/>
                <w:szCs w:val="16"/>
              </w:rPr>
              <w:t xml:space="preserve">• Hluková zátěž: </w:t>
            </w:r>
            <w:bookmarkStart w:id="242" w:name="_Hlk127957777"/>
            <w:r w:rsidRPr="00111F34">
              <w:rPr>
                <w:rFonts w:cs="Arial"/>
                <w:sz w:val="16"/>
                <w:szCs w:val="16"/>
                <w:lang w:eastAsia="cs-CZ"/>
              </w:rPr>
              <w:t>Mírně negativní vliv na místní úrovni</w:t>
            </w:r>
            <w:r w:rsidR="005B3BAA">
              <w:rPr>
                <w:rFonts w:cs="Arial"/>
                <w:sz w:val="16"/>
                <w:szCs w:val="16"/>
                <w:lang w:eastAsia="cs-CZ"/>
              </w:rPr>
              <w:t>.</w:t>
            </w:r>
            <w:r w:rsidRPr="00111F34">
              <w:rPr>
                <w:rFonts w:cs="Arial"/>
                <w:sz w:val="16"/>
                <w:szCs w:val="16"/>
                <w:lang w:eastAsia="cs-CZ"/>
              </w:rPr>
              <w:t xml:space="preserve"> </w:t>
            </w:r>
            <w:r w:rsidR="00E46802">
              <w:rPr>
                <w:rFonts w:cs="Arial"/>
                <w:sz w:val="16"/>
                <w:szCs w:val="16"/>
                <w:lang w:eastAsia="cs-CZ"/>
              </w:rPr>
              <w:t>D</w:t>
            </w:r>
            <w:r w:rsidRPr="00111F34">
              <w:rPr>
                <w:rFonts w:cs="Arial"/>
                <w:sz w:val="16"/>
                <w:szCs w:val="16"/>
                <w:lang w:eastAsia="cs-CZ"/>
              </w:rPr>
              <w:t xml:space="preserve">ojde ke vložení nového zdroje hlukové zátěže do území se spolupůsobením </w:t>
            </w:r>
            <w:r w:rsidR="00DA2590" w:rsidRPr="00111F34">
              <w:rPr>
                <w:rFonts w:cs="Arial"/>
                <w:sz w:val="16"/>
                <w:szCs w:val="16"/>
                <w:lang w:eastAsia="cs-CZ"/>
              </w:rPr>
              <w:t>stávajících zdrojů hluku</w:t>
            </w:r>
            <w:r w:rsidRPr="00111F34">
              <w:rPr>
                <w:rFonts w:cs="Arial"/>
                <w:sz w:val="16"/>
                <w:szCs w:val="16"/>
                <w:lang w:eastAsia="cs-CZ"/>
              </w:rPr>
              <w:t xml:space="preserve"> v souvisejícím území. Pozitivně spolupůsobit bude naopak přerozdělení dopravních zátěží ve prospěch </w:t>
            </w:r>
            <w:r w:rsidR="00D27800" w:rsidRPr="00111F34">
              <w:rPr>
                <w:rFonts w:cs="Arial"/>
                <w:sz w:val="16"/>
                <w:szCs w:val="16"/>
                <w:lang w:eastAsia="cs-CZ"/>
              </w:rPr>
              <w:t>nadřazené dopravní infrastruktury a bezemisní VHD</w:t>
            </w:r>
            <w:r w:rsidRPr="00111F34">
              <w:rPr>
                <w:rFonts w:cs="Arial"/>
                <w:sz w:val="16"/>
                <w:szCs w:val="16"/>
                <w:lang w:eastAsia="cs-CZ"/>
              </w:rPr>
              <w:t xml:space="preserve">. V důsledku </w:t>
            </w:r>
            <w:r w:rsidR="00D27800" w:rsidRPr="00111F34">
              <w:rPr>
                <w:rFonts w:cs="Arial"/>
                <w:sz w:val="16"/>
                <w:szCs w:val="16"/>
                <w:lang w:eastAsia="cs-CZ"/>
              </w:rPr>
              <w:t>řešen</w:t>
            </w:r>
            <w:r w:rsidR="00E46802">
              <w:rPr>
                <w:rFonts w:cs="Arial"/>
                <w:sz w:val="16"/>
                <w:szCs w:val="16"/>
                <w:lang w:eastAsia="cs-CZ"/>
              </w:rPr>
              <w:t>é</w:t>
            </w:r>
            <w:r w:rsidR="00D27800" w:rsidRPr="00111F34">
              <w:rPr>
                <w:rFonts w:cs="Arial"/>
                <w:sz w:val="16"/>
                <w:szCs w:val="16"/>
                <w:lang w:eastAsia="cs-CZ"/>
              </w:rPr>
              <w:t xml:space="preserve"> změny</w:t>
            </w:r>
            <w:r w:rsidRPr="00111F34">
              <w:rPr>
                <w:rFonts w:cs="Arial"/>
                <w:sz w:val="16"/>
                <w:szCs w:val="16"/>
                <w:lang w:eastAsia="cs-CZ"/>
              </w:rPr>
              <w:t xml:space="preserve"> nepředpokládáme překročení imisních limitů a případné umístění hlukově chráněných objektů nebo ovlivnění takových objektů vyvolanou dopravou v detailu umístění jednotlivých záměrů je třeba prověřit v navazujících řízeních. Území lze v rámci navrhovaného funkčního využití využít tak, aniž by došlo k nadlimitnímu zhoršení hlukové nebo imisní situace u nejbližších chráněných prostor, a to zejména v kontextu dopravního napojení a dopravní obsluhy VHD.</w:t>
            </w:r>
            <w:bookmarkEnd w:id="242"/>
          </w:p>
          <w:p w14:paraId="362C9CE6" w14:textId="77777777" w:rsidR="00517CB8" w:rsidRPr="00111F34" w:rsidRDefault="00517CB8" w:rsidP="00517CB8">
            <w:pPr>
              <w:snapToGrid w:val="0"/>
              <w:spacing w:before="40"/>
              <w:rPr>
                <w:b/>
                <w:sz w:val="16"/>
                <w:szCs w:val="16"/>
              </w:rPr>
            </w:pPr>
            <w:r w:rsidRPr="00111F34">
              <w:rPr>
                <w:rFonts w:cs="Arial"/>
                <w:sz w:val="16"/>
                <w:szCs w:val="16"/>
              </w:rPr>
              <w:t xml:space="preserve">• Sídla, urbanizace: </w:t>
            </w:r>
            <w:r w:rsidRPr="00111F34">
              <w:rPr>
                <w:rFonts w:cs="Arial"/>
                <w:sz w:val="16"/>
                <w:szCs w:val="16"/>
                <w:lang w:eastAsia="cs-CZ"/>
              </w:rPr>
              <w:t>Bez identifikovaných negativních vlivů.</w:t>
            </w:r>
          </w:p>
          <w:p w14:paraId="688BF081" w14:textId="5898AADF" w:rsidR="00517CB8" w:rsidRPr="00111F34" w:rsidRDefault="00517CB8" w:rsidP="00517CB8">
            <w:pPr>
              <w:pStyle w:val="Texttabulky"/>
              <w:spacing w:before="40"/>
              <w:jc w:val="both"/>
              <w:rPr>
                <w:rFonts w:eastAsia="Arial" w:cs="Arial"/>
                <w:snapToGrid/>
                <w:color w:val="auto"/>
                <w:szCs w:val="16"/>
                <w:lang w:eastAsia="en-US"/>
              </w:rPr>
            </w:pPr>
            <w:r w:rsidRPr="00111F34">
              <w:rPr>
                <w:rFonts w:eastAsia="Arial" w:cs="Arial"/>
                <w:snapToGrid/>
                <w:color w:val="auto"/>
                <w:szCs w:val="16"/>
                <w:lang w:eastAsia="en-US"/>
              </w:rPr>
              <w:t xml:space="preserve">• Hmotný majetek, nemovité památky, včetně dědictví architektonického a archeologického: </w:t>
            </w:r>
            <w:r w:rsidR="00D27800" w:rsidRPr="00111F34">
              <w:rPr>
                <w:rFonts w:cs="Arial"/>
                <w:szCs w:val="16"/>
                <w:lang w:eastAsia="en-US"/>
              </w:rPr>
              <w:t xml:space="preserve">Identifikován mírně negativní potenciální vliv v důsledku vložení nové tramvajové trati, resp. rozšíření ploch dopravy do těsné blízkosti nemovité kulturní památky – železniční viadukt u ulice V Podbabě. Konkrétní vliv bude záviset na konkrétním technickém řešení stavby tramvajové trati. </w:t>
            </w:r>
          </w:p>
          <w:p w14:paraId="5B96739B" w14:textId="3BFBA544" w:rsidR="00517CB8" w:rsidRPr="00111F34" w:rsidRDefault="00517CB8" w:rsidP="00517CB8">
            <w:pPr>
              <w:snapToGrid w:val="0"/>
              <w:spacing w:before="40" w:line="256" w:lineRule="auto"/>
              <w:rPr>
                <w:rFonts w:cs="Arial"/>
                <w:sz w:val="16"/>
                <w:szCs w:val="16"/>
                <w:lang w:eastAsia="cs-CZ"/>
              </w:rPr>
            </w:pPr>
            <w:r w:rsidRPr="00111F34">
              <w:rPr>
                <w:rFonts w:cs="Arial"/>
                <w:sz w:val="16"/>
                <w:szCs w:val="16"/>
              </w:rPr>
              <w:t xml:space="preserve">• Krajinný ráz: </w:t>
            </w:r>
            <w:r w:rsidR="00D27800" w:rsidRPr="00111F34">
              <w:rPr>
                <w:rFonts w:cs="Arial"/>
                <w:sz w:val="16"/>
                <w:szCs w:val="16"/>
              </w:rPr>
              <w:t xml:space="preserve">Mírně negativní vliv </w:t>
            </w:r>
            <w:r w:rsidR="004242A8" w:rsidRPr="00111F34">
              <w:rPr>
                <w:rFonts w:cs="Arial"/>
                <w:sz w:val="16"/>
                <w:szCs w:val="16"/>
              </w:rPr>
              <w:t xml:space="preserve">se synergickým spolupůsobením </w:t>
            </w:r>
            <w:r w:rsidR="00D27800" w:rsidRPr="00111F34">
              <w:rPr>
                <w:rFonts w:cs="Arial"/>
                <w:sz w:val="16"/>
                <w:szCs w:val="16"/>
              </w:rPr>
              <w:t xml:space="preserve">v důsledku vložení nové tramvajové trati do kontextu </w:t>
            </w:r>
            <w:r w:rsidR="004242A8" w:rsidRPr="00111F34">
              <w:rPr>
                <w:rFonts w:cs="Arial"/>
                <w:sz w:val="16"/>
                <w:szCs w:val="16"/>
              </w:rPr>
              <w:t xml:space="preserve">stávajících dopravních staveb a vymezení nových zastavitelných ploch na úkor a v návaznosti na volnou krajinu. </w:t>
            </w:r>
          </w:p>
        </w:tc>
      </w:tr>
      <w:bookmarkEnd w:id="239"/>
      <w:tr w:rsidR="00517CB8" w:rsidRPr="00111F34" w14:paraId="4094F3B8" w14:textId="77777777" w:rsidTr="00B34C98">
        <w:tc>
          <w:tcPr>
            <w:tcW w:w="5000" w:type="pct"/>
            <w:gridSpan w:val="15"/>
            <w:tcBorders>
              <w:top w:val="single" w:sz="4" w:space="0" w:color="auto"/>
            </w:tcBorders>
            <w:shd w:val="clear" w:color="auto" w:fill="auto"/>
          </w:tcPr>
          <w:p w14:paraId="1DD933B3" w14:textId="77777777" w:rsidR="00517CB8" w:rsidRPr="00111F34" w:rsidRDefault="00517CB8" w:rsidP="00517CB8">
            <w:pPr>
              <w:snapToGrid w:val="0"/>
              <w:spacing w:before="60"/>
              <w:rPr>
                <w:b/>
                <w:sz w:val="16"/>
                <w:szCs w:val="16"/>
              </w:rPr>
            </w:pPr>
            <w:r w:rsidRPr="00111F34">
              <w:rPr>
                <w:b/>
                <w:sz w:val="16"/>
                <w:szCs w:val="16"/>
              </w:rPr>
              <w:t>Kumulativní a synergické vlivy:</w:t>
            </w:r>
          </w:p>
          <w:p w14:paraId="21E5A70D" w14:textId="304887CE" w:rsidR="00517CB8" w:rsidRPr="00111F34" w:rsidRDefault="00517CB8" w:rsidP="00517CB8">
            <w:pPr>
              <w:snapToGrid w:val="0"/>
              <w:spacing w:before="60"/>
              <w:rPr>
                <w:bCs/>
                <w:sz w:val="16"/>
                <w:szCs w:val="16"/>
              </w:rPr>
            </w:pPr>
            <w:bookmarkStart w:id="243" w:name="_Hlk103762973"/>
            <w:bookmarkStart w:id="244" w:name="_Hlk136003097"/>
            <w:r w:rsidRPr="00111F34">
              <w:rPr>
                <w:bCs/>
                <w:sz w:val="16"/>
                <w:szCs w:val="16"/>
              </w:rPr>
              <w:t>Obyvatelstvo a veřejné zdraví – referenční cíl 1.1 zlepšit kvalitu života obyvatel sídel a sociální determinanty lidského zdraví – mírně pozitivní nepřímé spolupůsobení z hlediska synergického spolupůsobení transformace území v širším kontextu (</w:t>
            </w:r>
            <w:r w:rsidR="00AF45F1" w:rsidRPr="00111F34">
              <w:rPr>
                <w:bCs/>
                <w:sz w:val="16"/>
                <w:szCs w:val="16"/>
              </w:rPr>
              <w:t>rozvoj bydlení a transformace brownfields</w:t>
            </w:r>
            <w:r w:rsidRPr="00111F34">
              <w:rPr>
                <w:bCs/>
                <w:sz w:val="16"/>
                <w:szCs w:val="16"/>
              </w:rPr>
              <w:t xml:space="preserve">). na úrovni dotčených čtvrtí, a s tím související přerozdělení dopravních zátěží, spolu s revitalizací veřejných prostranství vůči kvalitě bydlení a života v řešeném území. </w:t>
            </w:r>
            <w:bookmarkEnd w:id="243"/>
          </w:p>
          <w:p w14:paraId="47BCE4FD" w14:textId="5A0C7523" w:rsidR="009B1589" w:rsidRPr="00111F34" w:rsidRDefault="009B1589" w:rsidP="009B1589">
            <w:pPr>
              <w:snapToGrid w:val="0"/>
              <w:spacing w:before="60"/>
              <w:rPr>
                <w:bCs/>
                <w:sz w:val="16"/>
                <w:szCs w:val="16"/>
              </w:rPr>
            </w:pPr>
            <w:r w:rsidRPr="00111F34">
              <w:rPr>
                <w:bCs/>
                <w:sz w:val="16"/>
                <w:szCs w:val="16"/>
              </w:rPr>
              <w:lastRenderedPageBreak/>
              <w:t xml:space="preserve">Voda – referenční cíl 4.1 posilovat retenční funkci krajiny a zlepšovat ekol. funkce vodních útvarů podzemních a povrchových </w:t>
            </w:r>
            <w:r w:rsidR="00C51945" w:rsidRPr="00111F34">
              <w:rPr>
                <w:bCs/>
                <w:sz w:val="16"/>
                <w:szCs w:val="16"/>
              </w:rPr>
              <w:t>vod – mírně</w:t>
            </w:r>
            <w:r w:rsidRPr="00111F34">
              <w:rPr>
                <w:bCs/>
                <w:sz w:val="16"/>
                <w:szCs w:val="16"/>
              </w:rPr>
              <w:t xml:space="preserve"> negativní až marginální spolupůsobení z hlediska zvýšení podílu zastavitelných ploch především v oblasti Výhledů, kde dojde k zastavění dosud volných ploch, a tím i omezení retenční schopnosti území. V oblasti Nového Sedlce, resp. ploch pro umístění tramvajové trati</w:t>
            </w:r>
            <w:r w:rsidR="00DA2590" w:rsidRPr="00111F34">
              <w:rPr>
                <w:bCs/>
                <w:sz w:val="16"/>
                <w:szCs w:val="16"/>
              </w:rPr>
              <w:t>,</w:t>
            </w:r>
            <w:r w:rsidRPr="00111F34">
              <w:rPr>
                <w:bCs/>
                <w:sz w:val="16"/>
                <w:szCs w:val="16"/>
              </w:rPr>
              <w:t xml:space="preserve"> spíše marginální rozsah spolupůsobení rozšíření zastavitelných ploch v již převážně zastavěném území, resp. území transformačních ploch. Bude řešeno v navazujících řízeních v rámci odkanalizování a hospodaření s dešťovými vodami. Územní plán obsahuje obecné požadavky na odkanalizování území a modrozelenou infrastrukturu. </w:t>
            </w:r>
          </w:p>
          <w:p w14:paraId="2992EE1E" w14:textId="5475CB57" w:rsidR="00A572E8" w:rsidRPr="00111F34" w:rsidRDefault="00C51945" w:rsidP="00517CB8">
            <w:pPr>
              <w:snapToGrid w:val="0"/>
              <w:spacing w:before="60"/>
              <w:rPr>
                <w:bCs/>
                <w:sz w:val="16"/>
                <w:szCs w:val="16"/>
              </w:rPr>
            </w:pPr>
            <w:r w:rsidRPr="00111F34">
              <w:rPr>
                <w:bCs/>
                <w:sz w:val="16"/>
                <w:szCs w:val="16"/>
              </w:rPr>
              <w:t>Ovzduší – referenční</w:t>
            </w:r>
            <w:r w:rsidR="00A572E8" w:rsidRPr="00111F34">
              <w:rPr>
                <w:bCs/>
                <w:sz w:val="16"/>
                <w:szCs w:val="16"/>
              </w:rPr>
              <w:t xml:space="preserve"> cíl 5.1 snižovat znečištění ovzduší s důrazem na NOx, B(a)P a PM</w:t>
            </w:r>
            <w:r w:rsidR="00A572E8" w:rsidRPr="00111F34">
              <w:rPr>
                <w:bCs/>
                <w:sz w:val="16"/>
                <w:szCs w:val="16"/>
                <w:vertAlign w:val="subscript"/>
              </w:rPr>
              <w:t xml:space="preserve">10 </w:t>
            </w:r>
            <w:r w:rsidR="00A572E8" w:rsidRPr="00111F34">
              <w:rPr>
                <w:bCs/>
                <w:sz w:val="16"/>
                <w:szCs w:val="16"/>
              </w:rPr>
              <w:t>– mírně pozitivní spolupůsobení s lokálním dopadem</w:t>
            </w:r>
            <w:r w:rsidR="009B1589" w:rsidRPr="00111F34">
              <w:rPr>
                <w:bCs/>
                <w:sz w:val="16"/>
                <w:szCs w:val="16"/>
              </w:rPr>
              <w:t xml:space="preserve"> a dlouhodobým působením</w:t>
            </w:r>
            <w:r w:rsidR="00A572E8" w:rsidRPr="00111F34">
              <w:rPr>
                <w:bCs/>
                <w:sz w:val="16"/>
                <w:szCs w:val="16"/>
              </w:rPr>
              <w:t xml:space="preserve"> z hlediska dobudování dopravního systému nadmístního významu, jak na úrovni SOKP, tak i vybavení území kapacitní bezemisní MHD a P+R se zprostředkovaně pozitivním vlivem na snížení emisí z dopravy a přerozdělení dopravních zátěží. </w:t>
            </w:r>
          </w:p>
          <w:p w14:paraId="64A64FCE" w14:textId="31D2F342" w:rsidR="00FA67CE" w:rsidRPr="00111F34" w:rsidRDefault="00C51945" w:rsidP="00FA67CE">
            <w:pPr>
              <w:pStyle w:val="Texttabulky"/>
              <w:spacing w:before="40"/>
              <w:jc w:val="both"/>
              <w:rPr>
                <w:rFonts w:eastAsia="Arial" w:cs="Arial"/>
                <w:snapToGrid/>
                <w:color w:val="auto"/>
                <w:szCs w:val="16"/>
                <w:lang w:eastAsia="en-US"/>
              </w:rPr>
            </w:pPr>
            <w:r w:rsidRPr="00111F34">
              <w:rPr>
                <w:rFonts w:eastAsia="Arial"/>
                <w:bCs/>
                <w:szCs w:val="16"/>
              </w:rPr>
              <w:t>Klima – referenční</w:t>
            </w:r>
            <w:r w:rsidR="004556AA" w:rsidRPr="00111F34">
              <w:rPr>
                <w:rFonts w:eastAsia="Arial"/>
                <w:bCs/>
                <w:szCs w:val="16"/>
              </w:rPr>
              <w:t xml:space="preserve"> cíl 5.2 pomocí územně plánovacích opatření snižovat působení tepelného ostrova města – mírně negativní až marginální spolupůsobení z hlediska zvýšení podílu zastavitelných ploch především v oblasti Výhledů, kde dojde k zastavění dosud volných ploch, a tím i omezení retenční schopnosti území a zvýšení teplot povrchů. V oblasti Nového Sedlce, resp. ploch pro umístění tramvajové trati marginální rozsah spolupůsobení v důsledku rozšíření zastavitelných ploch v již převážně zastavěném území, resp. území transformačních ploch, kdy zároveň bude spolupůsobit i transformace území z výrobních a dopravních ploch (dnes charakteru brownfields) do ploch s převážně rezidenční funkcí a předpokladem vyššího zastoupení zeleně. </w:t>
            </w:r>
            <w:r w:rsidR="00FA67CE" w:rsidRPr="00111F34">
              <w:rPr>
                <w:rFonts w:eastAsia="Arial" w:cs="Arial"/>
                <w:snapToGrid/>
                <w:color w:val="auto"/>
                <w:szCs w:val="16"/>
                <w:lang w:eastAsia="en-US"/>
              </w:rPr>
              <w:t>Pozitivně spolupůsobit bude dobudování dopravního systému včetně záchytného parkoviště, terminálu Výhledy a SOKP na relativní snížení produkce CO</w:t>
            </w:r>
            <w:r w:rsidR="00FA67CE" w:rsidRPr="00111F34">
              <w:rPr>
                <w:rFonts w:eastAsia="Arial" w:cs="Arial"/>
                <w:snapToGrid/>
                <w:color w:val="auto"/>
                <w:szCs w:val="16"/>
                <w:vertAlign w:val="subscript"/>
                <w:lang w:eastAsia="en-US"/>
              </w:rPr>
              <w:t>2</w:t>
            </w:r>
            <w:r w:rsidR="00FA67CE" w:rsidRPr="00111F34">
              <w:rPr>
                <w:rFonts w:eastAsia="Arial" w:cs="Arial"/>
                <w:snapToGrid/>
                <w:color w:val="auto"/>
                <w:szCs w:val="16"/>
                <w:lang w:eastAsia="en-US"/>
              </w:rPr>
              <w:t>.</w:t>
            </w:r>
          </w:p>
          <w:p w14:paraId="0DE301C7" w14:textId="5230BE96" w:rsidR="00517CB8" w:rsidRPr="00111F34" w:rsidRDefault="00517CB8" w:rsidP="00517CB8">
            <w:pPr>
              <w:snapToGrid w:val="0"/>
              <w:spacing w:before="60"/>
              <w:rPr>
                <w:bCs/>
                <w:sz w:val="16"/>
                <w:szCs w:val="16"/>
              </w:rPr>
            </w:pPr>
            <w:r w:rsidRPr="00111F34">
              <w:rPr>
                <w:bCs/>
                <w:sz w:val="16"/>
                <w:szCs w:val="16"/>
              </w:rPr>
              <w:t xml:space="preserve">Hluková zátěž – referenční cíl 6.1 snižovat expozici hluku prostředky územního plánování – identifikován potenciálně mírně negativní vliv s dopadem do bezprostředního okolí řešených ploch v místech dopravního napojení se synergickým spolupůsobením v důsledku vložení nového zdroje hlukové zátěže do území. Mírně negativní spolupůsobení bylo identifikováno z hlediska vložení nových zdrojů vyvolané dopravy do území s ohledem na navrhované zintenzivnění území, na druhou stranu se jedná o území s výjimečnou dopravní dostupností hromadnou dopravou, a tím i prevenci suburbanizace s jí vyvolanými dopravními vztahy kde spolupůsobí především </w:t>
            </w:r>
            <w:r w:rsidR="00D47D6C" w:rsidRPr="00111F34">
              <w:rPr>
                <w:bCs/>
                <w:sz w:val="16"/>
                <w:szCs w:val="16"/>
              </w:rPr>
              <w:t>dobudování dopravní infrastruktury</w:t>
            </w:r>
            <w:r w:rsidRPr="00111F34">
              <w:rPr>
                <w:bCs/>
                <w:sz w:val="16"/>
                <w:szCs w:val="16"/>
              </w:rPr>
              <w:t>.</w:t>
            </w:r>
            <w:r w:rsidR="004819BE" w:rsidRPr="00111F34">
              <w:rPr>
                <w:bCs/>
                <w:sz w:val="16"/>
                <w:szCs w:val="16"/>
              </w:rPr>
              <w:t xml:space="preserve"> Z hlediska spolupůsobení se změnou územního plánu Z 3827/00 lze očekávat </w:t>
            </w:r>
            <w:r w:rsidR="00F37BFB" w:rsidRPr="00111F34">
              <w:rPr>
                <w:bCs/>
                <w:sz w:val="16"/>
                <w:szCs w:val="16"/>
              </w:rPr>
              <w:t>mírně</w:t>
            </w:r>
            <w:r w:rsidR="004819BE" w:rsidRPr="00111F34">
              <w:rPr>
                <w:bCs/>
                <w:sz w:val="16"/>
                <w:szCs w:val="16"/>
              </w:rPr>
              <w:t xml:space="preserve"> pozitivní synergické spolupůsobení s nadmístním dopadem v důsledku zlepšení dopravní obsluhy území, odlehčení ulice Kamýcká v úseku západně od křižovatky s přivaděčem Rybářka, a to včetně snížení hlukové zátěže. </w:t>
            </w:r>
          </w:p>
          <w:p w14:paraId="19F9AC0E" w14:textId="61274C9B" w:rsidR="00A572E8" w:rsidRPr="00111F34" w:rsidRDefault="00A572E8" w:rsidP="00517CB8">
            <w:pPr>
              <w:snapToGrid w:val="0"/>
              <w:spacing w:before="60"/>
              <w:rPr>
                <w:bCs/>
                <w:sz w:val="16"/>
                <w:szCs w:val="16"/>
              </w:rPr>
            </w:pPr>
            <w:r w:rsidRPr="00111F34">
              <w:rPr>
                <w:bCs/>
                <w:sz w:val="16"/>
                <w:szCs w:val="16"/>
              </w:rPr>
              <w:t>Sídla a urbanizace</w:t>
            </w:r>
            <w:r w:rsidR="0067454A">
              <w:rPr>
                <w:bCs/>
                <w:sz w:val="16"/>
                <w:szCs w:val="16"/>
              </w:rPr>
              <w:t xml:space="preserve"> </w:t>
            </w:r>
            <w:r w:rsidRPr="00111F34">
              <w:rPr>
                <w:bCs/>
                <w:sz w:val="16"/>
                <w:szCs w:val="16"/>
              </w:rPr>
              <w:t>- referenční cíl 7.2 snižovat zatížení dopravní sítě v sídlech zejména tranzitní a nákladní silniční dopravou - Z hlediska kumulativních a synergických vlivů lze uvažovat významně pozitivní spolupůsobení s ostatními uvažovanými záměry v území, a to především v dlouhodobém časovém horizontu, především z hlediska zlepšení dopravní obsluhy území, přerozdělení zátěží směrem na SOKP, zklidnění ulice Kamýcká a vytvoření územních předpokladů pro obsluhu bezemisní veřejnou hromadnou dopravou a záchyt dopravy ze Středočeského kraje. Z toho vyplývá pozitivní spolupůsobení na lokální úrovni z hlediska kvality bydlení.</w:t>
            </w:r>
          </w:p>
          <w:p w14:paraId="72A47E0E" w14:textId="6BE52848" w:rsidR="00517CB8" w:rsidRPr="00111F34" w:rsidRDefault="00517CB8" w:rsidP="00517CB8">
            <w:pPr>
              <w:snapToGrid w:val="0"/>
              <w:spacing w:before="60"/>
              <w:rPr>
                <w:bCs/>
                <w:sz w:val="16"/>
                <w:szCs w:val="16"/>
              </w:rPr>
            </w:pPr>
            <w:r w:rsidRPr="00111F34">
              <w:rPr>
                <w:bCs/>
                <w:sz w:val="16"/>
                <w:szCs w:val="16"/>
              </w:rPr>
              <w:t xml:space="preserve">Krajina – referenční cíl 9.1 chránit krajinný ráz – Mírně </w:t>
            </w:r>
            <w:r w:rsidR="00A572E8" w:rsidRPr="00111F34">
              <w:rPr>
                <w:bCs/>
                <w:sz w:val="16"/>
                <w:szCs w:val="16"/>
              </w:rPr>
              <w:t>negativní až marginální</w:t>
            </w:r>
            <w:r w:rsidRPr="00111F34">
              <w:rPr>
                <w:bCs/>
                <w:sz w:val="16"/>
                <w:szCs w:val="16"/>
              </w:rPr>
              <w:t xml:space="preserve"> spolupůsobení </w:t>
            </w:r>
            <w:r w:rsidR="00A572E8" w:rsidRPr="00111F34">
              <w:rPr>
                <w:bCs/>
                <w:sz w:val="16"/>
                <w:szCs w:val="16"/>
              </w:rPr>
              <w:t xml:space="preserve">s místním dopadem </w:t>
            </w:r>
            <w:r w:rsidRPr="00111F34">
              <w:rPr>
                <w:bCs/>
                <w:sz w:val="16"/>
                <w:szCs w:val="16"/>
              </w:rPr>
              <w:t xml:space="preserve">z hlediska synergického spolupůsobení </w:t>
            </w:r>
            <w:r w:rsidR="00A572E8" w:rsidRPr="00111F34">
              <w:rPr>
                <w:bCs/>
                <w:sz w:val="16"/>
                <w:szCs w:val="16"/>
              </w:rPr>
              <w:t xml:space="preserve">vložení nové dopravní stavby do území ve vizuálním kontaktu s estetickými dominantami území a při spolupůsobení již existujících impaktů v podobě ostatních dopravních staveb. </w:t>
            </w:r>
          </w:p>
          <w:p w14:paraId="1195F2EC" w14:textId="4E87CDC6" w:rsidR="00517CB8" w:rsidRPr="00111F34" w:rsidRDefault="00517CB8" w:rsidP="009B1589">
            <w:pPr>
              <w:snapToGrid w:val="0"/>
              <w:spacing w:before="60"/>
              <w:rPr>
                <w:bCs/>
                <w:sz w:val="16"/>
                <w:szCs w:val="16"/>
              </w:rPr>
            </w:pPr>
            <w:r w:rsidRPr="00111F34">
              <w:rPr>
                <w:bCs/>
                <w:sz w:val="16"/>
                <w:szCs w:val="16"/>
              </w:rPr>
              <w:t xml:space="preserve">Shrnutí: Změna je </w:t>
            </w:r>
            <w:r w:rsidR="009B1589" w:rsidRPr="00111F34">
              <w:rPr>
                <w:bCs/>
                <w:sz w:val="16"/>
                <w:szCs w:val="16"/>
              </w:rPr>
              <w:t xml:space="preserve">převážně </w:t>
            </w:r>
            <w:r w:rsidRPr="00111F34">
              <w:rPr>
                <w:bCs/>
                <w:sz w:val="16"/>
                <w:szCs w:val="16"/>
              </w:rPr>
              <w:t>lokálního charakteru, návrh zakládá předpoklady pro</w:t>
            </w:r>
            <w:r w:rsidR="009B1589" w:rsidRPr="00111F34">
              <w:rPr>
                <w:bCs/>
                <w:sz w:val="16"/>
                <w:szCs w:val="16"/>
              </w:rPr>
              <w:t xml:space="preserve"> zlepšení dopravní obsluhy a</w:t>
            </w:r>
            <w:r w:rsidRPr="00111F34">
              <w:rPr>
                <w:bCs/>
                <w:sz w:val="16"/>
                <w:szCs w:val="16"/>
              </w:rPr>
              <w:t xml:space="preserve"> vytvoření funkční</w:t>
            </w:r>
            <w:r w:rsidR="009B1589" w:rsidRPr="00111F34">
              <w:rPr>
                <w:bCs/>
                <w:sz w:val="16"/>
                <w:szCs w:val="16"/>
              </w:rPr>
              <w:t xml:space="preserve">ch rezidenčních čtvrtí </w:t>
            </w:r>
            <w:r w:rsidRPr="00111F34">
              <w:rPr>
                <w:bCs/>
                <w:sz w:val="16"/>
                <w:szCs w:val="16"/>
              </w:rPr>
              <w:t>s občanskou vybaveností, veřejnými prostranstvími v zeleni. Oblast kumulací je v tomto případě bezprostřední okolí vymezených ploch a vizuálně dotčený krajinný prostor s omezenou viditelností především na krátké vzdálenosti do prostoru okolních ulic, resp. vyvýšenin v závislosti na aktuální zastavěnosti území.</w:t>
            </w:r>
            <w:r w:rsidR="009B1589" w:rsidRPr="00111F34">
              <w:rPr>
                <w:bCs/>
                <w:sz w:val="16"/>
                <w:szCs w:val="16"/>
              </w:rPr>
              <w:t xml:space="preserve"> Zprostředkovaný vliv nadmístního významu v kontextu nadřazené dopravní infrastruktury a vybavení území kapacitní bezemisní VHD a záchytnými plochami pro dopravu </w:t>
            </w:r>
            <w:r w:rsidR="00EC2966" w:rsidRPr="00111F34">
              <w:rPr>
                <w:bCs/>
                <w:sz w:val="16"/>
                <w:szCs w:val="16"/>
              </w:rPr>
              <w:t>z přilehlých regionů.</w:t>
            </w:r>
            <w:r w:rsidR="009B1589" w:rsidRPr="00111F34">
              <w:rPr>
                <w:bCs/>
                <w:sz w:val="16"/>
                <w:szCs w:val="16"/>
              </w:rPr>
              <w:t xml:space="preserve"> </w:t>
            </w:r>
            <w:bookmarkEnd w:id="244"/>
          </w:p>
        </w:tc>
      </w:tr>
      <w:tr w:rsidR="00517CB8" w:rsidRPr="00111F34" w14:paraId="700D4B34" w14:textId="77777777" w:rsidTr="00B34C98">
        <w:tc>
          <w:tcPr>
            <w:tcW w:w="5000" w:type="pct"/>
            <w:gridSpan w:val="15"/>
            <w:tcBorders>
              <w:bottom w:val="single" w:sz="4" w:space="0" w:color="auto"/>
            </w:tcBorders>
            <w:shd w:val="clear" w:color="auto" w:fill="auto"/>
          </w:tcPr>
          <w:p w14:paraId="58E00BC5" w14:textId="6DDA3D29" w:rsidR="00517CB8" w:rsidRDefault="00517CB8" w:rsidP="00517CB8">
            <w:pPr>
              <w:snapToGrid w:val="0"/>
              <w:spacing w:before="60"/>
              <w:rPr>
                <w:sz w:val="16"/>
                <w:szCs w:val="16"/>
              </w:rPr>
            </w:pPr>
            <w:r w:rsidRPr="00111F34">
              <w:rPr>
                <w:b/>
                <w:sz w:val="16"/>
                <w:szCs w:val="16"/>
              </w:rPr>
              <w:t xml:space="preserve">Akceptovatelnost: </w:t>
            </w:r>
            <w:r w:rsidRPr="00111F34">
              <w:rPr>
                <w:sz w:val="16"/>
                <w:szCs w:val="16"/>
              </w:rPr>
              <w:t>Změna je akceptovatelná</w:t>
            </w:r>
            <w:r w:rsidR="00CF6B6D">
              <w:rPr>
                <w:sz w:val="16"/>
                <w:szCs w:val="16"/>
              </w:rPr>
              <w:t xml:space="preserve"> </w:t>
            </w:r>
            <w:r w:rsidR="000E2E2B">
              <w:rPr>
                <w:sz w:val="16"/>
                <w:szCs w:val="16"/>
              </w:rPr>
              <w:t>s následující podmínkou:</w:t>
            </w:r>
          </w:p>
          <w:p w14:paraId="710D15EE" w14:textId="77777777" w:rsidR="000E2E2B" w:rsidRPr="00595E08" w:rsidRDefault="00595E08" w:rsidP="00517CB8">
            <w:pPr>
              <w:snapToGrid w:val="0"/>
              <w:spacing w:before="60"/>
              <w:rPr>
                <w:sz w:val="16"/>
                <w:szCs w:val="16"/>
              </w:rPr>
            </w:pPr>
            <w:r w:rsidRPr="00595E08">
              <w:rPr>
                <w:sz w:val="16"/>
                <w:szCs w:val="16"/>
              </w:rPr>
              <w:t xml:space="preserve">► Plochu OB-D ve východní části Nového Sedlce mezi ulicí Kamýcká a novou tramvajovou tratí převést např. do funkce smíšených ploch, která lépe odpovídá stávající i budoucí zátěži plochy z hlediska hluku. </w:t>
            </w:r>
          </w:p>
          <w:p w14:paraId="2D56A539" w14:textId="7D31BB21" w:rsidR="00595E08" w:rsidRPr="00111F34" w:rsidRDefault="00595E08" w:rsidP="00517CB8">
            <w:pPr>
              <w:snapToGrid w:val="0"/>
              <w:spacing w:before="60"/>
              <w:rPr>
                <w:sz w:val="16"/>
                <w:szCs w:val="16"/>
              </w:rPr>
            </w:pPr>
            <w:r w:rsidRPr="00595E08">
              <w:rPr>
                <w:sz w:val="16"/>
                <w:szCs w:val="16"/>
              </w:rPr>
              <w:t>Podmínku je třeba promítnout do výrokové části posuzované změny územního plánu v podobě změny funkčního využití plochy na funkci, která odpovídá očekávaným zátěžím z hlediska hluku.</w:t>
            </w:r>
          </w:p>
        </w:tc>
      </w:tr>
      <w:tr w:rsidR="00517CB8" w:rsidRPr="007E2FB4" w14:paraId="3C860B5A" w14:textId="77777777" w:rsidTr="00B34C98">
        <w:tc>
          <w:tcPr>
            <w:tcW w:w="5000" w:type="pct"/>
            <w:gridSpan w:val="15"/>
            <w:shd w:val="clear" w:color="auto" w:fill="auto"/>
          </w:tcPr>
          <w:p w14:paraId="490AFF61" w14:textId="64D44D38" w:rsidR="00517CB8" w:rsidRPr="00111F34" w:rsidRDefault="00517CB8" w:rsidP="00517CB8">
            <w:pPr>
              <w:spacing w:before="60"/>
              <w:rPr>
                <w:b/>
                <w:sz w:val="16"/>
                <w:szCs w:val="16"/>
              </w:rPr>
            </w:pPr>
            <w:r w:rsidRPr="00111F34">
              <w:rPr>
                <w:b/>
                <w:sz w:val="16"/>
                <w:szCs w:val="16"/>
              </w:rPr>
              <w:t xml:space="preserve">Opatření pro předcházení, snížení nebo kompenzaci závažných negativních vlivů na životní prostředí včetně vlivů kumulativních, resp. synergických (podrobněji viz kapitoly A.VIII. a A.XI: </w:t>
            </w:r>
            <w:bookmarkStart w:id="245" w:name="_Hlk100562911"/>
          </w:p>
          <w:p w14:paraId="1857A5B5" w14:textId="1882A695" w:rsidR="00D360CD" w:rsidRPr="00111F34" w:rsidRDefault="00D360CD" w:rsidP="00517CB8">
            <w:pPr>
              <w:spacing w:before="60"/>
              <w:rPr>
                <w:bCs/>
                <w:sz w:val="16"/>
                <w:szCs w:val="16"/>
              </w:rPr>
            </w:pPr>
            <w:r w:rsidRPr="00111F34">
              <w:rPr>
                <w:bCs/>
                <w:sz w:val="16"/>
                <w:szCs w:val="16"/>
              </w:rPr>
              <w:t>Fauna, flóra, biodiverzita, ochrana přírody a krajiny</w:t>
            </w:r>
          </w:p>
          <w:p w14:paraId="1F7E8592" w14:textId="6A7E2CE9" w:rsidR="00D360CD" w:rsidRPr="00111F34" w:rsidRDefault="00D360CD" w:rsidP="00932BEC">
            <w:pPr>
              <w:pStyle w:val="Odstavecseseznamem"/>
              <w:numPr>
                <w:ilvl w:val="0"/>
                <w:numId w:val="55"/>
              </w:numPr>
              <w:spacing w:before="60"/>
              <w:rPr>
                <w:bCs/>
                <w:sz w:val="16"/>
                <w:szCs w:val="16"/>
              </w:rPr>
            </w:pPr>
            <w:r w:rsidRPr="00111F34">
              <w:rPr>
                <w:bCs/>
                <w:sz w:val="16"/>
                <w:szCs w:val="16"/>
              </w:rPr>
              <w:t xml:space="preserve">V případě kácení vzrostlé zeleně provést adekvátní náhradní výsadbu. V navazujících řízeních dbát na maximální zastínění nově vznikajících betonových povrchů a realizaci vzrostlé zeleně (stromového patra) v uličních prostranstvích, vnitroblocích a plochách ZMK a ZP. (Jedná se o doporučené opatření z hlediska identifikovaného mírně negativního vlivu vůči stávající zeleni v území, které nelze uplatnit přímo na úrovni výrokové části posuzované ÚPD, částečně vyplývá z legislativních požadavků v oblasti ochrany ovzduší – náhradní výsadba). </w:t>
            </w:r>
          </w:p>
          <w:p w14:paraId="367FF330" w14:textId="254E3485" w:rsidR="00D360CD" w:rsidRPr="00111F34" w:rsidRDefault="00D360CD" w:rsidP="00932BEC">
            <w:pPr>
              <w:pStyle w:val="Odstavecseseznamem"/>
              <w:numPr>
                <w:ilvl w:val="0"/>
                <w:numId w:val="55"/>
              </w:numPr>
              <w:spacing w:before="60"/>
              <w:rPr>
                <w:bCs/>
                <w:sz w:val="16"/>
                <w:szCs w:val="16"/>
              </w:rPr>
            </w:pPr>
            <w:r w:rsidRPr="00111F34">
              <w:rPr>
                <w:bCs/>
                <w:sz w:val="16"/>
                <w:szCs w:val="16"/>
              </w:rPr>
              <w:t>Provést managementová a organizační opatření pro ochranu horní partie Podbabských skal před zvýšenou návštěvností. Koordinovat stavební činnost v okolí s příslušnými orgány ochrany přírody. (Jedná se o opatření mimo podrobnost územního plánu, která je možné uplatnit v rámci aktualizace plánu péče o EVL Kaňon Vltavy u Sedlce. a PP Podbabské Skály</w:t>
            </w:r>
            <w:r w:rsidR="00EC2966" w:rsidRPr="00111F34">
              <w:rPr>
                <w:bCs/>
                <w:sz w:val="16"/>
                <w:szCs w:val="16"/>
              </w:rPr>
              <w:t>).</w:t>
            </w:r>
          </w:p>
          <w:p w14:paraId="42CFB301" w14:textId="541B5F46" w:rsidR="00517CB8" w:rsidRPr="00111F34" w:rsidRDefault="00517CB8" w:rsidP="00517CB8">
            <w:pPr>
              <w:spacing w:before="60"/>
              <w:rPr>
                <w:rFonts w:cs="Arial"/>
                <w:sz w:val="16"/>
                <w:szCs w:val="16"/>
                <w:lang w:eastAsia="cs-CZ"/>
              </w:rPr>
            </w:pPr>
            <w:bookmarkStart w:id="246" w:name="_Hlk103851271"/>
            <w:r w:rsidRPr="00111F34">
              <w:rPr>
                <w:rFonts w:cs="Arial"/>
                <w:sz w:val="16"/>
                <w:szCs w:val="16"/>
                <w:lang w:eastAsia="cs-CZ"/>
              </w:rPr>
              <w:t>Hluková zátěž</w:t>
            </w:r>
          </w:p>
          <w:p w14:paraId="27BDA43A" w14:textId="08F33389" w:rsidR="00517CB8" w:rsidRPr="00111F34" w:rsidRDefault="00517CB8" w:rsidP="00932BEC">
            <w:pPr>
              <w:pStyle w:val="Odstavecseseznamem"/>
              <w:numPr>
                <w:ilvl w:val="0"/>
                <w:numId w:val="56"/>
              </w:numPr>
              <w:spacing w:before="60"/>
              <w:rPr>
                <w:rFonts w:cs="Arial"/>
                <w:sz w:val="16"/>
                <w:szCs w:val="16"/>
                <w:lang w:eastAsia="cs-CZ"/>
              </w:rPr>
            </w:pPr>
            <w:r w:rsidRPr="00111F34">
              <w:rPr>
                <w:rFonts w:cs="Arial"/>
                <w:sz w:val="16"/>
                <w:szCs w:val="16"/>
                <w:lang w:eastAsia="cs-CZ"/>
              </w:rPr>
              <w:t>Před umístěním stavby do území v další fázi projektové přípravy stavby prokázat, že vlivem realizace záměr</w:t>
            </w:r>
            <w:r w:rsidR="00EC2966" w:rsidRPr="00111F34">
              <w:rPr>
                <w:rFonts w:cs="Arial"/>
                <w:sz w:val="16"/>
                <w:szCs w:val="16"/>
                <w:lang w:eastAsia="cs-CZ"/>
              </w:rPr>
              <w:t>ů</w:t>
            </w:r>
            <w:r w:rsidRPr="00111F34">
              <w:rPr>
                <w:rFonts w:cs="Arial"/>
                <w:sz w:val="16"/>
                <w:szCs w:val="16"/>
                <w:lang w:eastAsia="cs-CZ"/>
              </w:rPr>
              <w:t>, kter</w:t>
            </w:r>
            <w:r w:rsidR="00EC2966" w:rsidRPr="00111F34">
              <w:rPr>
                <w:rFonts w:cs="Arial"/>
                <w:sz w:val="16"/>
                <w:szCs w:val="16"/>
                <w:lang w:eastAsia="cs-CZ"/>
              </w:rPr>
              <w:t>ým</w:t>
            </w:r>
            <w:r w:rsidRPr="00111F34">
              <w:rPr>
                <w:rFonts w:cs="Arial"/>
                <w:sz w:val="16"/>
                <w:szCs w:val="16"/>
                <w:lang w:eastAsia="cs-CZ"/>
              </w:rPr>
              <w:t xml:space="preserve"> dává posuzovaná koncepce rámec, včetně souvisejících staveb a přeložek při zohlednění spolupůsobení stávajících i uvažovaných záměrů v dopravně souvisejícím území nedojde k novým překročením hygienických limitů z hlediska hluku u nejbližších hlukově chráněných objektů, opatření je třeba uplatnit v navazujících řízeních</w:t>
            </w:r>
            <w:bookmarkEnd w:id="245"/>
            <w:bookmarkEnd w:id="246"/>
            <w:r w:rsidRPr="00111F34">
              <w:rPr>
                <w:rFonts w:cs="Arial"/>
                <w:sz w:val="16"/>
                <w:szCs w:val="16"/>
                <w:lang w:eastAsia="cs-CZ"/>
              </w:rPr>
              <w:t>, jako požadavek na rozhodování v území.</w:t>
            </w:r>
          </w:p>
          <w:p w14:paraId="2AC4C3A5" w14:textId="25DC72C7" w:rsidR="00932BEC" w:rsidRPr="00111F34" w:rsidRDefault="00932BEC" w:rsidP="00932BEC">
            <w:pPr>
              <w:pStyle w:val="Odstavecseseznamem"/>
              <w:numPr>
                <w:ilvl w:val="0"/>
                <w:numId w:val="56"/>
              </w:numPr>
              <w:spacing w:before="60"/>
              <w:rPr>
                <w:rFonts w:cs="Arial"/>
                <w:sz w:val="16"/>
                <w:szCs w:val="16"/>
                <w:lang w:eastAsia="cs-CZ"/>
              </w:rPr>
            </w:pPr>
            <w:r w:rsidRPr="00111F34">
              <w:rPr>
                <w:rFonts w:cs="Arial"/>
                <w:sz w:val="16"/>
                <w:szCs w:val="16"/>
                <w:lang w:eastAsia="cs-CZ"/>
              </w:rPr>
              <w:t xml:space="preserve">Při umisťování hlukově chráněných prostor s hlukově chráněnými fasádami orientovanými k nové tramvajové trati prokázat v navazujících řízeních (stavební řízení) dodržení hlukových limitů. </w:t>
            </w:r>
          </w:p>
          <w:p w14:paraId="578613F9" w14:textId="53559BD2" w:rsidR="00932BEC" w:rsidRPr="00E02FAB" w:rsidRDefault="00932BEC" w:rsidP="00932BEC">
            <w:pPr>
              <w:pStyle w:val="Odstavecseseznamem"/>
              <w:numPr>
                <w:ilvl w:val="0"/>
                <w:numId w:val="56"/>
              </w:numPr>
              <w:spacing w:before="60"/>
              <w:rPr>
                <w:rFonts w:cs="Arial"/>
                <w:sz w:val="16"/>
                <w:szCs w:val="16"/>
                <w:lang w:eastAsia="cs-CZ"/>
              </w:rPr>
            </w:pPr>
            <w:r w:rsidRPr="00E02FAB">
              <w:rPr>
                <w:rFonts w:cs="Arial"/>
                <w:sz w:val="16"/>
                <w:szCs w:val="16"/>
                <w:lang w:eastAsia="cs-CZ"/>
              </w:rPr>
              <w:lastRenderedPageBreak/>
              <w:t xml:space="preserve">Plochu OB-D ve východní části Nového Sedlce mezi ulicí Kamýcká a novou tramvajovou tratí navrhujeme převést </w:t>
            </w:r>
            <w:r w:rsidR="00E02FAB" w:rsidRPr="00E02FAB">
              <w:rPr>
                <w:rFonts w:cs="Arial"/>
                <w:sz w:val="16"/>
                <w:szCs w:val="16"/>
                <w:lang w:eastAsia="cs-CZ"/>
              </w:rPr>
              <w:t xml:space="preserve">např. </w:t>
            </w:r>
            <w:r w:rsidRPr="00E02FAB">
              <w:rPr>
                <w:rFonts w:cs="Arial"/>
                <w:sz w:val="16"/>
                <w:szCs w:val="16"/>
                <w:lang w:eastAsia="cs-CZ"/>
              </w:rPr>
              <w:t>do funkce smíšených ploch, která lépe odpovídá stávající i budoucí zátěži plochy z hlediska hluku. (Jedná se o opatření z hlediska identifikovaného mírně negativního vlivu vůči hlukové zátěži včetně synergických vlivů, které je třeba zapracovat do výrokové části posuzované změny územního plánu</w:t>
            </w:r>
            <w:r w:rsidR="00267A52" w:rsidRPr="00E02FAB">
              <w:rPr>
                <w:rFonts w:cs="Arial"/>
                <w:sz w:val="16"/>
                <w:szCs w:val="16"/>
                <w:lang w:eastAsia="cs-CZ"/>
              </w:rPr>
              <w:t>.</w:t>
            </w:r>
            <w:r w:rsidRPr="00E02FAB">
              <w:rPr>
                <w:rFonts w:cs="Arial"/>
                <w:sz w:val="16"/>
                <w:szCs w:val="16"/>
                <w:lang w:eastAsia="cs-CZ"/>
              </w:rPr>
              <w:t xml:space="preserve"> </w:t>
            </w:r>
            <w:r w:rsidR="00267A52" w:rsidRPr="00E02FAB">
              <w:rPr>
                <w:rFonts w:cs="Arial"/>
                <w:sz w:val="16"/>
                <w:szCs w:val="16"/>
                <w:lang w:eastAsia="cs-CZ"/>
              </w:rPr>
              <w:t>V</w:t>
            </w:r>
            <w:r w:rsidRPr="00E02FAB">
              <w:rPr>
                <w:rFonts w:cs="Arial"/>
                <w:sz w:val="16"/>
                <w:szCs w:val="16"/>
                <w:lang w:eastAsia="cs-CZ"/>
              </w:rPr>
              <w:t>yužití plochy jako čisté bydlení odporuje zátěžím, které v ploše v současnosti jsou, a i v budoucnosti budou, z hlediska veřejného zdraví</w:t>
            </w:r>
            <w:r w:rsidR="00E02FAB" w:rsidRPr="00E02FAB">
              <w:rPr>
                <w:rFonts w:cs="Arial"/>
                <w:sz w:val="16"/>
                <w:szCs w:val="16"/>
                <w:lang w:eastAsia="cs-CZ"/>
              </w:rPr>
              <w:t xml:space="preserve">, zároveň by plocha </w:t>
            </w:r>
            <w:r w:rsidR="00E02FAB">
              <w:rPr>
                <w:rFonts w:cs="Arial"/>
                <w:sz w:val="16"/>
                <w:szCs w:val="16"/>
                <w:lang w:eastAsia="cs-CZ"/>
              </w:rPr>
              <w:t xml:space="preserve">potenciálně příliš </w:t>
            </w:r>
            <w:r w:rsidR="00E02FAB" w:rsidRPr="00E02FAB">
              <w:rPr>
                <w:rFonts w:cs="Arial"/>
                <w:sz w:val="16"/>
                <w:szCs w:val="16"/>
                <w:lang w:eastAsia="cs-CZ"/>
              </w:rPr>
              <w:t>determinovala či znemožnila realizaci tramvajové trati v požadované poloze.</w:t>
            </w:r>
          </w:p>
          <w:p w14:paraId="1C2BB4CF" w14:textId="33C707D6" w:rsidR="00517CB8" w:rsidRPr="00111F34" w:rsidRDefault="00517CB8" w:rsidP="00517CB8">
            <w:pPr>
              <w:spacing w:before="60"/>
              <w:rPr>
                <w:rFonts w:cs="Arial"/>
                <w:sz w:val="16"/>
                <w:szCs w:val="16"/>
                <w:lang w:eastAsia="cs-CZ"/>
              </w:rPr>
            </w:pPr>
            <w:r w:rsidRPr="00111F34">
              <w:rPr>
                <w:rFonts w:cs="Arial"/>
                <w:sz w:val="16"/>
                <w:szCs w:val="16"/>
                <w:lang w:eastAsia="cs-CZ"/>
              </w:rPr>
              <w:t>Horninové prostředí</w:t>
            </w:r>
          </w:p>
          <w:p w14:paraId="7584705C" w14:textId="68475B3A" w:rsidR="00517CB8" w:rsidRPr="00111F34" w:rsidRDefault="00517CB8" w:rsidP="00932BEC">
            <w:pPr>
              <w:pStyle w:val="Odstavecseseznamem"/>
              <w:numPr>
                <w:ilvl w:val="0"/>
                <w:numId w:val="57"/>
              </w:numPr>
              <w:spacing w:before="60"/>
              <w:rPr>
                <w:rFonts w:cs="Arial"/>
                <w:sz w:val="16"/>
                <w:szCs w:val="16"/>
                <w:lang w:eastAsia="cs-CZ"/>
              </w:rPr>
            </w:pPr>
            <w:r w:rsidRPr="00111F34">
              <w:rPr>
                <w:rFonts w:cs="Arial"/>
                <w:sz w:val="16"/>
                <w:szCs w:val="16"/>
                <w:lang w:eastAsia="cs-CZ"/>
              </w:rPr>
              <w:t>V navazujících řízeních je v případě prokázání kontaminace</w:t>
            </w:r>
            <w:r w:rsidR="00EC2966" w:rsidRPr="00111F34">
              <w:rPr>
                <w:rFonts w:cs="Arial"/>
                <w:sz w:val="16"/>
                <w:szCs w:val="16"/>
                <w:lang w:eastAsia="cs-CZ"/>
              </w:rPr>
              <w:t>,</w:t>
            </w:r>
            <w:r w:rsidR="002F4137" w:rsidRPr="00111F34">
              <w:rPr>
                <w:rFonts w:cs="Arial"/>
                <w:sz w:val="16"/>
                <w:szCs w:val="16"/>
                <w:lang w:eastAsia="cs-CZ"/>
              </w:rPr>
              <w:t xml:space="preserve"> resp. nestabilního podloží</w:t>
            </w:r>
            <w:r w:rsidRPr="00111F34">
              <w:rPr>
                <w:rFonts w:cs="Arial"/>
                <w:sz w:val="16"/>
                <w:szCs w:val="16"/>
                <w:lang w:eastAsia="cs-CZ"/>
              </w:rPr>
              <w:t xml:space="preserve"> (potřeba zpracovat podrobný hydrogeologický</w:t>
            </w:r>
            <w:r w:rsidR="002F4137" w:rsidRPr="00111F34">
              <w:rPr>
                <w:rFonts w:cs="Arial"/>
                <w:sz w:val="16"/>
                <w:szCs w:val="16"/>
                <w:lang w:eastAsia="cs-CZ"/>
              </w:rPr>
              <w:t xml:space="preserve">, inženýrskogeologický </w:t>
            </w:r>
            <w:r w:rsidRPr="00111F34">
              <w:rPr>
                <w:rFonts w:cs="Arial"/>
                <w:sz w:val="16"/>
                <w:szCs w:val="16"/>
                <w:lang w:eastAsia="cs-CZ"/>
              </w:rPr>
              <w:t>a sanační průzkum) nutné přijmout opatření pro zamezení negativního ovlivnění budoucích staveb</w:t>
            </w:r>
            <w:r w:rsidR="00EC2966" w:rsidRPr="00111F34">
              <w:rPr>
                <w:rFonts w:cs="Arial"/>
                <w:sz w:val="16"/>
                <w:szCs w:val="16"/>
                <w:lang w:eastAsia="cs-CZ"/>
              </w:rPr>
              <w:t xml:space="preserve"> určených pro bydlení nebo veřejnou vybavenost</w:t>
            </w:r>
            <w:r w:rsidRPr="00111F34">
              <w:rPr>
                <w:rFonts w:cs="Arial"/>
                <w:sz w:val="16"/>
                <w:szCs w:val="16"/>
                <w:lang w:eastAsia="cs-CZ"/>
              </w:rPr>
              <w:t>, resp. jejich uživatelů např. pomocí odtěžení kontaminovaných zemin a jejich likvidace v souladu se zákonem o odpadech.</w:t>
            </w:r>
          </w:p>
          <w:p w14:paraId="67CFAF6A" w14:textId="5F686B39" w:rsidR="00517CB8" w:rsidRPr="00111F34" w:rsidRDefault="00517CB8" w:rsidP="00517CB8">
            <w:pPr>
              <w:spacing w:before="60"/>
              <w:rPr>
                <w:rFonts w:cs="Arial"/>
                <w:sz w:val="16"/>
                <w:szCs w:val="16"/>
                <w:lang w:eastAsia="cs-CZ"/>
              </w:rPr>
            </w:pPr>
            <w:r w:rsidRPr="00111F34">
              <w:rPr>
                <w:rFonts w:cs="Arial"/>
                <w:sz w:val="16"/>
                <w:szCs w:val="16"/>
                <w:lang w:eastAsia="cs-CZ"/>
              </w:rPr>
              <w:t>Voda</w:t>
            </w:r>
          </w:p>
          <w:p w14:paraId="61AFB1EA" w14:textId="42771E2D" w:rsidR="00EC2966" w:rsidRPr="00111F34" w:rsidRDefault="00517CB8" w:rsidP="00932BEC">
            <w:pPr>
              <w:pStyle w:val="Odstavecseseznamem"/>
              <w:numPr>
                <w:ilvl w:val="0"/>
                <w:numId w:val="57"/>
              </w:numPr>
              <w:spacing w:before="60"/>
              <w:rPr>
                <w:bCs/>
                <w:sz w:val="16"/>
                <w:szCs w:val="16"/>
              </w:rPr>
            </w:pPr>
            <w:r w:rsidRPr="00111F34">
              <w:rPr>
                <w:rFonts w:cs="Arial"/>
                <w:sz w:val="16"/>
                <w:szCs w:val="16"/>
                <w:lang w:eastAsia="cs-CZ"/>
              </w:rPr>
              <w:t xml:space="preserve">V navazujících řízeních minimalizovat podíl zastavěných a zpevněných povrchů, realizovat modrozelenou infrastrukturu. </w:t>
            </w:r>
            <w:r w:rsidR="00EC2966" w:rsidRPr="00111F34">
              <w:rPr>
                <w:bCs/>
                <w:sz w:val="16"/>
                <w:szCs w:val="16"/>
              </w:rPr>
              <w:t xml:space="preserve">(Jedná se o doporučené opatření z hlediska identifikovaného mírně negativního vlivu vůči retenční schopnosti území, které nelze uplatnit přímo na úrovni výrokové části posuzované ÚPD, částečně vyplývá z legislativních požadavků na odkanalizování území – řešení hospodaření s dešťovými vodami na pozemcích). </w:t>
            </w:r>
          </w:p>
          <w:p w14:paraId="56BF77AA" w14:textId="77777777" w:rsidR="00517CB8" w:rsidRPr="00111F34" w:rsidRDefault="00517CB8" w:rsidP="00517CB8">
            <w:pPr>
              <w:spacing w:before="60"/>
              <w:rPr>
                <w:rFonts w:cs="Arial"/>
                <w:sz w:val="16"/>
                <w:szCs w:val="16"/>
                <w:lang w:eastAsia="cs-CZ"/>
              </w:rPr>
            </w:pPr>
            <w:r w:rsidRPr="00111F34">
              <w:rPr>
                <w:rFonts w:cs="Arial"/>
                <w:sz w:val="16"/>
                <w:szCs w:val="16"/>
                <w:lang w:eastAsia="cs-CZ"/>
              </w:rPr>
              <w:t>Klima:</w:t>
            </w:r>
          </w:p>
          <w:p w14:paraId="4AAB405E" w14:textId="77777777" w:rsidR="00EC2966" w:rsidRPr="00111F34" w:rsidRDefault="00517CB8" w:rsidP="00932BEC">
            <w:pPr>
              <w:pStyle w:val="Odstavecseseznamem"/>
              <w:numPr>
                <w:ilvl w:val="0"/>
                <w:numId w:val="57"/>
              </w:numPr>
              <w:spacing w:before="60"/>
              <w:rPr>
                <w:bCs/>
                <w:sz w:val="16"/>
                <w:szCs w:val="16"/>
              </w:rPr>
            </w:pPr>
            <w:r w:rsidRPr="00111F34">
              <w:rPr>
                <w:rFonts w:cs="Arial"/>
                <w:sz w:val="16"/>
                <w:szCs w:val="16"/>
                <w:lang w:eastAsia="cs-CZ"/>
              </w:rPr>
              <w:t xml:space="preserve">V navazujících řízeních je třeba dbát na maximální zastínění nově vznikajících betonových povrchů a realizaci vzrostlé zeleně v uličních prostranstvích, vnitroblocích a plochách ZMK a ZP. </w:t>
            </w:r>
            <w:r w:rsidR="00EC2966" w:rsidRPr="00111F34">
              <w:rPr>
                <w:rFonts w:cs="Arial"/>
                <w:sz w:val="16"/>
                <w:szCs w:val="16"/>
                <w:lang w:eastAsia="cs-CZ"/>
              </w:rPr>
              <w:t xml:space="preserve"> </w:t>
            </w:r>
            <w:r w:rsidR="00EC2966" w:rsidRPr="00111F34">
              <w:rPr>
                <w:bCs/>
                <w:sz w:val="16"/>
                <w:szCs w:val="16"/>
              </w:rPr>
              <w:t xml:space="preserve">(Jedná se o doporučené opatření z hlediska identifikovaného mírně negativního vlivu vůči stávající zeleni v území, které nelze uplatnit přímo na úrovni výrokové části posuzované ÚPD, částečně vyplývá z legislativních požadavků v oblasti ochrany ovzduší – náhradní výsadba). </w:t>
            </w:r>
          </w:p>
          <w:p w14:paraId="4B18837D" w14:textId="77777777" w:rsidR="002F4137" w:rsidRPr="00111F34" w:rsidRDefault="002F4137" w:rsidP="00517CB8">
            <w:pPr>
              <w:spacing w:before="60"/>
              <w:rPr>
                <w:rFonts w:cs="Arial"/>
                <w:sz w:val="16"/>
                <w:szCs w:val="16"/>
                <w:lang w:eastAsia="cs-CZ"/>
              </w:rPr>
            </w:pPr>
            <w:r w:rsidRPr="00111F34">
              <w:rPr>
                <w:rFonts w:cs="Arial"/>
                <w:sz w:val="16"/>
                <w:szCs w:val="16"/>
                <w:lang w:eastAsia="cs-CZ"/>
              </w:rPr>
              <w:t>Nemovité kulturní památky</w:t>
            </w:r>
          </w:p>
          <w:p w14:paraId="1CD5D6F1" w14:textId="56E9D3E5" w:rsidR="002F4137" w:rsidRPr="00111F34" w:rsidRDefault="002F4137" w:rsidP="00932BEC">
            <w:pPr>
              <w:pStyle w:val="Odstavecseseznamem"/>
              <w:numPr>
                <w:ilvl w:val="0"/>
                <w:numId w:val="57"/>
              </w:numPr>
              <w:spacing w:before="60"/>
              <w:rPr>
                <w:rFonts w:cs="Arial"/>
                <w:sz w:val="16"/>
                <w:szCs w:val="16"/>
                <w:lang w:eastAsia="cs-CZ"/>
              </w:rPr>
            </w:pPr>
            <w:r w:rsidRPr="00111F34">
              <w:rPr>
                <w:rFonts w:cs="Arial"/>
                <w:sz w:val="16"/>
                <w:szCs w:val="16"/>
                <w:lang w:eastAsia="cs-CZ"/>
              </w:rPr>
              <w:t>Při umisťování stavby nové tramvajové trati do území v oblasti železničního viaduktu v ulici V Podbabě je třeba navrhnout takové technické řešení stavby, aby byl jednak respektován vlastní železniční viadukt, ale i jeho vizuální působení v území.</w:t>
            </w:r>
          </w:p>
          <w:p w14:paraId="4743AAD4" w14:textId="77777777" w:rsidR="002F4137" w:rsidRPr="00111F34" w:rsidRDefault="002F4137" w:rsidP="00517CB8">
            <w:pPr>
              <w:spacing w:before="60"/>
              <w:rPr>
                <w:rFonts w:cs="Arial"/>
                <w:sz w:val="16"/>
                <w:szCs w:val="16"/>
                <w:lang w:eastAsia="cs-CZ"/>
              </w:rPr>
            </w:pPr>
            <w:r w:rsidRPr="00111F34">
              <w:rPr>
                <w:rFonts w:cs="Arial"/>
                <w:sz w:val="16"/>
                <w:szCs w:val="16"/>
                <w:lang w:eastAsia="cs-CZ"/>
              </w:rPr>
              <w:t>Krajinný ráz</w:t>
            </w:r>
          </w:p>
          <w:p w14:paraId="45F3FEE2" w14:textId="7D7E6A5B" w:rsidR="002F4137" w:rsidRPr="00111F34" w:rsidRDefault="002F4137" w:rsidP="00932BEC">
            <w:pPr>
              <w:pStyle w:val="Odstavecseseznamem"/>
              <w:numPr>
                <w:ilvl w:val="0"/>
                <w:numId w:val="57"/>
              </w:numPr>
              <w:spacing w:before="60"/>
              <w:rPr>
                <w:rFonts w:cs="Arial"/>
                <w:sz w:val="16"/>
                <w:szCs w:val="16"/>
                <w:lang w:eastAsia="cs-CZ"/>
              </w:rPr>
            </w:pPr>
            <w:r w:rsidRPr="00111F34">
              <w:rPr>
                <w:rFonts w:cs="Arial"/>
                <w:sz w:val="16"/>
                <w:szCs w:val="16"/>
                <w:lang w:eastAsia="cs-CZ"/>
              </w:rPr>
              <w:t>Při umisťování stavby nové tramvajové trati do území v prostoru východního průčelí skalních výchozů Baba a Podbabské skály je třeba zajisti hodnocení vlivu dle § 12 zákona č. 114/1992 Sb., o ochraně přírody a krajiny, a přijmout taková opatření, aby nedošlo k negativnímu ovlivnění krajinného rázu. Opatření vyplývá z legislativy, mimo podrobnost územního plánu.</w:t>
            </w:r>
          </w:p>
        </w:tc>
      </w:tr>
      <w:tr w:rsidR="00517CB8" w:rsidRPr="00111F34" w14:paraId="3633D15F" w14:textId="77777777" w:rsidTr="00B34C98">
        <w:tc>
          <w:tcPr>
            <w:tcW w:w="5000" w:type="pct"/>
            <w:gridSpan w:val="15"/>
            <w:shd w:val="clear" w:color="auto" w:fill="auto"/>
          </w:tcPr>
          <w:p w14:paraId="7D6E6112" w14:textId="77777777" w:rsidR="00517CB8" w:rsidRPr="00111F34" w:rsidRDefault="00517CB8" w:rsidP="00517CB8">
            <w:pPr>
              <w:spacing w:before="60"/>
              <w:rPr>
                <w:b/>
                <w:sz w:val="16"/>
                <w:szCs w:val="16"/>
              </w:rPr>
            </w:pPr>
            <w:r w:rsidRPr="00111F34">
              <w:rPr>
                <w:b/>
                <w:sz w:val="16"/>
                <w:szCs w:val="16"/>
              </w:rPr>
              <w:t xml:space="preserve">Návrh monitorovacích ukazatelů: </w:t>
            </w:r>
          </w:p>
          <w:p w14:paraId="589AAA82" w14:textId="77777777" w:rsidR="003144A6" w:rsidRPr="00111F34" w:rsidRDefault="003144A6" w:rsidP="003144A6">
            <w:pPr>
              <w:numPr>
                <w:ilvl w:val="0"/>
                <w:numId w:val="37"/>
              </w:numPr>
              <w:ind w:left="344" w:hanging="284"/>
              <w:contextualSpacing/>
              <w:rPr>
                <w:sz w:val="16"/>
                <w:szCs w:val="16"/>
              </w:rPr>
            </w:pPr>
            <w:r w:rsidRPr="00111F34">
              <w:rPr>
                <w:sz w:val="16"/>
                <w:szCs w:val="16"/>
              </w:rPr>
              <w:t>Rozloha prvků ÚSES, Plocha v ha data Hlavního města Prahy – změna oproti předchozí aktualizaci ÚAP, sledování v rámci ÚAP, aktualizace 1x za 2 roky</w:t>
            </w:r>
          </w:p>
          <w:p w14:paraId="0E8EE687" w14:textId="7FF60281" w:rsidR="00517CB8" w:rsidRPr="00111F34" w:rsidRDefault="00517CB8" w:rsidP="00517CB8">
            <w:pPr>
              <w:pStyle w:val="Odstavecseseznamem"/>
              <w:numPr>
                <w:ilvl w:val="0"/>
                <w:numId w:val="37"/>
              </w:numPr>
              <w:spacing w:before="0"/>
              <w:ind w:left="347" w:hanging="284"/>
              <w:rPr>
                <w:sz w:val="16"/>
                <w:szCs w:val="16"/>
              </w:rPr>
            </w:pPr>
            <w:r w:rsidRPr="00111F34">
              <w:rPr>
                <w:sz w:val="16"/>
                <w:szCs w:val="16"/>
              </w:rPr>
              <w:t>Počet trvale bydlících obyvatel žijících v oblastech s překročenými limity nočního hluku, Počet obyvatel, data SZÚ, sledování v rámci Strategického hlukového mapování</w:t>
            </w:r>
          </w:p>
          <w:p w14:paraId="1B2E8D9B" w14:textId="77777777" w:rsidR="00517CB8" w:rsidRPr="00111F34" w:rsidRDefault="00517CB8" w:rsidP="00517CB8">
            <w:pPr>
              <w:pStyle w:val="Odstavecseseznamem"/>
              <w:numPr>
                <w:ilvl w:val="0"/>
                <w:numId w:val="37"/>
              </w:numPr>
              <w:spacing w:before="0"/>
              <w:ind w:left="347" w:hanging="284"/>
              <w:rPr>
                <w:sz w:val="16"/>
                <w:szCs w:val="16"/>
              </w:rPr>
            </w:pPr>
            <w:r w:rsidRPr="00111F34">
              <w:rPr>
                <w:sz w:val="16"/>
                <w:szCs w:val="16"/>
              </w:rPr>
              <w:t>Podíl ploch zeleně z celkové plochy, Podíl v %, data Hlavního města Prahy, sledování v rámci ÚAP, aktualizace 1x za 2 roky</w:t>
            </w:r>
          </w:p>
          <w:p w14:paraId="6A87F15E" w14:textId="58B4AA6F" w:rsidR="00517CB8" w:rsidRPr="00111F34" w:rsidRDefault="00517CB8" w:rsidP="00517CB8">
            <w:pPr>
              <w:pStyle w:val="Odstavecseseznamem"/>
              <w:numPr>
                <w:ilvl w:val="0"/>
                <w:numId w:val="37"/>
              </w:numPr>
              <w:spacing w:before="0"/>
              <w:ind w:left="347" w:hanging="284"/>
              <w:rPr>
                <w:sz w:val="16"/>
                <w:szCs w:val="16"/>
              </w:rPr>
            </w:pPr>
            <w:r w:rsidRPr="00111F34">
              <w:rPr>
                <w:sz w:val="16"/>
                <w:szCs w:val="16"/>
              </w:rPr>
              <w:t>Nárůst výměry nových zastavitelných ploch, Plocha v ha data Hlavního města Prahy, sledování v rámci ÚAP, aktualizace 1x za 2 roky</w:t>
            </w:r>
          </w:p>
          <w:p w14:paraId="58DC0EBF" w14:textId="77777777" w:rsidR="00517CB8" w:rsidRPr="00111F34" w:rsidRDefault="00517CB8" w:rsidP="00517CB8">
            <w:pPr>
              <w:pStyle w:val="Odstavecseseznamem"/>
              <w:numPr>
                <w:ilvl w:val="0"/>
                <w:numId w:val="37"/>
              </w:numPr>
              <w:spacing w:before="0"/>
              <w:ind w:left="347" w:hanging="284"/>
              <w:rPr>
                <w:sz w:val="16"/>
                <w:szCs w:val="16"/>
              </w:rPr>
            </w:pPr>
            <w:r w:rsidRPr="00111F34">
              <w:rPr>
                <w:sz w:val="16"/>
                <w:szCs w:val="16"/>
              </w:rPr>
              <w:t>Počet evidovaných lokalit starých ekologických zátěží, data SEKM, sledování v rámci ÚAP, aktualizace 1x za 2 roky</w:t>
            </w:r>
          </w:p>
          <w:p w14:paraId="77F4F2DC" w14:textId="1DA665D3" w:rsidR="002F4137" w:rsidRPr="00111F34" w:rsidRDefault="002F4137" w:rsidP="002F4137">
            <w:pPr>
              <w:pStyle w:val="Odstavecseseznamem"/>
              <w:numPr>
                <w:ilvl w:val="0"/>
                <w:numId w:val="37"/>
              </w:numPr>
              <w:spacing w:before="0"/>
              <w:ind w:left="347" w:hanging="284"/>
              <w:rPr>
                <w:sz w:val="16"/>
                <w:szCs w:val="16"/>
              </w:rPr>
            </w:pPr>
            <w:r w:rsidRPr="00111F34">
              <w:rPr>
                <w:sz w:val="16"/>
                <w:szCs w:val="16"/>
              </w:rPr>
              <w:t>Počet evidovaných lokalit svahových pohybů, data ČGS, sledování v rámci ÚAP, aktualizace 1x za 2 roky</w:t>
            </w:r>
          </w:p>
          <w:p w14:paraId="63FB2E80" w14:textId="0B1F3BB7" w:rsidR="002F4137" w:rsidRPr="00111F34" w:rsidRDefault="002F4137" w:rsidP="00517CB8">
            <w:pPr>
              <w:pStyle w:val="Odstavecseseznamem"/>
              <w:numPr>
                <w:ilvl w:val="0"/>
                <w:numId w:val="37"/>
              </w:numPr>
              <w:spacing w:before="0"/>
              <w:ind w:left="347" w:hanging="284"/>
              <w:rPr>
                <w:sz w:val="16"/>
                <w:szCs w:val="16"/>
              </w:rPr>
            </w:pPr>
            <w:r w:rsidRPr="00111F34">
              <w:rPr>
                <w:sz w:val="16"/>
                <w:szCs w:val="16"/>
              </w:rPr>
              <w:t xml:space="preserve">Počet nemovitých kulturních památek, data NKÚ, sledování v rámci ÚAP, aktualizace 1x za 2 roky. </w:t>
            </w:r>
          </w:p>
        </w:tc>
      </w:tr>
      <w:tr w:rsidR="00517CB8" w:rsidRPr="00111F34" w14:paraId="0D507EE1" w14:textId="77777777" w:rsidTr="00B34C98">
        <w:tc>
          <w:tcPr>
            <w:tcW w:w="5000" w:type="pct"/>
            <w:gridSpan w:val="15"/>
            <w:shd w:val="clear" w:color="auto" w:fill="auto"/>
          </w:tcPr>
          <w:p w14:paraId="7CF4006D" w14:textId="77777777" w:rsidR="00517CB8" w:rsidRPr="00111F34" w:rsidRDefault="00517CB8" w:rsidP="00517CB8">
            <w:pPr>
              <w:spacing w:before="60"/>
              <w:rPr>
                <w:b/>
                <w:sz w:val="16"/>
                <w:szCs w:val="16"/>
              </w:rPr>
            </w:pPr>
            <w:r w:rsidRPr="00111F34">
              <w:rPr>
                <w:b/>
                <w:sz w:val="16"/>
                <w:szCs w:val="16"/>
              </w:rPr>
              <w:t xml:space="preserve">Návrh požadavků na rozhodování ve vymezených plochách a koridorech: </w:t>
            </w:r>
          </w:p>
          <w:p w14:paraId="5EEBE740" w14:textId="77777777" w:rsidR="00D360CD" w:rsidRPr="00111F34" w:rsidRDefault="00D360CD" w:rsidP="00D360CD">
            <w:pPr>
              <w:numPr>
                <w:ilvl w:val="0"/>
                <w:numId w:val="44"/>
              </w:numPr>
              <w:spacing w:before="60"/>
              <w:ind w:left="344" w:hanging="284"/>
              <w:contextualSpacing/>
              <w:rPr>
                <w:sz w:val="16"/>
                <w:szCs w:val="16"/>
              </w:rPr>
            </w:pPr>
            <w:r w:rsidRPr="00111F34">
              <w:rPr>
                <w:sz w:val="16"/>
                <w:szCs w:val="16"/>
              </w:rPr>
              <w:t xml:space="preserve">V případě kácení vzrostlé zeleně provést adekvátní náhradní výsadbu. V navazujících řízeních dbát na maximální zastínění nově vznikajících betonových povrchů a realizaci vzrostlé zeleně (stromového patra) v uličních prostranstvích, vnitroblocích a plochách ZMK a ZP. (Jedná se o doporučené opatření z hlediska identifikovaného mírně negativního vlivu vůči stávající zeleni v území, které nelze uplatnit přímo na úrovni výrokové části posuzované ÚPD, částečně vyplývá z legislativních požadavků v oblasti ochrany ovzduší – náhradní výsadba). </w:t>
            </w:r>
          </w:p>
          <w:p w14:paraId="2BD94D38" w14:textId="795410D0" w:rsidR="00517CB8" w:rsidRPr="00111F34" w:rsidRDefault="00517CB8" w:rsidP="00CC1516">
            <w:pPr>
              <w:pStyle w:val="Odstavecseseznamem"/>
              <w:numPr>
                <w:ilvl w:val="0"/>
                <w:numId w:val="44"/>
              </w:numPr>
              <w:spacing w:before="0"/>
              <w:ind w:left="347" w:hanging="284"/>
              <w:rPr>
                <w:sz w:val="16"/>
                <w:szCs w:val="16"/>
              </w:rPr>
            </w:pPr>
            <w:r w:rsidRPr="00111F34">
              <w:rPr>
                <w:sz w:val="16"/>
                <w:szCs w:val="16"/>
              </w:rPr>
              <w:t>V navazující fázi projektové přípravy staveb umisťovaných v plochách s rizikem kontaminace</w:t>
            </w:r>
            <w:r w:rsidR="00CD1477" w:rsidRPr="00111F34">
              <w:rPr>
                <w:sz w:val="16"/>
                <w:szCs w:val="16"/>
              </w:rPr>
              <w:t xml:space="preserve"> nebo svahových pohybů</w:t>
            </w:r>
            <w:r w:rsidRPr="00111F34">
              <w:rPr>
                <w:sz w:val="16"/>
                <w:szCs w:val="16"/>
              </w:rPr>
              <w:t xml:space="preserve"> (tj. areál </w:t>
            </w:r>
            <w:r w:rsidR="00CD1477" w:rsidRPr="00111F34">
              <w:rPr>
                <w:sz w:val="16"/>
                <w:szCs w:val="16"/>
              </w:rPr>
              <w:t>bývalé cihelny a výtopny</w:t>
            </w:r>
            <w:r w:rsidRPr="00111F34">
              <w:rPr>
                <w:sz w:val="16"/>
                <w:szCs w:val="16"/>
              </w:rPr>
              <w:t xml:space="preserve">) je třeba provést podrobný hydrogeologický </w:t>
            </w:r>
            <w:r w:rsidR="00CD1477" w:rsidRPr="00111F34">
              <w:rPr>
                <w:sz w:val="16"/>
                <w:szCs w:val="16"/>
              </w:rPr>
              <w:t xml:space="preserve">a inženýrský </w:t>
            </w:r>
            <w:r w:rsidRPr="00111F34">
              <w:rPr>
                <w:sz w:val="16"/>
                <w:szCs w:val="16"/>
              </w:rPr>
              <w:t>průzkum a v případě prokázání kontaminace</w:t>
            </w:r>
            <w:r w:rsidR="00CD1477" w:rsidRPr="00111F34">
              <w:rPr>
                <w:sz w:val="16"/>
                <w:szCs w:val="16"/>
              </w:rPr>
              <w:t xml:space="preserve"> nebo rizika svahových pohybů</w:t>
            </w:r>
            <w:r w:rsidRPr="00111F34">
              <w:rPr>
                <w:sz w:val="16"/>
                <w:szCs w:val="16"/>
              </w:rPr>
              <w:t xml:space="preserve"> provést rizikovou analýzu a navrhnout sanační opatření pro zamezení identifikovaných </w:t>
            </w:r>
            <w:r w:rsidR="00C51945" w:rsidRPr="00111F34">
              <w:rPr>
                <w:sz w:val="16"/>
                <w:szCs w:val="16"/>
              </w:rPr>
              <w:t>rizik,</w:t>
            </w:r>
            <w:r w:rsidRPr="00111F34">
              <w:rPr>
                <w:sz w:val="16"/>
                <w:szCs w:val="16"/>
              </w:rPr>
              <w:t xml:space="preserve"> opatření je třeba uplatnit v navazujících řízeních, jako požadavek na rozhodování v území. </w:t>
            </w:r>
          </w:p>
          <w:p w14:paraId="665FCAD6" w14:textId="77777777" w:rsidR="00517CB8" w:rsidRPr="00111F34" w:rsidRDefault="00517CB8" w:rsidP="00517CB8">
            <w:pPr>
              <w:pStyle w:val="Odstavecseseznamem"/>
              <w:numPr>
                <w:ilvl w:val="0"/>
                <w:numId w:val="44"/>
              </w:numPr>
              <w:spacing w:before="60"/>
              <w:ind w:left="347" w:hanging="284"/>
              <w:rPr>
                <w:sz w:val="16"/>
                <w:szCs w:val="16"/>
              </w:rPr>
            </w:pPr>
            <w:r w:rsidRPr="00111F34">
              <w:rPr>
                <w:sz w:val="16"/>
                <w:szCs w:val="16"/>
              </w:rPr>
              <w:t>Před umístěním stavby do území v další fázi projektové přípravy stavby prokázat, že vlivem realizace záměru, kterému dává posuzovaná koncepce rámec, včetně souvisejících staveb a přeložek při zohlednění spolupůsobení stávajících i uvažovaných záměrů v dopravně souvisejícím území nedojde k novým překročením hygienických limitů z hlediska hluku u nejbližších hlukově chráněných objektů, opatření je třeba uplatnit v navazujících řízeních, jako požadavek na rozhodování v území.</w:t>
            </w:r>
          </w:p>
          <w:p w14:paraId="5A2C465B" w14:textId="77777777" w:rsidR="00CD1477" w:rsidRDefault="00CD1477" w:rsidP="00517CB8">
            <w:pPr>
              <w:pStyle w:val="Odstavecseseznamem"/>
              <w:numPr>
                <w:ilvl w:val="0"/>
                <w:numId w:val="44"/>
              </w:numPr>
              <w:spacing w:before="60"/>
              <w:ind w:left="347" w:hanging="284"/>
              <w:rPr>
                <w:sz w:val="16"/>
                <w:szCs w:val="16"/>
              </w:rPr>
            </w:pPr>
            <w:r w:rsidRPr="00111F34">
              <w:rPr>
                <w:sz w:val="16"/>
                <w:szCs w:val="16"/>
              </w:rPr>
              <w:t xml:space="preserve">Při umisťování tramvajové trati v prostoru podél skalních výchozů Baba a Podbabské skály a ve vizuálním kontaktu s železničním viaduktem při ulici V Podbabě zajistit posouzení záměru na krajinný ráz dle §12 zákona č. 114/1992 </w:t>
            </w:r>
            <w:r w:rsidR="00C51945" w:rsidRPr="00111F34">
              <w:rPr>
                <w:sz w:val="16"/>
                <w:szCs w:val="16"/>
              </w:rPr>
              <w:t>Sb.,</w:t>
            </w:r>
            <w:r w:rsidRPr="00111F34">
              <w:rPr>
                <w:sz w:val="16"/>
                <w:szCs w:val="16"/>
              </w:rPr>
              <w:t xml:space="preserve"> o ochraně přírody a krajiny, a zároveň stavbu koordinovat s příslušnými orgány památkové ochrany. </w:t>
            </w:r>
          </w:p>
          <w:p w14:paraId="6F93F5AF" w14:textId="77777777" w:rsidR="0046206D" w:rsidRPr="00081377" w:rsidRDefault="0046206D" w:rsidP="0046206D">
            <w:pPr>
              <w:spacing w:before="60"/>
              <w:rPr>
                <w:b/>
                <w:bCs/>
                <w:sz w:val="16"/>
                <w:szCs w:val="16"/>
              </w:rPr>
            </w:pPr>
            <w:r w:rsidRPr="00081377">
              <w:rPr>
                <w:b/>
                <w:bCs/>
                <w:sz w:val="16"/>
                <w:szCs w:val="16"/>
              </w:rPr>
              <w:lastRenderedPageBreak/>
              <w:t>Požadavky na rozhodování ve vymezených plochách vyplývající z vyhodnocení vlivů změny na EVL Kaňon Vltavy u Sedlce:</w:t>
            </w:r>
          </w:p>
          <w:p w14:paraId="1A45389B" w14:textId="77777777" w:rsidR="0046206D" w:rsidRPr="0046206D" w:rsidRDefault="0046206D" w:rsidP="0046206D">
            <w:pPr>
              <w:pStyle w:val="Odstavecseseznamem"/>
              <w:numPr>
                <w:ilvl w:val="0"/>
                <w:numId w:val="44"/>
              </w:numPr>
              <w:spacing w:before="60"/>
              <w:ind w:left="322" w:hanging="284"/>
              <w:rPr>
                <w:sz w:val="16"/>
                <w:szCs w:val="16"/>
              </w:rPr>
            </w:pPr>
            <w:r w:rsidRPr="0046206D">
              <w:rPr>
                <w:sz w:val="16"/>
                <w:szCs w:val="16"/>
              </w:rPr>
              <w:t xml:space="preserve">Z důvodu předběžné opatrnosti doporučujeme, aby ještě před fázi přípravy území pro výstavbu v rozvojovém území Nový Sedlec, byla v součinnosti s územně příslušným orgánem ochrany přírody a krajiny stanovena a vyznačena jednoznačná hranice, za kterou stavební čára nesmí překročit. Jedná se především o to, aby úpravy terénu pro výstavbu spojené s odtěžováním, vyhrnováním a přesouváním zemin v areálu cihelny severně, do prostoru EVL zbytečně nezasáhly. V této souvislosti se jeví jako vhodné zesouladit průběh hranic PP Podbabské skály a segmentu EVL, a tyto hranice v kontaktní zóně se změnou Z 3827/00 dle odborných kritérií upravit. Jedná se o opatření v kompetenci příslušného orgánu ochrany přírody. </w:t>
            </w:r>
          </w:p>
          <w:p w14:paraId="37C14A69" w14:textId="6C9959DD" w:rsidR="0046206D" w:rsidRPr="00111F34" w:rsidRDefault="0046206D" w:rsidP="0046206D">
            <w:pPr>
              <w:pStyle w:val="Odstavecseseznamem"/>
              <w:numPr>
                <w:ilvl w:val="0"/>
                <w:numId w:val="44"/>
              </w:numPr>
              <w:spacing w:before="60"/>
              <w:ind w:left="347" w:hanging="284"/>
              <w:rPr>
                <w:sz w:val="16"/>
                <w:szCs w:val="16"/>
              </w:rPr>
            </w:pPr>
            <w:r w:rsidRPr="0046206D">
              <w:rPr>
                <w:sz w:val="16"/>
                <w:szCs w:val="16"/>
              </w:rPr>
              <w:t>Potenciálnímu riziku zvýšené zátěže EVL, spojené se zvýšenou návštěvností, lze částečně předejít i návrhem příp. organizačních opatření z hlediska regulace návštěvnosti, zákazu vstupu cyklistů či venčení psů, příp. i oplocením části EVL (avšak s ohledem na zachování prostupnosti v území podél jihozápadního okraje EVL, mimo koridor stezky vedoucí od severu k jihu podél zídky do ulice Pod Babou). Takovému opatření by po realizaci záměrů v rozvojové lokalitě ale měl předcházet monitoring území, spojený se sledováním míry návštěvnosti lokality, a stavu přírodních stanovišť. Jedná se o opatření v kompetenci příslušného orgánu ochrany přírody v rámci prováděného managementu péče o EVL.</w:t>
            </w:r>
          </w:p>
        </w:tc>
      </w:tr>
      <w:tr w:rsidR="00517CB8" w:rsidRPr="00111F34" w14:paraId="5E9A0D61" w14:textId="77777777" w:rsidTr="00B34C98">
        <w:tc>
          <w:tcPr>
            <w:tcW w:w="5000" w:type="pct"/>
            <w:gridSpan w:val="15"/>
            <w:shd w:val="clear" w:color="auto" w:fill="auto"/>
          </w:tcPr>
          <w:p w14:paraId="64204452" w14:textId="77777777" w:rsidR="00517CB8" w:rsidRPr="00111F34" w:rsidRDefault="00517CB8" w:rsidP="00517CB8">
            <w:pPr>
              <w:spacing w:before="60"/>
              <w:rPr>
                <w:b/>
                <w:sz w:val="16"/>
                <w:szCs w:val="16"/>
              </w:rPr>
            </w:pPr>
            <w:r w:rsidRPr="00111F34">
              <w:rPr>
                <w:b/>
                <w:sz w:val="16"/>
                <w:szCs w:val="16"/>
              </w:rPr>
              <w:t>Shrnutí:</w:t>
            </w:r>
          </w:p>
          <w:p w14:paraId="61C80423" w14:textId="53AC24ED" w:rsidR="00517CB8" w:rsidRPr="00111F34" w:rsidRDefault="00517CB8" w:rsidP="00517CB8">
            <w:pPr>
              <w:pStyle w:val="Texttabulky"/>
              <w:spacing w:before="60"/>
              <w:jc w:val="both"/>
              <w:rPr>
                <w:rFonts w:cs="Arial"/>
                <w:szCs w:val="16"/>
              </w:rPr>
            </w:pPr>
            <w:r w:rsidRPr="00111F34">
              <w:rPr>
                <w:rFonts w:cs="Arial"/>
                <w:szCs w:val="16"/>
              </w:rPr>
              <w:t xml:space="preserve">Klíčové vlivy v tomto případě jsou spojeny jak s využitím řešeného území pro navrhované funkce tj. zastavění dnes z části volné plochy v kontextu okolní zástavby, zintenzivnění využití území ve smyslu vložení nových </w:t>
            </w:r>
            <w:r w:rsidR="00CD1477" w:rsidRPr="00111F34">
              <w:rPr>
                <w:rFonts w:cs="Arial"/>
                <w:szCs w:val="16"/>
              </w:rPr>
              <w:t>rezidenčních</w:t>
            </w:r>
            <w:r w:rsidRPr="00111F34">
              <w:rPr>
                <w:rFonts w:cs="Arial"/>
                <w:szCs w:val="16"/>
              </w:rPr>
              <w:t xml:space="preserve"> </w:t>
            </w:r>
            <w:r w:rsidR="00CD1477" w:rsidRPr="00111F34">
              <w:rPr>
                <w:rFonts w:cs="Arial"/>
                <w:szCs w:val="16"/>
              </w:rPr>
              <w:t xml:space="preserve">a smíšených </w:t>
            </w:r>
            <w:r w:rsidRPr="00111F34">
              <w:rPr>
                <w:rFonts w:cs="Arial"/>
                <w:szCs w:val="16"/>
              </w:rPr>
              <w:t>funkcí</w:t>
            </w:r>
            <w:r w:rsidR="00CD1477" w:rsidRPr="00111F34">
              <w:rPr>
                <w:rFonts w:cs="Arial"/>
                <w:szCs w:val="16"/>
              </w:rPr>
              <w:t xml:space="preserve"> a veřejné vybavenosti</w:t>
            </w:r>
            <w:r w:rsidRPr="00111F34">
              <w:rPr>
                <w:rFonts w:cs="Arial"/>
                <w:szCs w:val="16"/>
              </w:rPr>
              <w:t xml:space="preserve">, resp. změny intenzity jejich využití, které ale budou spojeny s vyvolanou dopravou a na druhou stranu přerozdělení dopravních zátěží v souvisejícím území v důsledku </w:t>
            </w:r>
            <w:r w:rsidR="00CD1477" w:rsidRPr="00111F34">
              <w:rPr>
                <w:rFonts w:cs="Arial"/>
                <w:szCs w:val="16"/>
              </w:rPr>
              <w:t>vybavení území kapacitní VHD, systémem záchytných parkovišť a souvisejícími záměry dobudování SOKP</w:t>
            </w:r>
            <w:r w:rsidRPr="00111F34">
              <w:rPr>
                <w:rFonts w:cs="Arial"/>
                <w:szCs w:val="16"/>
              </w:rPr>
              <w:t>. Na druhou stranu dojde k zastavění dnes z části nezastavěného území včetně ploch se vzrostlou zelení a snížení retenční schopnosti krajiny, ovšem v území, kde jsou již dnes</w:t>
            </w:r>
            <w:r w:rsidR="00CD1477" w:rsidRPr="00111F34">
              <w:rPr>
                <w:rFonts w:cs="Arial"/>
                <w:szCs w:val="16"/>
              </w:rPr>
              <w:t xml:space="preserve"> i v minulosti využity pro výrobní aktivity</w:t>
            </w:r>
            <w:r w:rsidR="00EC2966" w:rsidRPr="00111F34">
              <w:rPr>
                <w:rFonts w:cs="Arial"/>
                <w:szCs w:val="16"/>
              </w:rPr>
              <w:t xml:space="preserve">, dopravní funkce </w:t>
            </w:r>
            <w:r w:rsidR="00CD1477" w:rsidRPr="00111F34">
              <w:rPr>
                <w:rFonts w:cs="Arial"/>
                <w:szCs w:val="16"/>
              </w:rPr>
              <w:t>a těžbu a které je částečně</w:t>
            </w:r>
            <w:r w:rsidRPr="00111F34">
              <w:rPr>
                <w:rFonts w:cs="Arial"/>
                <w:szCs w:val="16"/>
              </w:rPr>
              <w:t xml:space="preserve"> zastavěno, resp. zpevněno. Území bude napojeno přímo na </w:t>
            </w:r>
            <w:r w:rsidR="00CD1477" w:rsidRPr="00111F34">
              <w:rPr>
                <w:rFonts w:cs="Arial"/>
                <w:szCs w:val="16"/>
              </w:rPr>
              <w:t xml:space="preserve">kapacitní </w:t>
            </w:r>
            <w:r w:rsidRPr="00111F34">
              <w:rPr>
                <w:rFonts w:cs="Arial"/>
                <w:szCs w:val="16"/>
              </w:rPr>
              <w:t>dopravní infrastrukturu, nedojde k zavlečení vyvolané dopravy do přilehlých ulic</w:t>
            </w:r>
            <w:r w:rsidR="00CD1477" w:rsidRPr="00111F34">
              <w:rPr>
                <w:rFonts w:cs="Arial"/>
                <w:szCs w:val="16"/>
              </w:rPr>
              <w:t xml:space="preserve"> a výjimkou vložení nové tramvajové trati do stávajících ulic</w:t>
            </w:r>
            <w:r w:rsidRPr="00111F34">
              <w:rPr>
                <w:rFonts w:cs="Arial"/>
                <w:szCs w:val="16"/>
              </w:rPr>
              <w:t>.</w:t>
            </w:r>
          </w:p>
          <w:p w14:paraId="5A9D462D" w14:textId="727C0755" w:rsidR="00517CB8" w:rsidRPr="00111F34" w:rsidRDefault="00517CB8" w:rsidP="00517CB8">
            <w:pPr>
              <w:spacing w:before="60"/>
              <w:rPr>
                <w:b/>
                <w:sz w:val="16"/>
                <w:szCs w:val="16"/>
              </w:rPr>
            </w:pPr>
            <w:r w:rsidRPr="00111F34">
              <w:rPr>
                <w:b/>
                <w:sz w:val="16"/>
                <w:szCs w:val="16"/>
              </w:rPr>
              <w:t>V rámci vyhodnocení nebyly zjištěny takové skutečnosti, které by bránily implementaci navrhované změny v posuzované podobě do platného územního plánu</w:t>
            </w:r>
            <w:r w:rsidR="00595E08">
              <w:rPr>
                <w:b/>
                <w:sz w:val="16"/>
                <w:szCs w:val="16"/>
              </w:rPr>
              <w:t xml:space="preserve"> při uplatnění výše uvedené podmínky, která vyplynula za vyhodnocení vlivů na životní prostředí.</w:t>
            </w:r>
            <w:r w:rsidRPr="00111F34">
              <w:rPr>
                <w:b/>
                <w:sz w:val="16"/>
                <w:szCs w:val="16"/>
              </w:rPr>
              <w:t xml:space="preserve"> </w:t>
            </w:r>
          </w:p>
        </w:tc>
      </w:tr>
      <w:bookmarkEnd w:id="237"/>
    </w:tbl>
    <w:p w14:paraId="570024B1" w14:textId="77777777" w:rsidR="00DF5D27" w:rsidRPr="00111F34" w:rsidRDefault="00DF5D27" w:rsidP="007E1652"/>
    <w:p w14:paraId="3B7C2802" w14:textId="77777777" w:rsidR="00F82C94" w:rsidRPr="00111F34" w:rsidRDefault="00F82C94" w:rsidP="00F82C94">
      <w:pPr>
        <w:pStyle w:val="Nadpis4"/>
        <w:numPr>
          <w:ilvl w:val="0"/>
          <w:numId w:val="0"/>
        </w:numPr>
        <w:sectPr w:rsidR="00F82C94" w:rsidRPr="00111F34" w:rsidSect="00684DA8">
          <w:headerReference w:type="default" r:id="rId124"/>
          <w:footerReference w:type="default" r:id="rId125"/>
          <w:headerReference w:type="first" r:id="rId126"/>
          <w:pgSz w:w="16838" w:h="11906" w:orient="landscape" w:code="9"/>
          <w:pgMar w:top="1134" w:right="1418" w:bottom="1134" w:left="1134" w:header="709" w:footer="567" w:gutter="0"/>
          <w:cols w:space="227"/>
          <w:docGrid w:linePitch="360"/>
        </w:sectPr>
      </w:pPr>
    </w:p>
    <w:p w14:paraId="3F8CD9D7" w14:textId="77777777" w:rsidR="00794578" w:rsidRPr="00111F34" w:rsidRDefault="00794578" w:rsidP="00BA72D5">
      <w:pPr>
        <w:pStyle w:val="Nadpis2"/>
      </w:pPr>
      <w:bookmarkStart w:id="248" w:name="_Toc531606265"/>
      <w:bookmarkStart w:id="249" w:name="_Toc29298351"/>
      <w:bookmarkStart w:id="250" w:name="_Toc138848131"/>
      <w:r w:rsidRPr="00111F34">
        <w:lastRenderedPageBreak/>
        <w:t>Porovnání zjištěných nebo předpokládaných kladných a záporných vlivů a jejich zhodnocení. Srozumitelný popis použitých metod vyhodnocení včetně jejich omezení.</w:t>
      </w:r>
      <w:bookmarkEnd w:id="248"/>
      <w:bookmarkEnd w:id="249"/>
      <w:bookmarkEnd w:id="250"/>
    </w:p>
    <w:p w14:paraId="198DEBD1" w14:textId="3D5152CB" w:rsidR="00794578" w:rsidRPr="00111F34" w:rsidRDefault="00794578" w:rsidP="00794578">
      <w:r w:rsidRPr="00111F34">
        <w:t>Metodika vyhodnocení vlivů předkládané ÚPD na životní prostředí, lokality soustavy Natura 2000 a veřejné (lidské) zdraví včetně metodiky vyhodnocení vlivů na ostatní pilíře udržitelného rozvoje je podrobně popsána v kapitole Metodická východiska v úvodu tohoto dokumentu, resp. v dílčích kapitolách zaměřených na</w:t>
      </w:r>
      <w:r w:rsidR="00973FFE" w:rsidRPr="00111F34">
        <w:t> </w:t>
      </w:r>
      <w:r w:rsidRPr="00111F34">
        <w:t>konkrétní složky životní</w:t>
      </w:r>
      <w:r w:rsidR="00877D1C" w:rsidRPr="00111F34">
        <w:t>ho</w:t>
      </w:r>
      <w:r w:rsidRPr="00111F34">
        <w:t xml:space="preserve"> prostředí či specifické části vyhodnocení. </w:t>
      </w:r>
    </w:p>
    <w:p w14:paraId="208848F3" w14:textId="5956D116" w:rsidR="0041735B" w:rsidRPr="00111F34" w:rsidRDefault="0041735B" w:rsidP="00794578">
      <w:r w:rsidRPr="00111F34">
        <w:t xml:space="preserve">Podrobné vyhodnocení vlivů </w:t>
      </w:r>
      <w:r w:rsidR="00541293" w:rsidRPr="00111F34">
        <w:t>posuzované ÚPD</w:t>
      </w:r>
      <w:r w:rsidR="00F2791F" w:rsidRPr="00111F34">
        <w:t xml:space="preserve"> dle hodnotící škály</w:t>
      </w:r>
      <w:r w:rsidRPr="00111F34">
        <w:t xml:space="preserve"> je obsahem předchozí kapitoly.</w:t>
      </w:r>
    </w:p>
    <w:p w14:paraId="749C7B2D" w14:textId="567B4691" w:rsidR="00794578" w:rsidRPr="00111F34" w:rsidRDefault="00794578" w:rsidP="00794578">
      <w:r w:rsidRPr="00111F34">
        <w:t xml:space="preserve">Níže uvádíme souhrn a porovnání identifikovaných kladných a záporných </w:t>
      </w:r>
      <w:r w:rsidR="00032D05" w:rsidRPr="00111F34">
        <w:t xml:space="preserve">vlivu </w:t>
      </w:r>
      <w:r w:rsidR="008705CE" w:rsidRPr="00111F34">
        <w:t xml:space="preserve">předkládané změny </w:t>
      </w:r>
      <w:r w:rsidRPr="00111F34">
        <w:t xml:space="preserve">vůči jednotlivým sledovaným složkám </w:t>
      </w:r>
      <w:r w:rsidR="0041735B" w:rsidRPr="00111F34">
        <w:t xml:space="preserve">a problémovým oblastem </w:t>
      </w:r>
      <w:r w:rsidRPr="00111F34">
        <w:t xml:space="preserve">životního prostředí. </w:t>
      </w:r>
    </w:p>
    <w:p w14:paraId="322E6DC7" w14:textId="76BF0891" w:rsidR="00794578" w:rsidRPr="00111F34" w:rsidRDefault="00794578" w:rsidP="00A67277">
      <w:pPr>
        <w:pStyle w:val="Nadpis3"/>
      </w:pPr>
      <w:bookmarkStart w:id="251" w:name="_Toc531606266"/>
      <w:bookmarkStart w:id="252" w:name="_Toc29298352"/>
      <w:bookmarkStart w:id="253" w:name="_Toc138848132"/>
      <w:r w:rsidRPr="00111F34">
        <w:t>Ovzduší</w:t>
      </w:r>
      <w:bookmarkEnd w:id="251"/>
      <w:bookmarkEnd w:id="252"/>
      <w:bookmarkEnd w:id="253"/>
    </w:p>
    <w:p w14:paraId="261022C2" w14:textId="6D367432" w:rsidR="0031461A" w:rsidRPr="00111F34" w:rsidRDefault="0031461A" w:rsidP="00F90DF9">
      <w:pPr>
        <w:rPr>
          <w:lang w:eastAsia="cs-CZ"/>
        </w:rPr>
      </w:pPr>
      <w:r w:rsidRPr="00111F34">
        <w:t xml:space="preserve">Z hlediska imisní situace ovzduší je na základě jednotlivých informačních zdrojů (viz kapitola A.VII.1 a A.III.5) hodnoceno imisní zatížení posuzovaných lokalit jako </w:t>
      </w:r>
      <w:r w:rsidR="00CC1516">
        <w:t>uspokojivé</w:t>
      </w:r>
      <w:r w:rsidRPr="00111F34">
        <w:t xml:space="preserve">. </w:t>
      </w:r>
      <w:r w:rsidRPr="00111F34">
        <w:rPr>
          <w:rFonts w:cs="Arial"/>
        </w:rPr>
        <w:t xml:space="preserve">Pro hodnocenou ÚPD je možné současnou kvalitu ovzduší vyhodnotit dle dat ČHMÚ pro pětileté průměrné koncentrace (aktuálně z období </w:t>
      </w:r>
      <w:r w:rsidR="00430326" w:rsidRPr="00111F34">
        <w:rPr>
          <w:rFonts w:cs="Arial"/>
        </w:rPr>
        <w:t>2017-2021</w:t>
      </w:r>
      <w:r w:rsidRPr="00111F34">
        <w:rPr>
          <w:rFonts w:cs="Arial"/>
        </w:rPr>
        <w:t xml:space="preserve">). </w:t>
      </w:r>
      <w:r w:rsidR="00C25A21" w:rsidRPr="00111F34">
        <w:rPr>
          <w:rFonts w:cs="Arial"/>
          <w:szCs w:val="20"/>
        </w:rPr>
        <w:t>Dle map pětiletých klouzavých průměrů pozaďové imisní zátěže nedochází na území řešeném předkládanými změnami územního plánu k překračování imisních limitů žádné ze sledovaných látek</w:t>
      </w:r>
      <w:r w:rsidR="00C25A21" w:rsidRPr="00111F34">
        <w:t xml:space="preserve">, z jejichž imisních limitů se při hodnocení kvality ovzduší vychází. </w:t>
      </w:r>
      <w:r w:rsidR="00F90DF9" w:rsidRPr="00111F34">
        <w:rPr>
          <w:rFonts w:cs="Arial"/>
        </w:rPr>
        <w:t>H</w:t>
      </w:r>
      <w:r w:rsidR="00F82C94" w:rsidRPr="00111F34">
        <w:t xml:space="preserve">odnoty průměrných ročních koncentrací B (a)P se nachází těsně pod hodnotou imisního limitu, na úrovni </w:t>
      </w:r>
      <w:r w:rsidR="00EC01F2" w:rsidRPr="00111F34">
        <w:t>0,8 až 1</w:t>
      </w:r>
      <w:r w:rsidR="00F82C94" w:rsidRPr="00111F34">
        <w:t xml:space="preserve"> ng.m</w:t>
      </w:r>
      <w:r w:rsidR="00F82C94" w:rsidRPr="00111F34">
        <w:rPr>
          <w:vertAlign w:val="superscript"/>
        </w:rPr>
        <w:t>-3</w:t>
      </w:r>
      <w:r w:rsidR="00F82C94" w:rsidRPr="00111F34">
        <w:t>, imisní limit pro průměrné roční koncentrace BaP je 1 ng.m</w:t>
      </w:r>
      <w:r w:rsidR="00F82C94" w:rsidRPr="00111F34">
        <w:rPr>
          <w:vertAlign w:val="superscript"/>
        </w:rPr>
        <w:t>-3</w:t>
      </w:r>
      <w:r w:rsidR="00F82C94" w:rsidRPr="00111F34">
        <w:t>. Nicméně úroveň benzo(a)pyrenu ovlivňují především malá topen</w:t>
      </w:r>
      <w:r w:rsidR="00F90DF9" w:rsidRPr="00111F34">
        <w:t>iště, která s řešení</w:t>
      </w:r>
      <w:r w:rsidR="00BB6AB3" w:rsidRPr="00111F34">
        <w:t>m</w:t>
      </w:r>
      <w:r w:rsidR="00F90DF9" w:rsidRPr="00111F34">
        <w:t xml:space="preserve"> posuzované</w:t>
      </w:r>
      <w:r w:rsidR="00F82C94" w:rsidRPr="00111F34">
        <w:t xml:space="preserve"> změn</w:t>
      </w:r>
      <w:r w:rsidR="00F90DF9" w:rsidRPr="00111F34">
        <w:t xml:space="preserve">y </w:t>
      </w:r>
      <w:r w:rsidR="00F82C94" w:rsidRPr="00111F34">
        <w:t xml:space="preserve">územního plánu nesouvisí. </w:t>
      </w:r>
      <w:r w:rsidRPr="00111F34">
        <w:rPr>
          <w:lang w:eastAsia="cs-CZ"/>
        </w:rPr>
        <w:t>V souvislosti s</w:t>
      </w:r>
      <w:r w:rsidR="00BB6AB3" w:rsidRPr="00111F34">
        <w:rPr>
          <w:lang w:eastAsia="cs-CZ"/>
        </w:rPr>
        <w:t> </w:t>
      </w:r>
      <w:r w:rsidRPr="00111F34">
        <w:rPr>
          <w:lang w:eastAsia="cs-CZ"/>
        </w:rPr>
        <w:t>posuzovan</w:t>
      </w:r>
      <w:r w:rsidR="00F90DF9" w:rsidRPr="00111F34">
        <w:rPr>
          <w:lang w:eastAsia="cs-CZ"/>
        </w:rPr>
        <w:t>ou</w:t>
      </w:r>
      <w:r w:rsidR="00BB6AB3" w:rsidRPr="00111F34">
        <w:rPr>
          <w:lang w:eastAsia="cs-CZ"/>
        </w:rPr>
        <w:t xml:space="preserve"> </w:t>
      </w:r>
      <w:r w:rsidR="00F90DF9" w:rsidRPr="00111F34">
        <w:rPr>
          <w:lang w:eastAsia="cs-CZ"/>
        </w:rPr>
        <w:t>ÚPD</w:t>
      </w:r>
      <w:r w:rsidRPr="00111F34">
        <w:rPr>
          <w:lang w:eastAsia="cs-CZ"/>
        </w:rPr>
        <w:t xml:space="preserve"> neočekáváme podstatnou změnu objemu zeleně v</w:t>
      </w:r>
      <w:r w:rsidR="00F90DF9" w:rsidRPr="00111F34">
        <w:rPr>
          <w:lang w:eastAsia="cs-CZ"/>
        </w:rPr>
        <w:t> </w:t>
      </w:r>
      <w:r w:rsidRPr="00111F34">
        <w:rPr>
          <w:lang w:eastAsia="cs-CZ"/>
        </w:rPr>
        <w:t>území</w:t>
      </w:r>
      <w:r w:rsidR="00F90DF9" w:rsidRPr="00111F34">
        <w:rPr>
          <w:lang w:eastAsia="cs-CZ"/>
        </w:rPr>
        <w:t xml:space="preserve">, nicméně v rámci celkové transformace prostoru </w:t>
      </w:r>
      <w:r w:rsidR="00EC01F2" w:rsidRPr="00111F34">
        <w:rPr>
          <w:lang w:eastAsia="cs-CZ"/>
        </w:rPr>
        <w:t>Nového Sedlce</w:t>
      </w:r>
      <w:r w:rsidR="00F90DF9" w:rsidRPr="00111F34">
        <w:rPr>
          <w:lang w:eastAsia="cs-CZ"/>
        </w:rPr>
        <w:t xml:space="preserve"> ke zvýšení podílu zeleně v</w:t>
      </w:r>
      <w:r w:rsidR="00EC01F2" w:rsidRPr="00111F34">
        <w:rPr>
          <w:lang w:eastAsia="cs-CZ"/>
        </w:rPr>
        <w:t> budoucích zahradách</w:t>
      </w:r>
      <w:r w:rsidR="00F90DF9" w:rsidRPr="00111F34">
        <w:rPr>
          <w:lang w:eastAsia="cs-CZ"/>
        </w:rPr>
        <w:t xml:space="preserve"> i v rámci veřejných prostranství nejspíš dojde</w:t>
      </w:r>
      <w:r w:rsidR="00EC01F2" w:rsidRPr="00111F34">
        <w:rPr>
          <w:lang w:eastAsia="cs-CZ"/>
        </w:rPr>
        <w:t>, zároveň budou nahrazeny plochy dnešních skládek sypkých materiálů, které ve stávajícím stavu způsobují emise prašných částic</w:t>
      </w:r>
      <w:r w:rsidRPr="00111F34">
        <w:rPr>
          <w:lang w:eastAsia="cs-CZ"/>
        </w:rPr>
        <w:t>.</w:t>
      </w:r>
      <w:r w:rsidR="00691A1B" w:rsidRPr="00111F34">
        <w:rPr>
          <w:lang w:eastAsia="cs-CZ"/>
        </w:rPr>
        <w:t xml:space="preserve"> Samotná posuzovaná změna transformuje již v současnosti </w:t>
      </w:r>
      <w:r w:rsidR="00340C7D" w:rsidRPr="00111F34">
        <w:rPr>
          <w:lang w:eastAsia="cs-CZ"/>
        </w:rPr>
        <w:t xml:space="preserve">převážně </w:t>
      </w:r>
      <w:r w:rsidR="00691A1B" w:rsidRPr="00111F34">
        <w:rPr>
          <w:lang w:eastAsia="cs-CZ"/>
        </w:rPr>
        <w:t>zastavitelné území a částečně zvyšuje intenzitu jeho využití</w:t>
      </w:r>
      <w:r w:rsidR="00EC01F2" w:rsidRPr="00111F34">
        <w:rPr>
          <w:lang w:eastAsia="cs-CZ"/>
        </w:rPr>
        <w:t xml:space="preserve"> v oblasti V</w:t>
      </w:r>
      <w:r w:rsidR="002E61F7" w:rsidRPr="00111F34">
        <w:rPr>
          <w:lang w:eastAsia="cs-CZ"/>
        </w:rPr>
        <w:t>ýhledů</w:t>
      </w:r>
      <w:r w:rsidR="00EC01F2" w:rsidRPr="00111F34">
        <w:rPr>
          <w:lang w:eastAsia="cs-CZ"/>
        </w:rPr>
        <w:t xml:space="preserve">, dochází i k rozšiřování </w:t>
      </w:r>
      <w:r w:rsidR="00340C7D" w:rsidRPr="00111F34">
        <w:rPr>
          <w:lang w:eastAsia="cs-CZ"/>
        </w:rPr>
        <w:t>zastavitelných ploch</w:t>
      </w:r>
      <w:r w:rsidR="00EC01F2" w:rsidRPr="00111F34">
        <w:rPr>
          <w:lang w:eastAsia="cs-CZ"/>
        </w:rPr>
        <w:t xml:space="preserve"> do krajiny na plochy </w:t>
      </w:r>
      <w:r w:rsidR="00340C7D" w:rsidRPr="00111F34">
        <w:rPr>
          <w:lang w:eastAsia="cs-CZ"/>
        </w:rPr>
        <w:t xml:space="preserve">dnes </w:t>
      </w:r>
      <w:r w:rsidR="00EC01F2" w:rsidRPr="00111F34">
        <w:rPr>
          <w:lang w:eastAsia="cs-CZ"/>
        </w:rPr>
        <w:t>intenzivně využívaných polí</w:t>
      </w:r>
      <w:r w:rsidR="00691A1B" w:rsidRPr="00111F34">
        <w:rPr>
          <w:lang w:eastAsia="cs-CZ"/>
        </w:rPr>
        <w:t>.</w:t>
      </w:r>
      <w:r w:rsidR="00EC01F2" w:rsidRPr="00111F34">
        <w:rPr>
          <w:lang w:eastAsia="cs-CZ"/>
        </w:rPr>
        <w:t xml:space="preserve"> Změna vytváří územní předpoklady pro zásadní zlepšení dopravní obsluhy území, a to především kapacitní bezemisní VHD, přičemž jsou zároveň zvyšovány kapacity dopravy v klidu na okraji města a v koordinaci s ostatními záměry rozvoje dopravní infrastruktury (SOKP) dojde k dobudování dopravního systému s cílem přerozdělení dopravních zátěží </w:t>
      </w:r>
      <w:r w:rsidR="00C51945" w:rsidRPr="00111F34">
        <w:rPr>
          <w:lang w:eastAsia="cs-CZ"/>
        </w:rPr>
        <w:t>ve</w:t>
      </w:r>
      <w:r w:rsidR="00EC01F2" w:rsidRPr="00111F34">
        <w:rPr>
          <w:lang w:eastAsia="cs-CZ"/>
        </w:rPr>
        <w:t> vnitřním městě ve prospěch bezemisní veřejné hromadné dopravy, zabránění dopravním kongescím, a tím i snížení emisí z dopravy. Změna zároveň</w:t>
      </w:r>
      <w:r w:rsidR="00691A1B" w:rsidRPr="00111F34">
        <w:rPr>
          <w:lang w:eastAsia="cs-CZ"/>
        </w:rPr>
        <w:t xml:space="preserve"> umožňuje transformaci a zvýšení využití dnes </w:t>
      </w:r>
      <w:r w:rsidR="00340C7D" w:rsidRPr="00111F34">
        <w:rPr>
          <w:lang w:eastAsia="cs-CZ"/>
        </w:rPr>
        <w:t>pod</w:t>
      </w:r>
      <w:r w:rsidR="00691A1B" w:rsidRPr="00111F34">
        <w:rPr>
          <w:lang w:eastAsia="cs-CZ"/>
        </w:rPr>
        <w:t xml:space="preserve">využitého území ve vnitřním městě </w:t>
      </w:r>
      <w:r w:rsidR="00EC01F2" w:rsidRPr="00111F34">
        <w:rPr>
          <w:lang w:eastAsia="cs-CZ"/>
        </w:rPr>
        <w:t xml:space="preserve">v atraktivní poloze a s dobro </w:t>
      </w:r>
      <w:r w:rsidR="00691A1B" w:rsidRPr="00111F34">
        <w:rPr>
          <w:lang w:eastAsia="cs-CZ"/>
        </w:rPr>
        <w:t>dopravní dostupností především z hlediska kapacitní bezemisní veřejné hromadné dopravy, což je v souladu s principy prevence dodatečných vyvolaných dopravních vztahů v důsledku suburbanizace</w:t>
      </w:r>
      <w:r w:rsidR="00340C7D" w:rsidRPr="00111F34">
        <w:rPr>
          <w:lang w:eastAsia="cs-CZ"/>
        </w:rPr>
        <w:t xml:space="preserve"> a města krátkých vzdáleností</w:t>
      </w:r>
      <w:r w:rsidR="00691A1B" w:rsidRPr="00111F34">
        <w:rPr>
          <w:lang w:eastAsia="cs-CZ"/>
        </w:rPr>
        <w:t xml:space="preserve">. </w:t>
      </w:r>
    </w:p>
    <w:p w14:paraId="1F5E0D1B" w14:textId="3AC73070" w:rsidR="00691A1B" w:rsidRPr="00111F34" w:rsidRDefault="00691A1B" w:rsidP="00691A1B">
      <w:pPr>
        <w:rPr>
          <w:lang w:eastAsia="cs-CZ"/>
        </w:rPr>
      </w:pPr>
      <w:r w:rsidRPr="00111F34">
        <w:rPr>
          <w:lang w:eastAsia="cs-CZ"/>
        </w:rPr>
        <w:t>Dojde ke vzniku nových vyvolaných zdrojů dopravy při zastavování řešených ploch. Plochy jsou však určené k zastavění s obdobným funkčním využitím i v současnosti. Změna predisponuje dílčí</w:t>
      </w:r>
      <w:r w:rsidR="00BD68DB" w:rsidRPr="00111F34">
        <w:rPr>
          <w:lang w:eastAsia="cs-CZ"/>
        </w:rPr>
        <w:t>m</w:t>
      </w:r>
      <w:r w:rsidRPr="00111F34">
        <w:rPr>
          <w:lang w:eastAsia="cs-CZ"/>
        </w:rPr>
        <w:t xml:space="preserve"> zvýšení intenzity využití území, z hlediska emisních zátěží však neočekáváme v důsledku změny jejich podstatné navýšení. V souvisejícím území dojde ke změně dopravního řešení v souvislosti s</w:t>
      </w:r>
      <w:r w:rsidR="00EC01F2" w:rsidRPr="00111F34">
        <w:rPr>
          <w:lang w:eastAsia="cs-CZ"/>
        </w:rPr>
        <w:t> dobudováním SOKP</w:t>
      </w:r>
      <w:r w:rsidRPr="00111F34">
        <w:rPr>
          <w:lang w:eastAsia="cs-CZ"/>
        </w:rPr>
        <w:t xml:space="preserve">, která přerozdělí dopravní proudy ve prospěch </w:t>
      </w:r>
      <w:r w:rsidR="00EC01F2" w:rsidRPr="00111F34">
        <w:rPr>
          <w:lang w:eastAsia="cs-CZ"/>
        </w:rPr>
        <w:t>nadřazené dopravní infrastruktury</w:t>
      </w:r>
      <w:r w:rsidRPr="00111F34">
        <w:rPr>
          <w:lang w:eastAsia="cs-CZ"/>
        </w:rPr>
        <w:t xml:space="preserve"> a </w:t>
      </w:r>
      <w:r w:rsidR="00EC01F2" w:rsidRPr="00111F34">
        <w:rPr>
          <w:lang w:eastAsia="cs-CZ"/>
        </w:rPr>
        <w:t xml:space="preserve">spolu s dopravním terminálem Výhledy, tramvajovou tratí a parkovištěm P+R </w:t>
      </w:r>
      <w:r w:rsidRPr="00111F34">
        <w:rPr>
          <w:lang w:eastAsia="cs-CZ"/>
        </w:rPr>
        <w:t>bude znamenat snížení intenzit</w:t>
      </w:r>
      <w:r w:rsidR="00EC01F2" w:rsidRPr="00111F34">
        <w:rPr>
          <w:lang w:eastAsia="cs-CZ"/>
        </w:rPr>
        <w:t xml:space="preserve"> IAD</w:t>
      </w:r>
      <w:r w:rsidRPr="00111F34">
        <w:rPr>
          <w:lang w:eastAsia="cs-CZ"/>
        </w:rPr>
        <w:t xml:space="preserve"> především </w:t>
      </w:r>
      <w:r w:rsidR="00EC01F2" w:rsidRPr="00111F34">
        <w:rPr>
          <w:lang w:eastAsia="cs-CZ"/>
        </w:rPr>
        <w:t>v ulici Kamýcká, zejména její severní části</w:t>
      </w:r>
      <w:r w:rsidRPr="00111F34">
        <w:rPr>
          <w:lang w:eastAsia="cs-CZ"/>
        </w:rPr>
        <w:t>.</w:t>
      </w:r>
      <w:r w:rsidR="00EC01F2" w:rsidRPr="00111F34">
        <w:rPr>
          <w:lang w:eastAsia="cs-CZ"/>
        </w:rPr>
        <w:t xml:space="preserve"> Změna rovněž řeší oddálení vyústění přivaděče Rybářka od obytné zástavby.</w:t>
      </w:r>
      <w:r w:rsidRPr="00111F34">
        <w:rPr>
          <w:lang w:eastAsia="cs-CZ"/>
        </w:rPr>
        <w:t xml:space="preserve"> Vzhledem ke stavu a stávajícímu využití území nepředpokládáme překročení limitů znečištění ovzduší v důsledku implementace posuzované ÚPD. </w:t>
      </w:r>
    </w:p>
    <w:p w14:paraId="4903E9C3" w14:textId="48217A69" w:rsidR="00F449F1" w:rsidRPr="00111F34" w:rsidRDefault="00F449F1" w:rsidP="00F449F1">
      <w:r w:rsidRPr="00111F34">
        <w:t xml:space="preserve">Návrh </w:t>
      </w:r>
      <w:r w:rsidR="00B9398C" w:rsidRPr="00111F34">
        <w:t>předkládané změny</w:t>
      </w:r>
      <w:r w:rsidR="00654469" w:rsidRPr="00111F34">
        <w:t xml:space="preserve"> územního plánu</w:t>
      </w:r>
      <w:r w:rsidRPr="00111F34">
        <w:t xml:space="preserve"> nepredisponuje umístěním zdrojů znečištění ve formě rozsáhlé průmyslové či jiné výroby, jež by mohla být (vzhledem k navrhovaným regulativům) významným zdrojem znečištění ovzduší emisemi či zápachem vůči stávající či navrhované obytné zástavbě.</w:t>
      </w:r>
    </w:p>
    <w:p w14:paraId="3D042884" w14:textId="04933C7A" w:rsidR="008F6F3F" w:rsidRPr="00111F34" w:rsidRDefault="008F6F3F" w:rsidP="00F449F1">
      <w:r w:rsidRPr="00111F34">
        <w:t>Z hlediska kvality ovzduší tak bude mít posuzovaná změna mírně pozitivní vliv se synergickým spolupůsobením a místním až regionálním dopadem.</w:t>
      </w:r>
    </w:p>
    <w:p w14:paraId="44131853" w14:textId="16AE2F88" w:rsidR="00F449F1" w:rsidRPr="00111F34" w:rsidRDefault="00F449F1" w:rsidP="00F449F1">
      <w:pPr>
        <w:rPr>
          <w:rFonts w:cs="Arial"/>
        </w:rPr>
      </w:pPr>
      <w:r w:rsidRPr="00111F34">
        <w:rPr>
          <w:rFonts w:cs="Arial"/>
        </w:rPr>
        <w:t xml:space="preserve">Součástí všech stavebních záměrů v řešených plochách musí být rovněž vytvoření funkčních vazeb </w:t>
      </w:r>
      <w:r w:rsidR="004B7458" w:rsidRPr="00111F34">
        <w:rPr>
          <w:rFonts w:cs="Arial"/>
        </w:rPr>
        <w:t>mezi jednotlivými druhy veřejné dopravy</w:t>
      </w:r>
      <w:r w:rsidRPr="00111F34">
        <w:rPr>
          <w:rFonts w:cs="Arial"/>
        </w:rPr>
        <w:t>. Zásah do zeleně</w:t>
      </w:r>
      <w:r w:rsidR="00F90DF9" w:rsidRPr="00111F34">
        <w:rPr>
          <w:rFonts w:cs="Arial"/>
        </w:rPr>
        <w:t>, pokud k němu dojde,</w:t>
      </w:r>
      <w:r w:rsidRPr="00111F34">
        <w:rPr>
          <w:rFonts w:cs="Arial"/>
        </w:rPr>
        <w:t xml:space="preserve"> je třeba kompenzovat adekvátní náhradní výsadbou.</w:t>
      </w:r>
    </w:p>
    <w:p w14:paraId="24B24FA0" w14:textId="21C05423" w:rsidR="008800C1" w:rsidRPr="00111F34" w:rsidRDefault="002D51BD" w:rsidP="00D20CDE">
      <w:pPr>
        <w:rPr>
          <w:rFonts w:cs="Arial"/>
        </w:rPr>
      </w:pPr>
      <w:r w:rsidRPr="00111F34">
        <w:rPr>
          <w:rFonts w:cs="Arial"/>
        </w:rPr>
        <w:lastRenderedPageBreak/>
        <w:t xml:space="preserve">Pro město Prahu je zpracován </w:t>
      </w:r>
      <w:r w:rsidR="00D20CDE" w:rsidRPr="00111F34">
        <w:rPr>
          <w:rFonts w:cs="Arial"/>
        </w:rPr>
        <w:t>Program zlepšování kvality ovzduší Aglomerace CZ01 – Praha, který j</w:t>
      </w:r>
      <w:r w:rsidR="008800C1" w:rsidRPr="00111F34">
        <w:rPr>
          <w:rFonts w:cs="Arial"/>
        </w:rPr>
        <w:t>e</w:t>
      </w:r>
      <w:r w:rsidR="00612A43" w:rsidRPr="00111F34">
        <w:rPr>
          <w:rFonts w:cs="Arial"/>
        </w:rPr>
        <w:t xml:space="preserve"> při povolování staveb v návrhových plochách</w:t>
      </w:r>
      <w:r w:rsidR="008800C1" w:rsidRPr="00111F34">
        <w:rPr>
          <w:rFonts w:cs="Arial"/>
        </w:rPr>
        <w:t xml:space="preserve"> třeba respektovat a v následných krocích konfrontovat dopady jednotlivých záměrů na imisní event. i hlukovou situaci v daném území.</w:t>
      </w:r>
      <w:r w:rsidR="00403010" w:rsidRPr="00111F34">
        <w:rPr>
          <w:rFonts w:cs="Arial"/>
        </w:rPr>
        <w:t xml:space="preserve"> </w:t>
      </w:r>
    </w:p>
    <w:p w14:paraId="37804B76" w14:textId="219B4726" w:rsidR="00C25A21" w:rsidRPr="00111F34" w:rsidRDefault="00F90DF9" w:rsidP="00C25A21">
      <w:r w:rsidRPr="00111F34">
        <w:rPr>
          <w:lang w:eastAsia="cs-CZ"/>
        </w:rPr>
        <w:t>Změna není</w:t>
      </w:r>
      <w:r w:rsidR="00C25A21" w:rsidRPr="00111F34">
        <w:rPr>
          <w:lang w:eastAsia="cs-CZ"/>
        </w:rPr>
        <w:t xml:space="preserve"> v rozporu s dodatečnými opatřeními pro zlepšení kvality ovzduší, které stanovuje PZKO Aglomerace Praha CZ01, která jsou vázána na malá topeniště ve vazbě na B(a)P</w:t>
      </w:r>
      <w:r w:rsidRPr="00111F34">
        <w:rPr>
          <w:lang w:eastAsia="cs-CZ"/>
        </w:rPr>
        <w:t>,</w:t>
      </w:r>
      <w:r w:rsidR="00691A1B" w:rsidRPr="00111F34">
        <w:rPr>
          <w:lang w:eastAsia="cs-CZ"/>
        </w:rPr>
        <w:t xml:space="preserve"> v souvislosti se souvisejícími strategickými rozhodnutími</w:t>
      </w:r>
      <w:r w:rsidRPr="00111F34">
        <w:rPr>
          <w:lang w:eastAsia="cs-CZ"/>
        </w:rPr>
        <w:t xml:space="preserve"> dojde k přerozdělení dopravních zátěží ve prospěch </w:t>
      </w:r>
      <w:r w:rsidR="00BB6AB3" w:rsidRPr="00111F34">
        <w:rPr>
          <w:lang w:eastAsia="cs-CZ"/>
        </w:rPr>
        <w:t>rezidenčních</w:t>
      </w:r>
      <w:r w:rsidRPr="00111F34">
        <w:rPr>
          <w:lang w:eastAsia="cs-CZ"/>
        </w:rPr>
        <w:t xml:space="preserve"> území a zlepšení dopravní situace, a s tím spojených kongescí</w:t>
      </w:r>
      <w:r w:rsidR="00C25A21" w:rsidRPr="00111F34">
        <w:rPr>
          <w:lang w:eastAsia="cs-CZ"/>
        </w:rPr>
        <w:t>.</w:t>
      </w:r>
      <w:r w:rsidRPr="00111F34">
        <w:rPr>
          <w:lang w:eastAsia="cs-CZ"/>
        </w:rPr>
        <w:t xml:space="preserve"> </w:t>
      </w:r>
    </w:p>
    <w:p w14:paraId="7CB94698" w14:textId="092E5789" w:rsidR="006E32D7" w:rsidRPr="00111F34" w:rsidRDefault="006E32D7" w:rsidP="00794578">
      <w:pPr>
        <w:rPr>
          <w:rFonts w:cs="Arial"/>
        </w:rPr>
      </w:pPr>
      <w:r w:rsidRPr="00111F34">
        <w:rPr>
          <w:rFonts w:cs="Arial"/>
        </w:rPr>
        <w:t xml:space="preserve">Z výše uvedených důvodů je možné návrh </w:t>
      </w:r>
      <w:r w:rsidR="00F90DF9" w:rsidRPr="00111F34">
        <w:rPr>
          <w:rFonts w:cs="Arial"/>
        </w:rPr>
        <w:t xml:space="preserve">posuzované </w:t>
      </w:r>
      <w:r w:rsidR="00654469" w:rsidRPr="00111F34">
        <w:rPr>
          <w:rFonts w:cs="Arial"/>
        </w:rPr>
        <w:t>změn</w:t>
      </w:r>
      <w:r w:rsidR="00F90DF9" w:rsidRPr="00111F34">
        <w:rPr>
          <w:rFonts w:cs="Arial"/>
        </w:rPr>
        <w:t>y</w:t>
      </w:r>
      <w:r w:rsidR="00654469" w:rsidRPr="00111F34">
        <w:rPr>
          <w:rFonts w:cs="Arial"/>
        </w:rPr>
        <w:t xml:space="preserve"> územního plánu</w:t>
      </w:r>
      <w:r w:rsidRPr="00111F34">
        <w:rPr>
          <w:rFonts w:cs="Arial"/>
        </w:rPr>
        <w:t xml:space="preserve"> považovat za akceptovateln</w:t>
      </w:r>
      <w:r w:rsidR="00F90DF9" w:rsidRPr="00111F34">
        <w:rPr>
          <w:rFonts w:cs="Arial"/>
        </w:rPr>
        <w:t>ý</w:t>
      </w:r>
      <w:r w:rsidRPr="00111F34">
        <w:rPr>
          <w:rFonts w:cs="Arial"/>
        </w:rPr>
        <w:t xml:space="preserve"> z hlediska očekávaných vl</w:t>
      </w:r>
      <w:r w:rsidR="00C25A21" w:rsidRPr="00111F34">
        <w:rPr>
          <w:rFonts w:cs="Arial"/>
        </w:rPr>
        <w:t>ivů je</w:t>
      </w:r>
      <w:r w:rsidR="00801918" w:rsidRPr="00111F34">
        <w:rPr>
          <w:rFonts w:cs="Arial"/>
        </w:rPr>
        <w:t>ho</w:t>
      </w:r>
      <w:r w:rsidRPr="00111F34">
        <w:rPr>
          <w:rFonts w:cs="Arial"/>
        </w:rPr>
        <w:t xml:space="preserve"> implementace na kvalitu ovzduší.</w:t>
      </w:r>
    </w:p>
    <w:p w14:paraId="14D15DC1" w14:textId="13405616" w:rsidR="00274CE8" w:rsidRPr="00111F34" w:rsidRDefault="00274CE8" w:rsidP="00A67277">
      <w:pPr>
        <w:pStyle w:val="Nadpis3"/>
      </w:pPr>
      <w:bookmarkStart w:id="254" w:name="_Toc29298353"/>
      <w:bookmarkStart w:id="255" w:name="_Toc138848133"/>
      <w:bookmarkStart w:id="256" w:name="_Toc531606267"/>
      <w:r w:rsidRPr="00111F34">
        <w:t>Klima</w:t>
      </w:r>
      <w:bookmarkEnd w:id="254"/>
      <w:bookmarkEnd w:id="255"/>
    </w:p>
    <w:p w14:paraId="57A0414C" w14:textId="0BFF2E35" w:rsidR="006178AB" w:rsidRPr="00111F34" w:rsidRDefault="001A1CD9" w:rsidP="006178AB">
      <w:r w:rsidRPr="00111F34">
        <w:t>Změna navrhuje zastavitelné plochy v rozsahu 133 083 m</w:t>
      </w:r>
      <w:r w:rsidRPr="00111F34">
        <w:rPr>
          <w:vertAlign w:val="superscript"/>
        </w:rPr>
        <w:t>2</w:t>
      </w:r>
      <w:r w:rsidRPr="00111F34">
        <w:t>. Oproti tomu návrh změny navrhuje plochy nezastavitelné</w:t>
      </w:r>
      <w:r w:rsidR="002E61F7" w:rsidRPr="00111F34">
        <w:t>,</w:t>
      </w:r>
      <w:r w:rsidRPr="00111F34">
        <w:t xml:space="preserve"> a tímto ruší zastavitelné plochy v rozsahu 31 244 m</w:t>
      </w:r>
      <w:r w:rsidRPr="00111F34">
        <w:rPr>
          <w:vertAlign w:val="superscript"/>
        </w:rPr>
        <w:t>2</w:t>
      </w:r>
      <w:r w:rsidRPr="00111F34">
        <w:t>. Finálně je ve změně navrhován nárůst zastavitelných ploch v rozsahu 101 839 m</w:t>
      </w:r>
      <w:r w:rsidRPr="00111F34">
        <w:rPr>
          <w:vertAlign w:val="superscript"/>
        </w:rPr>
        <w:t>2</w:t>
      </w:r>
      <w:r w:rsidR="006178AB" w:rsidRPr="00111F34">
        <w:t>. Vzhledem k</w:t>
      </w:r>
      <w:r w:rsidRPr="00111F34">
        <w:t> </w:t>
      </w:r>
      <w:r w:rsidR="006178AB" w:rsidRPr="00111F34">
        <w:t>charakteru</w:t>
      </w:r>
      <w:r w:rsidRPr="00111F34">
        <w:t xml:space="preserve"> změny a</w:t>
      </w:r>
      <w:r w:rsidR="006178AB" w:rsidRPr="00111F34">
        <w:t xml:space="preserve"> okolních ploch</w:t>
      </w:r>
      <w:r w:rsidRPr="00111F34">
        <w:t xml:space="preserve"> s vyšším podílem zeleně</w:t>
      </w:r>
      <w:r w:rsidR="006178AB" w:rsidRPr="00111F34">
        <w:t xml:space="preserve"> nejsou předpokládány významné negativní vlivy na klima v důsledku řešené změny územního plánu. Lokalita se nachází v zastavěném </w:t>
      </w:r>
      <w:r w:rsidR="008F6F3F" w:rsidRPr="00111F34">
        <w:t xml:space="preserve">i nezastavěném </w:t>
      </w:r>
      <w:r w:rsidR="006178AB" w:rsidRPr="00111F34">
        <w:t>území</w:t>
      </w:r>
      <w:r w:rsidR="008F6F3F" w:rsidRPr="00111F34">
        <w:t>, změnou částečně dojde k transformaci brownfields</w:t>
      </w:r>
      <w:r w:rsidR="006178AB" w:rsidRPr="00111F34">
        <w:t>.</w:t>
      </w:r>
      <w:r w:rsidRPr="00111F34">
        <w:t xml:space="preserve"> Jsou vymezeny adekvátní plochy zeleně, nedochází k rozšiřování zástavby do volné krajiny v nepřiměřeném rozsahu.</w:t>
      </w:r>
    </w:p>
    <w:p w14:paraId="39F5E7DC" w14:textId="0DDC59CE" w:rsidR="006178AB" w:rsidRPr="00111F34" w:rsidRDefault="006178AB" w:rsidP="006178AB">
      <w:r w:rsidRPr="00111F34">
        <w:t>V bezprostředním okolí nových staveb dojde ke snížení retenční schopnosti území, která je však již v současnosti omezena existujícími stavbami, zpevněnými povrchy</w:t>
      </w:r>
      <w:r w:rsidR="001A1CD9" w:rsidRPr="00111F34">
        <w:t>, skládkami</w:t>
      </w:r>
      <w:r w:rsidRPr="00111F34">
        <w:t xml:space="preserve"> a </w:t>
      </w:r>
      <w:r w:rsidR="001A1CD9" w:rsidRPr="00111F34">
        <w:t>intenzivním zorněním</w:t>
      </w:r>
      <w:r w:rsidRPr="00111F34">
        <w:t>. Na druhou stranu lze očekávat zvýšení podílu zeleně v prostoru ploch vymezených pro zeleň (ZMK a ZP) a dalších veřejných prostranství. Podstatnější vliv</w:t>
      </w:r>
      <w:r w:rsidR="001A1CD9" w:rsidRPr="00111F34">
        <w:t xml:space="preserve"> však</w:t>
      </w:r>
      <w:r w:rsidRPr="00111F34">
        <w:t xml:space="preserve"> bude spojen</w:t>
      </w:r>
      <w:r w:rsidR="002E61F7" w:rsidRPr="00111F34">
        <w:t xml:space="preserve"> s</w:t>
      </w:r>
      <w:r w:rsidRPr="00111F34">
        <w:t xml:space="preserve"> </w:t>
      </w:r>
      <w:r w:rsidR="001A1CD9" w:rsidRPr="00111F34">
        <w:t>rezidenční zástavbou s nižší intenzitou</w:t>
      </w:r>
      <w:r w:rsidRPr="00111F34">
        <w:t xml:space="preserve"> v souvislosti s</w:t>
      </w:r>
      <w:r w:rsidR="002E61F7" w:rsidRPr="00111F34">
        <w:t> potenciálem pro</w:t>
      </w:r>
      <w:r w:rsidRPr="00111F34">
        <w:t xml:space="preserve"> zvýšen</w:t>
      </w:r>
      <w:r w:rsidR="002E61F7" w:rsidRPr="00111F34">
        <w:t>í</w:t>
      </w:r>
      <w:r w:rsidRPr="00111F34">
        <w:t xml:space="preserve"> teplot povrchů.</w:t>
      </w:r>
      <w:r w:rsidR="00BC7438" w:rsidRPr="00111F34">
        <w:t xml:space="preserve"> Parkoviště P+R je navrženo s vyšším podílem zeleně. Při zastavování ploch je třeba dbát</w:t>
      </w:r>
      <w:r w:rsidRPr="00111F34">
        <w:t xml:space="preserve"> na maximální podíl zeleně v uličních prostranstvích</w:t>
      </w:r>
      <w:r w:rsidR="00BC7438" w:rsidRPr="00111F34">
        <w:t xml:space="preserve"> </w:t>
      </w:r>
      <w:r w:rsidRPr="00111F34">
        <w:t>a realizaci modrozelené infrastruktury tak, aby byl minimalizován vzrůst teplot povrchů v budoucí zástavbě. V budoucnu je</w:t>
      </w:r>
      <w:r w:rsidR="00801918" w:rsidRPr="00111F34">
        <w:t xml:space="preserve"> tak</w:t>
      </w:r>
      <w:r w:rsidRPr="00111F34">
        <w:t xml:space="preserve"> třeba dbát na maximální zastínění nově vznikajících betonových povrchů. </w:t>
      </w:r>
    </w:p>
    <w:p w14:paraId="14125BB0" w14:textId="0A735D4A" w:rsidR="001531DC" w:rsidRPr="00111F34" w:rsidRDefault="001531DC" w:rsidP="001531DC">
      <w:r w:rsidRPr="00111F34">
        <w:t xml:space="preserve">Podstatné vlivy na mikroklimatické charakteristiky </w:t>
      </w:r>
      <w:r w:rsidR="00636E79" w:rsidRPr="00111F34">
        <w:t>posuzovan</w:t>
      </w:r>
      <w:r w:rsidR="00F90DF9" w:rsidRPr="00111F34">
        <w:t>á změna územního plánu negeneruje</w:t>
      </w:r>
      <w:r w:rsidR="00636E79" w:rsidRPr="00111F34">
        <w:t>. Dojde k</w:t>
      </w:r>
      <w:r w:rsidR="00F449F1" w:rsidRPr="00111F34">
        <w:t> možnému kácení vzrostlé zeleně</w:t>
      </w:r>
      <w:r w:rsidR="003B3724" w:rsidRPr="00111F34">
        <w:t xml:space="preserve"> podél ulice Kamýcká a </w:t>
      </w:r>
      <w:r w:rsidR="002E61F7" w:rsidRPr="00111F34">
        <w:t xml:space="preserve">zásahům do </w:t>
      </w:r>
      <w:r w:rsidR="003B3724" w:rsidRPr="00111F34">
        <w:t>náletové zeleně v Novém Sedlci</w:t>
      </w:r>
      <w:r w:rsidR="00636E79" w:rsidRPr="00111F34">
        <w:t xml:space="preserve">, </w:t>
      </w:r>
      <w:r w:rsidR="00F21480" w:rsidRPr="00111F34">
        <w:t>které</w:t>
      </w:r>
      <w:r w:rsidR="00636E79" w:rsidRPr="00111F34">
        <w:t xml:space="preserve"> nemůže mít podstatný vliv na mikroklimatické charakteristiky </w:t>
      </w:r>
      <w:r w:rsidR="00801918" w:rsidRPr="00111F34">
        <w:t>města</w:t>
      </w:r>
      <w:r w:rsidR="00F449F1" w:rsidRPr="00111F34">
        <w:t>.</w:t>
      </w:r>
      <w:r w:rsidR="00F90DF9" w:rsidRPr="00111F34">
        <w:t xml:space="preserve"> Na druhou stranu dojde k realizaci </w:t>
      </w:r>
      <w:r w:rsidR="003B3724" w:rsidRPr="00111F34">
        <w:t xml:space="preserve">zeleně zahrad rodinných domů, </w:t>
      </w:r>
      <w:r w:rsidR="00F90DF9" w:rsidRPr="00111F34">
        <w:t>parkových ploch v meziblocích a v rámci veřejných prostranství.</w:t>
      </w:r>
      <w:r w:rsidR="003B3724" w:rsidRPr="00111F34">
        <w:t xml:space="preserve"> Vymezeny jsou plochy ZMK a ZP pro realizaci parkové veřejné zeleně v oblasti Nového Sedlce i Výhledů a izolační zeleně a krajinné zeleně na přechodu do volné krajiny. Vložením tramvajové trati dojde k dílčímu zastavění zbytkových ploch zeleně převážně charakteru trávníků a izolační zeleně podél stávajících ulic Podbabská, Roztocká a Kamýcká.</w:t>
      </w:r>
      <w:r w:rsidR="002E61F7" w:rsidRPr="00111F34">
        <w:t xml:space="preserve"> Celkově neočekáváme významné změny v objemu zeleně, zastínění povrchů ani vzrůstu povrchových teplot v území.</w:t>
      </w:r>
    </w:p>
    <w:p w14:paraId="255E8512" w14:textId="59CC0AC6" w:rsidR="00DC507D" w:rsidRPr="00111F34" w:rsidRDefault="00DC507D" w:rsidP="00DC507D">
      <w:r w:rsidRPr="00111F34">
        <w:t>Očekávané vlivy řešené změny na kli</w:t>
      </w:r>
      <w:r w:rsidR="00804B70" w:rsidRPr="00111F34">
        <w:t>ma jsou převážně mírně negativní</w:t>
      </w:r>
      <w:r w:rsidRPr="00111F34">
        <w:t xml:space="preserve"> až marginální. Rozhodujícími faktory jsou zpevněné a zastavěné plochy na jedné straně</w:t>
      </w:r>
      <w:r w:rsidR="003B3724" w:rsidRPr="00111F34">
        <w:t xml:space="preserve"> (především v oblasti </w:t>
      </w:r>
      <w:r w:rsidR="002E61F7" w:rsidRPr="00111F34">
        <w:t>Výhledů</w:t>
      </w:r>
      <w:r w:rsidR="003B3724" w:rsidRPr="00111F34">
        <w:t>)</w:t>
      </w:r>
      <w:r w:rsidRPr="00111F34">
        <w:t xml:space="preserve"> a současně očekávané vegetační úpravy </w:t>
      </w:r>
      <w:r w:rsidR="00804B70" w:rsidRPr="00111F34">
        <w:t>v</w:t>
      </w:r>
      <w:r w:rsidRPr="00111F34">
        <w:t xml:space="preserve"> ploc</w:t>
      </w:r>
      <w:r w:rsidR="00804B70" w:rsidRPr="00111F34">
        <w:t xml:space="preserve">hách určených pro </w:t>
      </w:r>
      <w:r w:rsidR="00F90DF9" w:rsidRPr="00111F34">
        <w:t>městské</w:t>
      </w:r>
      <w:r w:rsidR="00804B70" w:rsidRPr="00111F34">
        <w:t xml:space="preserve"> funkce</w:t>
      </w:r>
      <w:r w:rsidRPr="00111F34">
        <w:t>, to vše v kontextu stávající zastavěnosti území a podílu stávající zeleně. Vzhledem k současnému stavu území, lze vlivem realizace záměrů v zastavitelných plochách očekávat mírné zvýšení průměrné teploty i extrémních teplot v bezprostředním okolí nových staveb, avšak na druhé straně i mírné snížení v širším okolí díky ozelenění doprovodnou vegetací</w:t>
      </w:r>
      <w:r w:rsidR="002E61F7" w:rsidRPr="00111F34">
        <w:t xml:space="preserve"> a transformací stávajících ploch DH a VP v Novém Sedleci</w:t>
      </w:r>
      <w:r w:rsidRPr="00111F34">
        <w:t>.</w:t>
      </w:r>
    </w:p>
    <w:p w14:paraId="3219DDCB" w14:textId="38C59FAF" w:rsidR="00DC507D" w:rsidRPr="00111F34" w:rsidRDefault="00DC507D" w:rsidP="00DC507D">
      <w:r w:rsidRPr="00111F34">
        <w:t xml:space="preserve">Návrh </w:t>
      </w:r>
      <w:r w:rsidR="008705CE" w:rsidRPr="00111F34">
        <w:t>změny</w:t>
      </w:r>
      <w:r w:rsidRPr="00111F34">
        <w:t xml:space="preserve"> územního plánu je tak, z hlediska vlivu na mikroklima, akceptovatelný</w:t>
      </w:r>
      <w:r w:rsidR="006C73F9" w:rsidRPr="00111F34">
        <w:t>.</w:t>
      </w:r>
    </w:p>
    <w:p w14:paraId="193BFFAB" w14:textId="563A0FBC" w:rsidR="00794578" w:rsidRPr="00111F34" w:rsidRDefault="00794578" w:rsidP="00A67277">
      <w:pPr>
        <w:pStyle w:val="Nadpis3"/>
      </w:pPr>
      <w:bookmarkStart w:id="257" w:name="_Toc531606268"/>
      <w:bookmarkStart w:id="258" w:name="_Toc29298355"/>
      <w:bookmarkStart w:id="259" w:name="_Toc138848134"/>
      <w:bookmarkEnd w:id="256"/>
      <w:r w:rsidRPr="00111F34">
        <w:t>ZPF a PUPFL</w:t>
      </w:r>
      <w:bookmarkEnd w:id="257"/>
      <w:bookmarkEnd w:id="258"/>
      <w:bookmarkEnd w:id="259"/>
    </w:p>
    <w:p w14:paraId="2BD58596" w14:textId="29898F93" w:rsidR="007263BE" w:rsidRPr="00111F34" w:rsidRDefault="007263BE" w:rsidP="007263BE">
      <w:bookmarkStart w:id="260" w:name="_Toc531606269"/>
      <w:bookmarkStart w:id="261" w:name="_Toc29298356"/>
      <w:r w:rsidRPr="00111F34">
        <w:t>Půdy, resp. pokryvné útvary, v oblasti Nového Sedlce a zejména Výhledů jsou zařazeny do tříd ochrany I. a II., tedy do nejcennějších skupin, avšak kvůli minulé těžební činnosti a současnému využití území pro recyklaci zemin a stavebních materiálů území ztratilo své vlastnosti pro vyšší ochranu. Místy dochází k masivním erozím půdy. Výstavbou tramvajové tratě a okolní zástavby tak dojde k revitalizaci brownfieldu. Na území Výhledů se nachází nejcennější půdy třídy ochrany I., které jsou zemědělsky obhospodařované.</w:t>
      </w:r>
    </w:p>
    <w:p w14:paraId="3972A6E8" w14:textId="06C62640" w:rsidR="007263BE" w:rsidRPr="00111F34" w:rsidRDefault="007263BE" w:rsidP="007263BE">
      <w:r w:rsidRPr="00111F34">
        <w:t>Posuzovaná změna územního plánu generuje potenciální zábor ZPF v celkovém rozsahu 18,17 ha půdy, z toho cca 16,</w:t>
      </w:r>
      <w:r w:rsidR="002E61F7" w:rsidRPr="00111F34">
        <w:t>3</w:t>
      </w:r>
      <w:r w:rsidRPr="00111F34">
        <w:t xml:space="preserve"> ha půd I. třídy ochrany a 1,7 ha půd II. třídy ochrany. Většina záboru je situována v oblasti Výhledů. Převážná část ploch je již v územním plánu určena </w:t>
      </w:r>
      <w:r w:rsidR="00606C6E" w:rsidRPr="00111F34">
        <w:t>ke změně využití</w:t>
      </w:r>
      <w:r w:rsidRPr="00111F34">
        <w:t xml:space="preserve">, změnou jsou plochy znovu </w:t>
      </w:r>
      <w:r w:rsidRPr="00111F34">
        <w:lastRenderedPageBreak/>
        <w:t xml:space="preserve">prověřeny a přeskupeny. Převážná část záborů nejhodnotnějších půd je pak tvořena zábory pro zeleň a pro travnaté plochy a pro plochy dopravní infrastruktury. Předpokládá se návrat půd do ZPF v rozsahu 9,6 ha. </w:t>
      </w:r>
    </w:p>
    <w:p w14:paraId="4DE858A0" w14:textId="77777777" w:rsidR="00606C6E" w:rsidRPr="00111F34" w:rsidRDefault="00606C6E" w:rsidP="00606C6E">
      <w:r w:rsidRPr="00111F34">
        <w:t>Předpokládaný zábor ZPF je zdůvodnitelný veřejnou prospěšností výstavby tramvajové tratě, její smyčkou, dopravním terminálem a zajištěním kapacit parkování P+R.</w:t>
      </w:r>
    </w:p>
    <w:p w14:paraId="7E79DCD5" w14:textId="77777777" w:rsidR="007263BE" w:rsidRPr="00111F34" w:rsidRDefault="007263BE" w:rsidP="007263BE">
      <w:r w:rsidRPr="00111F34">
        <w:t>Změnou dojde k odnětí pozemků určených k plnění funkce lesa (PUPFL) v celkové ploše 0,4321 ha ve stopě koridoru přivaděče Rybářka. Odnětí je zdůvodnitelné výstavbou stavby dopravní infrastruktury ve veřejném zájmu.</w:t>
      </w:r>
    </w:p>
    <w:p w14:paraId="712372A2" w14:textId="499F9DD1" w:rsidR="00794578" w:rsidRPr="00111F34" w:rsidRDefault="00410469" w:rsidP="00A67277">
      <w:pPr>
        <w:pStyle w:val="Nadpis3"/>
      </w:pPr>
      <w:bookmarkStart w:id="262" w:name="_Toc138848135"/>
      <w:r w:rsidRPr="00111F34">
        <w:t>Horninové prostředí,</w:t>
      </w:r>
      <w:r w:rsidR="00794578" w:rsidRPr="00111F34">
        <w:t xml:space="preserve"> surovinové zdroje</w:t>
      </w:r>
      <w:bookmarkEnd w:id="260"/>
      <w:r w:rsidRPr="00111F34">
        <w:t>, georizika</w:t>
      </w:r>
      <w:bookmarkEnd w:id="261"/>
      <w:bookmarkEnd w:id="262"/>
    </w:p>
    <w:p w14:paraId="67EA510E" w14:textId="32FFACBB" w:rsidR="00246D18" w:rsidRPr="00111F34" w:rsidRDefault="00851456" w:rsidP="00246D18">
      <w:pPr>
        <w:rPr>
          <w:rFonts w:cs="Arial"/>
        </w:rPr>
      </w:pPr>
      <w:r w:rsidRPr="00111F34">
        <w:rPr>
          <w:rFonts w:cs="Arial"/>
        </w:rPr>
        <w:t xml:space="preserve">Každá stavba znamená zásah do horninového prostředí, nicméně na úrovni SEA nebyly zjištěny podstatné negativní vlivy </w:t>
      </w:r>
      <w:r w:rsidR="002828BC" w:rsidRPr="00111F34">
        <w:rPr>
          <w:rFonts w:cs="Arial"/>
        </w:rPr>
        <w:t>změny ve vztahu k horninovému prostředí a surovinovým zdrojům.</w:t>
      </w:r>
      <w:r w:rsidR="00F90DF9" w:rsidRPr="00111F34">
        <w:rPr>
          <w:rFonts w:cs="Arial"/>
        </w:rPr>
        <w:t xml:space="preserve"> </w:t>
      </w:r>
    </w:p>
    <w:p w14:paraId="15925B7A" w14:textId="66A30B11" w:rsidR="00BE4A30" w:rsidRPr="00111F34" w:rsidRDefault="00BE4A30" w:rsidP="00246D18">
      <w:pPr>
        <w:rPr>
          <w:rFonts w:cs="Arial"/>
        </w:rPr>
      </w:pPr>
      <w:r w:rsidRPr="00111F34">
        <w:t xml:space="preserve">Na území se nachází </w:t>
      </w:r>
      <w:r w:rsidR="00606C6E" w:rsidRPr="00111F34">
        <w:t>dvě dílčí již exploatované části</w:t>
      </w:r>
      <w:r w:rsidRPr="00111F34">
        <w:t xml:space="preserve"> evidovan</w:t>
      </w:r>
      <w:r w:rsidR="00606C6E" w:rsidRPr="00111F34">
        <w:t>ého nevýhradního</w:t>
      </w:r>
      <w:r w:rsidRPr="00111F34">
        <w:t xml:space="preserve"> ložiska </w:t>
      </w:r>
      <w:r w:rsidR="00606C6E" w:rsidRPr="00111F34">
        <w:t>sprašových hlín</w:t>
      </w:r>
      <w:r w:rsidRPr="00111F34">
        <w:t xml:space="preserve"> – „Sedlec–Únětice – Cihlářská surovina“. Je zde též evidováno jedno území s aktivním sesuvem půdy – toto území bude muset být detailně prověřeno a zajištěno proti dalším sesuvům. V současné době se většina srážek přirozeně vsakuje, případně po povrchu odtéká do vodoteče či kanalizace.</w:t>
      </w:r>
    </w:p>
    <w:p w14:paraId="23346639" w14:textId="63C543D7" w:rsidR="00246D18" w:rsidRPr="00111F34" w:rsidRDefault="00246D18" w:rsidP="00246D18">
      <w:r w:rsidRPr="00111F34">
        <w:t xml:space="preserve">Změna územního plánu nenavrhuje výrazné zásahy do morfologie ani druhy využití, které by významně zasahovaly do podoby podloží. Charakter podloží ale může klást specifické požadavky na návrh založení jednotlivých staveb, které budou muset reagovat na specifika staveb </w:t>
      </w:r>
      <w:r w:rsidR="00606C6E" w:rsidRPr="00111F34">
        <w:t>v prostoru s rozsáhlými antropogenními navážkami</w:t>
      </w:r>
      <w:r w:rsidRPr="00111F34">
        <w:t>, jimž dává posuzovaná změna územního plánu Z </w:t>
      </w:r>
      <w:r w:rsidR="001663EA" w:rsidRPr="00111F34">
        <w:t>3827</w:t>
      </w:r>
      <w:r w:rsidRPr="00111F34">
        <w:t>/00 rámec. Tato problematika je mimo podrobnost územního plánu a je třeba ji řešit pomocí technických opatření v další fázi projektové přípravy staveb.</w:t>
      </w:r>
    </w:p>
    <w:p w14:paraId="148807E8" w14:textId="79A4C7ED" w:rsidR="0067562A" w:rsidRPr="00111F34" w:rsidRDefault="0067562A" w:rsidP="0067562A">
      <w:pPr>
        <w:pStyle w:val="zkltext"/>
        <w:rPr>
          <w:sz w:val="20"/>
        </w:rPr>
      </w:pPr>
      <w:r w:rsidRPr="00111F34">
        <w:rPr>
          <w:sz w:val="20"/>
        </w:rPr>
        <w:t>Změna negeneruje budování rozsáhlých podzemních prostor,</w:t>
      </w:r>
      <w:r w:rsidR="00606C6E" w:rsidRPr="00111F34">
        <w:rPr>
          <w:sz w:val="20"/>
        </w:rPr>
        <w:t xml:space="preserve"> </w:t>
      </w:r>
      <w:r w:rsidRPr="00111F34">
        <w:rPr>
          <w:sz w:val="20"/>
        </w:rPr>
        <w:t>ani kumulativní, resp. synergické vlivy.</w:t>
      </w:r>
    </w:p>
    <w:p w14:paraId="79327374" w14:textId="77777777" w:rsidR="0067562A" w:rsidRPr="00111F34" w:rsidRDefault="0067562A" w:rsidP="0067562A">
      <w:r w:rsidRPr="00111F34">
        <w:t>Dle Systému evidence kontaminovaných míst (SEKM) spravovaném Ministerstvem životního prostředí se v řešeném území nachází dvě lokality potenciálních kontaminací.</w:t>
      </w:r>
    </w:p>
    <w:p w14:paraId="1F84108B" w14:textId="77777777" w:rsidR="0067562A" w:rsidRPr="00111F34" w:rsidRDefault="0067562A" w:rsidP="0067562A">
      <w:pPr>
        <w:pStyle w:val="Odstavecseseznamem"/>
        <w:numPr>
          <w:ilvl w:val="0"/>
          <w:numId w:val="49"/>
        </w:numPr>
      </w:pPr>
      <w:r w:rsidRPr="00111F34">
        <w:t xml:space="preserve">Skládka u bývalé cihelny, ID lokality 30041018 – neprozkoumaná lokalita bez aktuálních rizik; </w:t>
      </w:r>
    </w:p>
    <w:p w14:paraId="287B7173" w14:textId="77777777" w:rsidR="0067562A" w:rsidRPr="00111F34" w:rsidRDefault="0067562A" w:rsidP="0067562A">
      <w:pPr>
        <w:pStyle w:val="Odstavecseseznamem"/>
        <w:numPr>
          <w:ilvl w:val="0"/>
          <w:numId w:val="49"/>
        </w:numPr>
      </w:pPr>
      <w:r w:rsidRPr="00111F34">
        <w:t>Skládka ve vytěžených zemnících v Sedlci, ID lokality 30041019 – kontaminace je potvrzena, nereprezentuje aktuální zdravotní riziko ani rozpor s legislativou, není však vyloučena možnost dalšího šíření.</w:t>
      </w:r>
    </w:p>
    <w:p w14:paraId="3E5E48BA" w14:textId="77777777" w:rsidR="00606C6E" w:rsidRPr="00111F34" w:rsidRDefault="0067562A" w:rsidP="0067562A">
      <w:r w:rsidRPr="00111F34">
        <w:t>Jedná se o skládky ve vytěžené cihelně a zemnících zavážené v dlouhém časovém období širokým spektrem odpadů, kde převládala zemina a stavební suť</w:t>
      </w:r>
      <w:r w:rsidR="00606C6E" w:rsidRPr="00111F34">
        <w:t>, ve svrchních vrstvách se mohou vyskytovat ropné látky</w:t>
      </w:r>
      <w:r w:rsidRPr="00111F34">
        <w:t xml:space="preserve">. </w:t>
      </w:r>
      <w:r w:rsidR="00606C6E" w:rsidRPr="00111F34">
        <w:t xml:space="preserve">Mírně negativní vliv s místním dopadem a dočasným působením v důsledku zásahu do geologických struktur ve střetu s územím potenciálních ekologických zátěží a svahových pohybů. Mimo podrobnost územního plánu, je třeba řešit na úrovni projektové přípravy staveb. </w:t>
      </w:r>
    </w:p>
    <w:p w14:paraId="7C3C8E12" w14:textId="2F392572" w:rsidR="0067562A" w:rsidRPr="00111F34" w:rsidRDefault="0067562A" w:rsidP="0067562A">
      <w:r w:rsidRPr="00111F34">
        <w:t>V navazujících řízeních je v případě prokázání kontaminace (</w:t>
      </w:r>
      <w:r w:rsidR="00606C6E" w:rsidRPr="00111F34">
        <w:t>na základě prověření</w:t>
      </w:r>
      <w:r w:rsidRPr="00111F34">
        <w:t xml:space="preserve"> podrobný</w:t>
      </w:r>
      <w:r w:rsidR="00606C6E" w:rsidRPr="00111F34">
        <w:t>m</w:t>
      </w:r>
      <w:r w:rsidRPr="00111F34">
        <w:t xml:space="preserve"> hydrogeologický</w:t>
      </w:r>
      <w:r w:rsidR="00606C6E" w:rsidRPr="00111F34">
        <w:t>m</w:t>
      </w:r>
      <w:r w:rsidRPr="00111F34">
        <w:t xml:space="preserve"> a </w:t>
      </w:r>
      <w:r w:rsidR="00606C6E" w:rsidRPr="00111F34">
        <w:t xml:space="preserve">případně </w:t>
      </w:r>
      <w:r w:rsidRPr="00111F34">
        <w:t>sanační</w:t>
      </w:r>
      <w:r w:rsidR="00606C6E" w:rsidRPr="00111F34">
        <w:t>m</w:t>
      </w:r>
      <w:r w:rsidRPr="00111F34">
        <w:t xml:space="preserve"> průzkum</w:t>
      </w:r>
      <w:r w:rsidR="00606C6E" w:rsidRPr="00111F34">
        <w:t>em</w:t>
      </w:r>
      <w:r w:rsidRPr="00111F34">
        <w:t>) nutné přijmout opatření pro zamezení negativního ovlivnění budoucích staveb</w:t>
      </w:r>
      <w:r w:rsidR="00606C6E" w:rsidRPr="00111F34">
        <w:t xml:space="preserve"> určených pro bydlení a veřejnou vybavenost</w:t>
      </w:r>
      <w:r w:rsidRPr="00111F34">
        <w:t>, resp. jejich uživatelů např. pomocí odtěžení kontaminovaných zemin a jejich likvidace v souladu se zákonem o odpadech.</w:t>
      </w:r>
    </w:p>
    <w:p w14:paraId="23EB1735" w14:textId="77777777" w:rsidR="0067562A" w:rsidRPr="00111F34" w:rsidRDefault="0067562A" w:rsidP="0067562A">
      <w:pPr>
        <w:pStyle w:val="Podnadpis1"/>
        <w:spacing w:before="120"/>
        <w:jc w:val="both"/>
        <w:rPr>
          <w:rFonts w:eastAsia="Arial"/>
          <w:b w:val="0"/>
          <w:i w:val="0"/>
          <w:snapToGrid/>
          <w:color w:val="auto"/>
          <w:szCs w:val="22"/>
          <w:lang w:eastAsia="en-US"/>
        </w:rPr>
      </w:pPr>
      <w:r w:rsidRPr="00111F34">
        <w:rPr>
          <w:rFonts w:eastAsia="Arial"/>
          <w:b w:val="0"/>
          <w:i w:val="0"/>
          <w:snapToGrid/>
          <w:color w:val="auto"/>
          <w:szCs w:val="22"/>
          <w:lang w:eastAsia="en-US"/>
        </w:rPr>
        <w:t xml:space="preserve">Kumulativní ani synergické vlivy změna negeneruje. </w:t>
      </w:r>
    </w:p>
    <w:p w14:paraId="675DF4E1" w14:textId="6AFA3974" w:rsidR="00801918" w:rsidRPr="00111F34" w:rsidRDefault="00801918" w:rsidP="00246D18">
      <w:r w:rsidRPr="00111F34">
        <w:t>Návrh změny územního plánu je tak, z hlediska vlivu na horninové prostředí, akceptovatelný.</w:t>
      </w:r>
    </w:p>
    <w:p w14:paraId="36DDCD11" w14:textId="1C06C0C6" w:rsidR="00F2791F" w:rsidRPr="00111F34" w:rsidRDefault="00F2791F" w:rsidP="00F2791F">
      <w:pPr>
        <w:pStyle w:val="Nadpis3"/>
      </w:pPr>
      <w:bookmarkStart w:id="263" w:name="_Toc29298354"/>
      <w:bookmarkStart w:id="264" w:name="_Toc138848136"/>
      <w:r w:rsidRPr="00111F34">
        <w:t>Voda</w:t>
      </w:r>
      <w:bookmarkEnd w:id="263"/>
      <w:bookmarkEnd w:id="264"/>
      <w:r w:rsidRPr="00111F34">
        <w:t xml:space="preserve"> </w:t>
      </w:r>
    </w:p>
    <w:p w14:paraId="3029DCE2" w14:textId="510B9973" w:rsidR="007617E4" w:rsidRPr="00111F34" w:rsidRDefault="007617E4" w:rsidP="00334F50">
      <w:r w:rsidRPr="00111F34">
        <w:t>V současné době se většina srážek přirozeně vsakuje, případně po povrchu odtéká do vodoteče či kanalizace.</w:t>
      </w:r>
    </w:p>
    <w:p w14:paraId="6D64D126" w14:textId="4FB88C46" w:rsidR="00C13A98" w:rsidRPr="00111F34" w:rsidRDefault="00C13A98" w:rsidP="00334F50">
      <w:r w:rsidRPr="00111F34">
        <w:rPr>
          <w:rFonts w:cs="Arial"/>
        </w:rPr>
        <w:t>Změna navrhuje zastavitelné plochy v rozsahu 133 083 m</w:t>
      </w:r>
      <w:r w:rsidRPr="00111F34">
        <w:rPr>
          <w:rFonts w:cs="Arial"/>
          <w:vertAlign w:val="superscript"/>
        </w:rPr>
        <w:t>2</w:t>
      </w:r>
      <w:r w:rsidRPr="00111F34">
        <w:rPr>
          <w:rFonts w:cs="Arial"/>
        </w:rPr>
        <w:t>. Oproti tomu návrh změny navrhuje plochy nezastavitelné a tímto ruší zastavitelné plochy v rozsahu 31 244 m</w:t>
      </w:r>
      <w:r w:rsidRPr="00111F34">
        <w:rPr>
          <w:rFonts w:cs="Arial"/>
          <w:vertAlign w:val="superscript"/>
        </w:rPr>
        <w:t>2</w:t>
      </w:r>
      <w:r w:rsidRPr="00111F34">
        <w:rPr>
          <w:rFonts w:cs="Arial"/>
        </w:rPr>
        <w:t>. Finálně je ve změně navrhován nárůst zastavitelných ploch v rozsahu 101 839 m</w:t>
      </w:r>
      <w:r w:rsidRPr="00111F34">
        <w:rPr>
          <w:rFonts w:cs="Arial"/>
          <w:vertAlign w:val="superscript"/>
        </w:rPr>
        <w:t>2</w:t>
      </w:r>
      <w:r w:rsidRPr="00111F34">
        <w:rPr>
          <w:rFonts w:cs="Arial"/>
        </w:rPr>
        <w:t>.</w:t>
      </w:r>
    </w:p>
    <w:p w14:paraId="02DC28C6" w14:textId="52BA34AE" w:rsidR="00246D18" w:rsidRPr="00111F34" w:rsidRDefault="00246D18" w:rsidP="00246D18">
      <w:pPr>
        <w:rPr>
          <w:rFonts w:cs="Arial"/>
          <w:lang w:eastAsia="cs-CZ"/>
        </w:rPr>
      </w:pPr>
      <w:r w:rsidRPr="00111F34">
        <w:rPr>
          <w:rFonts w:cs="Arial"/>
          <w:lang w:eastAsia="cs-CZ"/>
        </w:rPr>
        <w:t>V územním plánu jsou obecně stanoveny podmínky pro odkanalizování ploch v závislosti na charakteru podloží a možnostech kanalizačního systému. V tomto případě je třeba apelovat na realizaci modrozelené infrastruktury a maximální zastoupení zeleně v navazujících řízeních.</w:t>
      </w:r>
    </w:p>
    <w:p w14:paraId="5314DA98" w14:textId="02AAB00F" w:rsidR="00246D18" w:rsidRPr="00111F34" w:rsidRDefault="00246D18" w:rsidP="00246D18">
      <w:pPr>
        <w:rPr>
          <w:rFonts w:cs="Arial"/>
          <w:lang w:eastAsia="cs-CZ"/>
        </w:rPr>
      </w:pPr>
      <w:r w:rsidRPr="00111F34">
        <w:rPr>
          <w:rFonts w:cs="Arial"/>
          <w:lang w:eastAsia="cs-CZ"/>
        </w:rPr>
        <w:t xml:space="preserve">Vliv na retenční schopnost území je tak hodnocen jako mírně negativní s místním dosahem a dlouhodobým </w:t>
      </w:r>
      <w:r w:rsidR="0067562A" w:rsidRPr="00111F34">
        <w:rPr>
          <w:rFonts w:cs="Arial"/>
          <w:lang w:eastAsia="cs-CZ"/>
        </w:rPr>
        <w:t xml:space="preserve">synergickým spolupůsobením </w:t>
      </w:r>
      <w:r w:rsidRPr="00111F34">
        <w:rPr>
          <w:rFonts w:cs="Arial"/>
          <w:lang w:eastAsia="cs-CZ"/>
        </w:rPr>
        <w:t>(v kontextu stávajícího stavu území a jeho budoucího vývoje</w:t>
      </w:r>
      <w:r w:rsidR="00B5619A" w:rsidRPr="00111F34">
        <w:rPr>
          <w:rFonts w:cs="Arial"/>
          <w:lang w:eastAsia="cs-CZ"/>
        </w:rPr>
        <w:t xml:space="preserve">, tj. zvyšujícího se </w:t>
      </w:r>
      <w:r w:rsidR="00B5619A" w:rsidRPr="00111F34">
        <w:rPr>
          <w:rFonts w:cs="Arial"/>
          <w:lang w:eastAsia="cs-CZ"/>
        </w:rPr>
        <w:lastRenderedPageBreak/>
        <w:t>podílu zastavění</w:t>
      </w:r>
      <w:r w:rsidRPr="00111F34">
        <w:rPr>
          <w:rFonts w:cs="Arial"/>
          <w:lang w:eastAsia="cs-CZ"/>
        </w:rPr>
        <w:t xml:space="preserve">). Tento vliv je možné částečně zmírnit v navazujících řízeních technickými opatřeními v rámci hospodaření s dešťovou vodou a realizací modrozelené infrastruktury. </w:t>
      </w:r>
    </w:p>
    <w:p w14:paraId="59D73BF6" w14:textId="28736BC0" w:rsidR="00B5619A" w:rsidRPr="00111F34" w:rsidRDefault="00B5619A" w:rsidP="00B5619A">
      <w:r w:rsidRPr="00111F34">
        <w:t xml:space="preserve">V souladu s myšlenkami Strategie adaptace (Strategie adaptace hl. m. Prahy na klimatickou změnu schválené usnesením RHMP č. 1723 ze dne 18. 7. 2017) je v návrhu kladen důraz na doplnění stromů nejen v nových parkových plochách. Krajina ve styku se zástavbou je dělena na menší krajinné celky s doplněním vegetačních prvků bránících erozi a podporujících vsakování srážkové vody (aleje, větrolamy, sady, menší plochy polí, nové přírodě blízké plochy). V nových krajinných plochách je na základě podkladové studie doporučeno budovat dílčí modrou infrastrukturu v podobě </w:t>
      </w:r>
      <w:proofErr w:type="spellStart"/>
      <w:r w:rsidRPr="00111F34">
        <w:t>swales</w:t>
      </w:r>
      <w:proofErr w:type="spellEnd"/>
      <w:r w:rsidRPr="00111F34">
        <w:t xml:space="preserve"> či rýh. Rýhy mohou být součástí alejí, izolační či doprovodné zeleně. </w:t>
      </w:r>
      <w:proofErr w:type="spellStart"/>
      <w:r w:rsidRPr="00111F34">
        <w:t>Swales</w:t>
      </w:r>
      <w:proofErr w:type="spellEnd"/>
      <w:r w:rsidRPr="00111F34">
        <w:t xml:space="preserve"> je vhodné navrhovat v místech potenciální akumulace vody v přírodních krajinných plochách. Tato opatření jsou mimo podrobnost územního plánu.</w:t>
      </w:r>
    </w:p>
    <w:p w14:paraId="05A5613C" w14:textId="77777777" w:rsidR="00246D18" w:rsidRPr="00111F34" w:rsidRDefault="00246D18" w:rsidP="00246D18">
      <w:pPr>
        <w:rPr>
          <w:lang w:eastAsia="cs-CZ"/>
        </w:rPr>
      </w:pPr>
      <w:r w:rsidRPr="00111F34">
        <w:rPr>
          <w:lang w:eastAsia="cs-CZ"/>
        </w:rPr>
        <w:t>Negativní vlivy na kvalitu vody v tocích ani potenciál plošného znečištění z průmyslové výroby nebo zemědělských zdrojů nebyly zjištěny.</w:t>
      </w:r>
    </w:p>
    <w:p w14:paraId="01CF5C8A" w14:textId="191F02BD" w:rsidR="00F2791F" w:rsidRPr="00111F34" w:rsidRDefault="00F2791F" w:rsidP="00F2791F">
      <w:pPr>
        <w:rPr>
          <w:rFonts w:cs="Arial"/>
        </w:rPr>
      </w:pPr>
      <w:r w:rsidRPr="00111F34">
        <w:rPr>
          <w:rFonts w:cs="Arial"/>
        </w:rPr>
        <w:t>K zásahu do vodních toků nedojde</w:t>
      </w:r>
      <w:r w:rsidR="00916F35" w:rsidRPr="00111F34">
        <w:rPr>
          <w:rFonts w:cs="Arial"/>
        </w:rPr>
        <w:t xml:space="preserve">. </w:t>
      </w:r>
      <w:r w:rsidR="004F3948">
        <w:t>Dotčené území, konkrétně ulice Podbabská, Roztocká se nachází v záplavovém území Q2002</w:t>
      </w:r>
      <w:r w:rsidR="004F3948">
        <w:t xml:space="preserve">, </w:t>
      </w:r>
      <w:r w:rsidR="004F3948">
        <w:t>v aktivní zóně</w:t>
      </w:r>
      <w:r w:rsidR="004F3948">
        <w:t xml:space="preserve">. </w:t>
      </w:r>
      <w:r w:rsidR="00916F35" w:rsidRPr="00111F34">
        <w:rPr>
          <w:rFonts w:cs="Arial"/>
        </w:rPr>
        <w:t xml:space="preserve">Omezení v podobě záplavového území jsou ve změně </w:t>
      </w:r>
      <w:r w:rsidR="005F447E" w:rsidRPr="00111F34">
        <w:rPr>
          <w:rFonts w:cs="Arial"/>
        </w:rPr>
        <w:t>územního plánu</w:t>
      </w:r>
      <w:r w:rsidR="00916F35" w:rsidRPr="00111F34">
        <w:rPr>
          <w:rFonts w:cs="Arial"/>
        </w:rPr>
        <w:t xml:space="preserve"> respektována</w:t>
      </w:r>
      <w:r w:rsidRPr="00111F34">
        <w:rPr>
          <w:rFonts w:cs="Arial"/>
        </w:rPr>
        <w:t>.</w:t>
      </w:r>
    </w:p>
    <w:p w14:paraId="0B1DDC26" w14:textId="422CE377" w:rsidR="00F2791F" w:rsidRPr="00111F34" w:rsidRDefault="00F2791F" w:rsidP="00F2791F">
      <w:pPr>
        <w:rPr>
          <w:lang w:eastAsia="cs-CZ"/>
        </w:rPr>
      </w:pPr>
      <w:r w:rsidRPr="00111F34">
        <w:rPr>
          <w:lang w:eastAsia="cs-CZ"/>
        </w:rPr>
        <w:t xml:space="preserve">Negativní vlivy na kvalitu vody v tocích ani potenciál plošného znečištění z průmyslové výroby nebo zemědělských zdrojů nebyly zjištěny. </w:t>
      </w:r>
    </w:p>
    <w:p w14:paraId="79D06907" w14:textId="77777777" w:rsidR="0058316F" w:rsidRPr="00111F34" w:rsidRDefault="0058316F" w:rsidP="0058316F">
      <w:r w:rsidRPr="00111F34">
        <w:t>Návrh změny územního plánu je tak, z hlediska vlivu na hydrologické poměry, akceptovatelný.</w:t>
      </w:r>
    </w:p>
    <w:p w14:paraId="0B819619" w14:textId="21A8B832" w:rsidR="00794578" w:rsidRPr="00111F34" w:rsidRDefault="00794578" w:rsidP="00A67277">
      <w:pPr>
        <w:pStyle w:val="Nadpis3"/>
      </w:pPr>
      <w:bookmarkStart w:id="265" w:name="_Toc30188457"/>
      <w:bookmarkStart w:id="266" w:name="_Toc531606270"/>
      <w:bookmarkStart w:id="267" w:name="_Toc29298357"/>
      <w:bookmarkStart w:id="268" w:name="_Toc138848137"/>
      <w:bookmarkEnd w:id="265"/>
      <w:r w:rsidRPr="00111F34">
        <w:t>Flóra, fauna, ekosystémy</w:t>
      </w:r>
      <w:bookmarkEnd w:id="266"/>
      <w:bookmarkEnd w:id="267"/>
      <w:bookmarkEnd w:id="268"/>
      <w:r w:rsidRPr="00111F34">
        <w:t xml:space="preserve"> </w:t>
      </w:r>
    </w:p>
    <w:p w14:paraId="344A3A2B" w14:textId="0ED83B4D" w:rsidR="00ED786E" w:rsidRPr="00111F34" w:rsidRDefault="00ED786E" w:rsidP="00ED786E">
      <w:bookmarkStart w:id="269" w:name="_Toc494281572"/>
      <w:bookmarkStart w:id="270" w:name="_Toc13570738"/>
      <w:bookmarkStart w:id="271" w:name="_Toc29298358"/>
      <w:bookmarkStart w:id="272" w:name="_Toc531606272"/>
      <w:r w:rsidRPr="00111F34">
        <w:rPr>
          <w:lang w:eastAsia="cs-CZ"/>
        </w:rPr>
        <w:t>Změna nemění koncepci krajiny (krajinné infrastruktury). V souladu s podkladovou studií, a především v reakci na „Plán místního systému ekologické stability pro území hl. m. Prahy“ (plán ÚSES</w:t>
      </w:r>
      <w:r w:rsidR="00D544A4">
        <w:rPr>
          <w:lang w:eastAsia="cs-CZ"/>
        </w:rPr>
        <w:t>)</w:t>
      </w:r>
      <w:r w:rsidRPr="00111F34">
        <w:rPr>
          <w:lang w:eastAsia="cs-CZ"/>
        </w:rPr>
        <w:t xml:space="preserve">. </w:t>
      </w:r>
      <w:r w:rsidRPr="00111F34">
        <w:t>Územím Nového Sedlce prochází stávající ÚSES. ÚSES v oblasti Výhledů je zastoupen funkčním nadregionálním biokoridorem N3/9, který navazuje na biocentrum L1/165 severně od Kamýcké ulice. Stávající vedení biokoridoru bylo v návrhu upraveno s ohledem na plánovanou aktualizaci celého systému, jak je navržen v oborovém dokumentu „Plán místního systému ekologické stability pro území hl. m. Prahy“ a pořízen OCP MHMP v roce 2021 jako podklad pro územní plánování. Změna nově počítá s umístěním biocentra na východním okraji řešeného území.</w:t>
      </w:r>
    </w:p>
    <w:p w14:paraId="1EA656B8" w14:textId="77777777" w:rsidR="00ED786E" w:rsidRPr="00111F34" w:rsidRDefault="00ED786E" w:rsidP="00ED786E">
      <w:r w:rsidRPr="00111F34">
        <w:t>Do území biokoridoru spadá též pískovcová stěna při hraně pozemku parc. č. 429/12, k. ú. Suchdol, která musí být ponechána ve stávajícím stavu. Nová výstavba by neměla tuto stěnu zastínit, ani narušit. Doporučuje se případnou výstavbu orientovat podél tramvajové trati a přilehlé ulice a směrem k tomuto prvku ÚSES vytvořit prostor pro soukromé zahrady bytů či domů.</w:t>
      </w:r>
    </w:p>
    <w:p w14:paraId="7A7A0C5C" w14:textId="3E6A5C96" w:rsidR="00ED786E" w:rsidRPr="00111F34" w:rsidRDefault="00ED786E" w:rsidP="00ED786E">
      <w:pPr>
        <w:rPr>
          <w:lang w:eastAsia="cs-CZ"/>
        </w:rPr>
      </w:pPr>
      <w:r w:rsidRPr="00111F34">
        <w:rPr>
          <w:lang w:eastAsia="cs-CZ"/>
        </w:rPr>
        <w:t>Změnou dojde k navýšení ploch celoměstského systému zeleně (CSZ) v rozsahu 16 268 m². Výměra stávajících ploch včetně navrhovaných s umístěním celoměstského systému zeleně činí 65 691 m² oproti rušeným plochám celoměstského systému zeleně, jejichž výměra činí 49 423 m². Tato úprava pozitivně ovlivní celkovou koncepci celoměstského systému zeleně v daném území a posílí jeho funkčnost. V lokalitě Výhledy prostupuje systém centrálním prostorem rozvojových území a zároveň posiluje pás v severní a západní části. V lokalitě Nový Sedlec je systém posílen především v okrajových částech od severu k jihu.</w:t>
      </w:r>
    </w:p>
    <w:p w14:paraId="37391943" w14:textId="67A8A029" w:rsidR="00ED786E" w:rsidRPr="00111F34" w:rsidRDefault="00ED786E" w:rsidP="00ED786E">
      <w:pPr>
        <w:rPr>
          <w:lang w:eastAsia="cs-CZ"/>
        </w:rPr>
      </w:pPr>
      <w:r w:rsidRPr="00111F34">
        <w:rPr>
          <w:lang w:eastAsia="cs-CZ"/>
        </w:rPr>
        <w:t>Řešené území zasahuje do evropsky významné lokality (EVL) soustavy NATURA 2000 a přírodní památky (PP) Podbabské skály, kde ale dochází pouze k výše uvedeným korekcím vymezení ÚSES. Stejně tak v přírodním parku Šárka – Lysolaje není nadále uvažováno s rozvojem zastavitelných ploch. Plochy v ochranném pásmu PP jsou uspořádány tak, aby vytvářely pomyslné „nárazníkové pásmo“ mezi připravovanou zástavbou a tímto chráněným územím, a nedošlo tak k poškození předmětu ochrany PP. Součástí tohoto nárazníkového pásma jsou plochy /SO/ pro rekreaci a plocha /VV/ představující rezervu pro školu.</w:t>
      </w:r>
      <w:r w:rsidR="00B5619A" w:rsidRPr="00111F34">
        <w:rPr>
          <w:lang w:eastAsia="cs-CZ"/>
        </w:rPr>
        <w:t xml:space="preserve"> V současném stavu území PP Podbabské skály, resp. EVL, přímo sousedí se skládkou stavebního odpadu.</w:t>
      </w:r>
    </w:p>
    <w:p w14:paraId="31DB6324" w14:textId="2C9F5F18" w:rsidR="008B3EFC" w:rsidRPr="00111F34" w:rsidRDefault="002828BC" w:rsidP="008B3EFC">
      <w:r w:rsidRPr="00111F34">
        <w:t xml:space="preserve">Návrh řešení </w:t>
      </w:r>
      <w:r w:rsidR="00B9398C" w:rsidRPr="00111F34">
        <w:t>předkládané změny</w:t>
      </w:r>
      <w:r w:rsidRPr="00111F34">
        <w:t xml:space="preserve"> územního plánu Prahy je v souladu s koncepcí řešení ÚSES jednak z platného územního plánu, jednak s řešením v Zásadách územního rozvoje Prahy. </w:t>
      </w:r>
      <w:r w:rsidR="008B3EFC" w:rsidRPr="00111F34">
        <w:t xml:space="preserve">Realizace záměrů, jimž </w:t>
      </w:r>
      <w:r w:rsidR="008705CE" w:rsidRPr="00111F34">
        <w:t>dává změna</w:t>
      </w:r>
      <w:r w:rsidR="00654469" w:rsidRPr="00111F34">
        <w:t xml:space="preserve"> územního plánu</w:t>
      </w:r>
      <w:r w:rsidR="00652419" w:rsidRPr="00111F34">
        <w:t xml:space="preserve"> </w:t>
      </w:r>
      <w:r w:rsidR="008B3EFC" w:rsidRPr="00111F34">
        <w:t xml:space="preserve">rámec, </w:t>
      </w:r>
      <w:r w:rsidR="00DC69C3" w:rsidRPr="00111F34">
        <w:t>nebud</w:t>
      </w:r>
      <w:r w:rsidR="00DC69C3">
        <w:t>e</w:t>
      </w:r>
      <w:r w:rsidR="00DC69C3" w:rsidRPr="00111F34">
        <w:t xml:space="preserve"> </w:t>
      </w:r>
      <w:r w:rsidR="008B3EFC" w:rsidRPr="00111F34">
        <w:t xml:space="preserve">mít podstatný vliv na migraci organismů v území. </w:t>
      </w:r>
    </w:p>
    <w:p w14:paraId="1C570C49" w14:textId="0B3859F7" w:rsidR="008B3EFC" w:rsidRPr="00111F34" w:rsidRDefault="008B3EFC" w:rsidP="00250EAC">
      <w:r w:rsidRPr="00111F34">
        <w:rPr>
          <w:rFonts w:eastAsiaTheme="minorHAnsi"/>
        </w:rPr>
        <w:t xml:space="preserve">Z hlediska vlivu na zeleň bude nejvýznamnějším dotčením odstranění stávajících dřevin v místě výstavby. </w:t>
      </w:r>
    </w:p>
    <w:p w14:paraId="11EC255F" w14:textId="726A2831" w:rsidR="003C75B0" w:rsidRDefault="00C76F04" w:rsidP="008B3EFC">
      <w:r w:rsidRPr="00111F34">
        <w:t xml:space="preserve">Z orientačního terénního a rešeršního průzkumu, ale i z charakteristiky přítomných biotopů, nejsou očekávány významné vlivy na biotickou složku krajiny. </w:t>
      </w:r>
      <w:r w:rsidR="003C75B0" w:rsidRPr="00111F34">
        <w:t xml:space="preserve">Byl identifikován mírně negativní vliv s dlouhodobým působením a místním dosahem. Přímé vlivy na zvláště chráněná území změna negeneruje. Očekávat lze v závislosti na konkrétním umístění staveb v řešených plochách kácení zde přítomné vzrostlé zeleně. To se týká především </w:t>
      </w:r>
      <w:r w:rsidR="003C75B0" w:rsidRPr="00111F34">
        <w:lastRenderedPageBreak/>
        <w:t>dřevin podél ulice Kamýcká (výsadby okrasných kultivarů běžných listnatých i jehličnatých dřevin a starší ovocné stromy ve špatném zdravotním stavu s podsadbami okrasných keřů – zejména pámelník a ptačí zob). V rámci využití ploch v prostoru Nového Sedlce lze potom očekávat dílčí kácení zde přítomné náletové zeleně (cca dvacetileté</w:t>
      </w:r>
      <w:r w:rsidR="00F56742" w:rsidRPr="00111F34">
        <w:t xml:space="preserve"> keřové</w:t>
      </w:r>
      <w:r w:rsidR="003C75B0" w:rsidRPr="00111F34">
        <w:t xml:space="preserve"> porosty s hlohem, </w:t>
      </w:r>
      <w:r w:rsidR="00B5619A" w:rsidRPr="00111F34">
        <w:t xml:space="preserve">svídou, </w:t>
      </w:r>
      <w:r w:rsidR="003C75B0" w:rsidRPr="00111F34">
        <w:t xml:space="preserve">pajasanem žláznatým a růží šípkovou). Posuzovaná změna vymezuje zastavitelné plochy s nižší intenzitou využití s předpokladem realizace zástavby typu zahradního města a bytových domů </w:t>
      </w:r>
      <w:r w:rsidR="00B5619A" w:rsidRPr="00111F34">
        <w:t xml:space="preserve">a školy </w:t>
      </w:r>
      <w:r w:rsidR="003C75B0" w:rsidRPr="00111F34">
        <w:t xml:space="preserve">v zeleni spolu s parkovými plochami a plochami veřejných prostranství a krajinné a izolační zeleně při přechodu do volné krajiny. Plochy jsou vzhledem k charakteru území navrženy vhodně tak, aby nedošlo k přímým zásahům do environmentálně cennějších částí území v navazujících plochách. </w:t>
      </w:r>
    </w:p>
    <w:p w14:paraId="5F92ABF2" w14:textId="77777777" w:rsidR="0046206D" w:rsidRDefault="0046206D" w:rsidP="0046206D">
      <w:r>
        <w:t>Do řešeného území změny ÚP Z 3827/00 je zahrnuta evropsky významná lokalita (EVL) Kaňon Vltavy u Sedlce (CZ0110154). U této evropsky významné lokality OOP nevyloučil významný vliv na příznivý stav předmětu ochrany nebo jejich celistvost.</w:t>
      </w:r>
    </w:p>
    <w:p w14:paraId="18DB4A78" w14:textId="77777777" w:rsidR="0046206D" w:rsidRDefault="0046206D" w:rsidP="0046206D">
      <w:r>
        <w:t xml:space="preserve">EVL Kaňon Vltavy u Sedlece vytváří disjunktní území sestávající z 8 segmentů. Potenciálně dotčeným je pouze 1 segment EVL v levobřežní části údolí Vltavy, zahrnující větší část přírodní památky Podbabské skály. Ostatní segmenty leží mimo prostor změny ÚP Z 3827/00 a nebudou nijak dotčeny, přičemž nejjižnější segment, zahrnující PP Baba, je pak od řešeného území změny ÚP oddělen koridorem železniční trati. </w:t>
      </w:r>
    </w:p>
    <w:p w14:paraId="2E939601" w14:textId="362425A1" w:rsidR="0046206D" w:rsidRPr="00111F34" w:rsidRDefault="0046206D" w:rsidP="0046206D">
      <w:r>
        <w:t xml:space="preserve">Z polohy řešeného území Z 3827/00 explicitně nevyplývají přímé územní střety s EVL ani jeho předmětů ochrany. EVL byla zahrnuta do území Z 3827/00 s ohledem na funkční návaznost a propojení na okolní území mimo jiné i z pohledu změny funkčního využití na plochy ZMK s cílem územně stabilizovat souvislý pás městské krajinné zeleně, a to ve vazbě zahrnutí těchto ploch do skladebných částí ÚSES. Případné velmi okrajové zásahy v rámci přípravy území pro výstavbu, lze řešit zřetelným vyznačením </w:t>
      </w:r>
      <w:r w:rsidR="00F94D3C">
        <w:t>hranic.</w:t>
      </w:r>
      <w:r>
        <w:t xml:space="preserve"> Jako relevantnější se tak jeví spíše soubor vlivů nepřímých, zprostředkovaných, a to zejména z pohledu uvažovaného zvýšení návštěvnosti </w:t>
      </w:r>
      <w:r w:rsidR="00F94D3C">
        <w:t>lokality,</w:t>
      </w:r>
      <w:r>
        <w:t xml:space="preserve"> a tedy předpokládané zvýšené zátěže na EVL. Míru významného zvýšení tlaku s negativními dopady na úrovni významně negativního vlivu však nelze automaticky implikovat a uvažované vlivy na EVL se dle soudu zpracovatele hodnocení budou pohybovat max. na úrovni mírně negativního vlivu (-1).</w:t>
      </w:r>
    </w:p>
    <w:p w14:paraId="18E1790B" w14:textId="47E2B87B" w:rsidR="00C76F04" w:rsidRPr="00111F34" w:rsidRDefault="00C76F04" w:rsidP="00C76F04">
      <w:r w:rsidRPr="00111F34">
        <w:t>V následných fázích projektové přípravy stav</w:t>
      </w:r>
      <w:r w:rsidR="00250EAC" w:rsidRPr="00111F34">
        <w:t>eb</w:t>
      </w:r>
      <w:r w:rsidRPr="00111F34">
        <w:t xml:space="preserve"> v případě </w:t>
      </w:r>
      <w:r w:rsidR="004B7458" w:rsidRPr="00111F34">
        <w:t>zásahu</w:t>
      </w:r>
      <w:r w:rsidRPr="00111F34">
        <w:t xml:space="preserve"> do v</w:t>
      </w:r>
      <w:r w:rsidR="00B95DAE" w:rsidRPr="00111F34">
        <w:t>zrostlé</w:t>
      </w:r>
      <w:r w:rsidRPr="00111F34">
        <w:t xml:space="preserve"> zeleně provést dendrologický průzkum dotčených porostů a přijmout opatření pro zamezení</w:t>
      </w:r>
      <w:r w:rsidR="004B7458" w:rsidRPr="00111F34">
        <w:t>, resp. kompenzaci</w:t>
      </w:r>
      <w:r w:rsidRPr="00111F34">
        <w:t xml:space="preserve"> negativních vlivů na hodnotné dřeviny.</w:t>
      </w:r>
    </w:p>
    <w:p w14:paraId="05452AF7" w14:textId="1025672F" w:rsidR="008B3EFC" w:rsidRPr="00111F34" w:rsidRDefault="008B3EFC" w:rsidP="008B3EFC">
      <w:r w:rsidRPr="00111F34">
        <w:t xml:space="preserve">V rámci všech návrhových ploch je nezbytné v maximální možné míře minimalizovat podíl zpevněných ploch. </w:t>
      </w:r>
    </w:p>
    <w:p w14:paraId="77A53B59" w14:textId="3F3E17D3" w:rsidR="0058316F" w:rsidRPr="00111F34" w:rsidRDefault="0058316F" w:rsidP="0058316F">
      <w:r w:rsidRPr="00111F34">
        <w:t>Návrh změny územního plánu je tak, z hlediska vlivu na biotickou složku území akceptovatelný.</w:t>
      </w:r>
    </w:p>
    <w:p w14:paraId="1AE668A3" w14:textId="77777777" w:rsidR="00DC29A2" w:rsidRPr="00111F34" w:rsidRDefault="00DC29A2" w:rsidP="00A67277">
      <w:pPr>
        <w:pStyle w:val="Nadpis3"/>
      </w:pPr>
      <w:bookmarkStart w:id="273" w:name="_Toc138848138"/>
      <w:r w:rsidRPr="00111F34">
        <w:t>Ochrana přírody</w:t>
      </w:r>
      <w:bookmarkEnd w:id="269"/>
      <w:bookmarkEnd w:id="270"/>
      <w:bookmarkEnd w:id="271"/>
      <w:bookmarkEnd w:id="273"/>
    </w:p>
    <w:p w14:paraId="542A8AC9" w14:textId="66DE4FDC" w:rsidR="005F447E" w:rsidRPr="00111F34" w:rsidRDefault="005F447E" w:rsidP="005F447E">
      <w:r w:rsidRPr="00111F34">
        <w:t xml:space="preserve">Nedochází k novým střetům s prvky ÚSES, které by měly vliv na jejich funkčnost. </w:t>
      </w:r>
      <w:r w:rsidR="00525A49" w:rsidRPr="00111F34">
        <w:t>Změna vymezuje nové biocentrum a provádí dílčí úpravy vymezení prvků ÚSES v souladu s aktuálním koncepčním řešení</w:t>
      </w:r>
      <w:r w:rsidR="00F56742" w:rsidRPr="00111F34">
        <w:t>m</w:t>
      </w:r>
      <w:r w:rsidR="00525A49" w:rsidRPr="00111F34">
        <w:t>. Z tohoto pohledu je vliv změny</w:t>
      </w:r>
      <w:r w:rsidR="00F56742" w:rsidRPr="00111F34">
        <w:t xml:space="preserve"> mírně</w:t>
      </w:r>
      <w:r w:rsidR="00525A49" w:rsidRPr="00111F34">
        <w:t xml:space="preserve"> pozitivní</w:t>
      </w:r>
      <w:r w:rsidR="00F56742" w:rsidRPr="00111F34">
        <w:t xml:space="preserve"> až marginální</w:t>
      </w:r>
      <w:r w:rsidR="00525A49" w:rsidRPr="00111F34">
        <w:t xml:space="preserve">. </w:t>
      </w:r>
    </w:p>
    <w:p w14:paraId="518591B1" w14:textId="1FFD9843" w:rsidR="005F447E" w:rsidRPr="00111F34" w:rsidRDefault="005F447E" w:rsidP="005F447E">
      <w:pPr>
        <w:rPr>
          <w:rFonts w:cs="Arial"/>
        </w:rPr>
      </w:pPr>
      <w:r w:rsidRPr="00111F34">
        <w:t xml:space="preserve">Změny využití území jsou </w:t>
      </w:r>
      <w:r w:rsidR="00F56742" w:rsidRPr="00111F34">
        <w:t>situová</w:t>
      </w:r>
      <w:r w:rsidRPr="00111F34">
        <w:t>ny</w:t>
      </w:r>
      <w:r w:rsidR="00525A49" w:rsidRPr="00111F34">
        <w:t xml:space="preserve"> převážně</w:t>
      </w:r>
      <w:r w:rsidRPr="00111F34">
        <w:t xml:space="preserve"> do významně antropogenně ovlivněného území, v němž se nevyskytují významné biotopy a nepředpokládáme zde trvalý výskyt chráněných rostlinných ani živočišných druhů</w:t>
      </w:r>
      <w:r w:rsidRPr="00111F34">
        <w:rPr>
          <w:rFonts w:cs="Arial"/>
        </w:rPr>
        <w:t xml:space="preserve">. </w:t>
      </w:r>
    </w:p>
    <w:p w14:paraId="1A5453DD" w14:textId="07E033CB" w:rsidR="005F447E" w:rsidRPr="00111F34" w:rsidRDefault="005F447E" w:rsidP="005F447E">
      <w:r w:rsidRPr="00111F34">
        <w:t xml:space="preserve">Do území posuzované ÚPD nezasahuje žádné velkoplošné zvláště chráněné území podle zákona 114/1992 Sb., o ochraně přírody a krajiny, v platném znění, žádné registrované VKP ani památné stromy. </w:t>
      </w:r>
      <w:r w:rsidR="00F56742" w:rsidRPr="00111F34">
        <w:t>Ve změně jsou přijata územně plánovací opatření pro minimalizaci negativních vlivů na environmentálně cenné části území – vytvoření nárazníkového pásma ploch zeleně vůči PP Podbabské skály, resp. EVL Kaňon Vltavy u Sedlce. Další krajinná zeleň je vymezena při přechodu do volné krajiny.</w:t>
      </w:r>
    </w:p>
    <w:p w14:paraId="1BD43164" w14:textId="73C60AC9" w:rsidR="00525A49" w:rsidRPr="00111F34" w:rsidRDefault="0058316F" w:rsidP="00525A49">
      <w:r w:rsidRPr="00111F34">
        <w:t xml:space="preserve">Návrh změny negeneruje </w:t>
      </w:r>
      <w:r w:rsidR="00525A49" w:rsidRPr="00111F34">
        <w:t>významné negativní</w:t>
      </w:r>
      <w:r w:rsidRPr="00111F34">
        <w:t xml:space="preserve"> vlivy na environmentálně cenné části přírody.</w:t>
      </w:r>
      <w:r w:rsidR="00525A49" w:rsidRPr="00111F34">
        <w:t xml:space="preserve"> Z hlediska potenciálního zásahu do biotopů zvláště chráněných druhů rostlin a živočichů nepředpokládáme přímé významné negativní vlivy předkládané ÚPD. Lze očekávat zvýšenou návštěvnost horné partie Podbabských skal vzhledem ke zlepšené prostupnosti územ</w:t>
      </w:r>
      <w:r w:rsidR="00F56742" w:rsidRPr="00111F34">
        <w:t>í.</w:t>
      </w:r>
    </w:p>
    <w:p w14:paraId="7724B53C" w14:textId="77777777" w:rsidR="00F56742" w:rsidRPr="00111F34" w:rsidRDefault="00F56742" w:rsidP="00F56742">
      <w:r w:rsidRPr="00111F34">
        <w:t>Návrh se snaží v maximální možné míře oddálit obytnou zástavbu od hrany Podbabských skal. Záměrem je zároveň směřovat atraktivní rekreační plochy i na jiná místa území, a tím snížit počet návštěvníků těchto chráněných oblastí. V těsném kontaktu s řešeným územím Nového Sedlce je Přírodní park Šárka – Lysolaje, který navazuje na jižní až jihozápadní hranu území.</w:t>
      </w:r>
    </w:p>
    <w:p w14:paraId="3C1D1715" w14:textId="3EA4338F" w:rsidR="0058316F" w:rsidRDefault="00525A49" w:rsidP="005F447E">
      <w:r w:rsidRPr="00111F34">
        <w:lastRenderedPageBreak/>
        <w:t>Vliv změny je</w:t>
      </w:r>
      <w:r w:rsidR="00F56742" w:rsidRPr="00111F34">
        <w:t xml:space="preserve"> tak</w:t>
      </w:r>
      <w:r w:rsidRPr="00111F34">
        <w:t xml:space="preserve"> hodnocen jako nepřímý, mírně negativní s místním dopadem. Pro zmírnění negativních vlivů jsou v návrhu obsažena územně plánovací opatření v podobě návrhu ÚSES, CSZ, nárazníkových ploch zeleně a vedení tramvajové trati tak, aby byly přímé vlivy změny na zvláště chráněná území vyloučeny.</w:t>
      </w:r>
    </w:p>
    <w:p w14:paraId="712790F1" w14:textId="77777777" w:rsidR="0046206D" w:rsidRDefault="0046206D" w:rsidP="0046206D">
      <w:r>
        <w:t>Z hlediska Evropsky významné lokality Kaňon Vltavy u Sedlce, byla změna podrobena vyhodnocení vlivů dle § 45i ZOPK, podrobněji viz kapitola B a příloha č. 1 tohoto dokumentu. Níže je obsaženo stručné shrnutí identifikovaných vlivů:</w:t>
      </w:r>
    </w:p>
    <w:p w14:paraId="15F05661" w14:textId="77777777" w:rsidR="0046206D" w:rsidRDefault="0046206D" w:rsidP="0046206D">
      <w:r>
        <w:t>Předmětná EVL sice je zahrnuta do řešeného území Z 3827/00, nicméně navržené plochy změn jsou vymezeny tak, že do území EVL prakticky nezasahují. Naopak linie okraje zástavby je navržena v oblouku, co nejdál od hrany svahu, s návrhem vymezením ploch zeleně městské a krajinné (ZMK) podél jižního obvodu rozvojového území. Řešením podél jižní hranice tohoto rozvojového území současně bude prostorově posílen pás ploch městské krajinné zeleně, jejichž část bude změnou ještě více začleněna do skladebných částí ÚSES, kde dojde k úpravám jejich současného vymezení, vč. zahrnutí jihozápadní části EVL do ÚSES. Současně lze konstatovat, že ani soubor uvažovaných nepřímých vlivů plynoucích z realizace těchto návrhových ploch, nemají potenciál narušit celistvost předmětné EVL.</w:t>
      </w:r>
    </w:p>
    <w:p w14:paraId="402E7F36" w14:textId="77777777" w:rsidR="0046206D" w:rsidRDefault="0046206D" w:rsidP="0046206D">
      <w:r>
        <w:t>Nutno ovšem dodat, že otázka celistvosti jako komplexního faktoru a předpokladu, zajišťujícího naplňování ekologických funkcí, je u této EVL z pohledu jejího disjunktního charakteru poněkud sporná, neboť diskontinuita zde chráněných přírodních stanovišť a na ně vázaných druhů a jejich populací, je tu přirozeným jevem, resp. faktorem.</w:t>
      </w:r>
    </w:p>
    <w:p w14:paraId="52D30864" w14:textId="77777777" w:rsidR="0046206D" w:rsidRDefault="0046206D" w:rsidP="0046206D">
      <w:r>
        <w:t>Lze tedy konstatovat, že žádná z rozvojových/návrhových ploch či dalších aktivit, nemá potenciál narušit celistvost hodnocené EVL Kaňon Vltavy u Sedlce. Vliv změny ÚP z hlediska potenciálního rizika narušení celistvosti tak lze vyhodnotit jako nulový (0).</w:t>
      </w:r>
    </w:p>
    <w:p w14:paraId="61F96091" w14:textId="04F5D300" w:rsidR="0046206D" w:rsidRPr="00111F34" w:rsidRDefault="0046206D" w:rsidP="0046206D">
      <w:r>
        <w:t>Z polohy řešeného území Z 3827/00 explicitně nevyplývají přímé územní střety s EVL ani jejími předměty ochrany. EVL byla zahrnuta do území Z 3827/00 s ohledem na funkční návaznost a propojení na okolní území mimo jiné i z pohledu změny funkčního využití na plochy ZMK s cílem územně stabilizovat souvislý pás městské krajinné zeleně, a to ve vazbě zahrnutí těchto ploch do skladebných částí ÚSES. Případné velmi okrajové zásahy v rámci přípravy území pro výstavbu, lze řešit zřetelným vyznačením. Jako relevantnější se tak jeví spíše soubor vlivů nepřímých, zprostředkovaných, a to zejména z pohledu uvažovaného zvýšení návštěvnosti lokality, a tedy předpokládané zvýšené zátěže na EVL. Míru významného zvýšení tlaku s negativními dopady na úrovni významně negativního vlivu však nelze automaticky implikovat a uvažované vlivy na EVL se dle soudu zpracovatele hodnocení budou pohybovat max. na úrovni mírně negativního vlivu (-1).</w:t>
      </w:r>
    </w:p>
    <w:p w14:paraId="7FE5B22E" w14:textId="4130E3FE" w:rsidR="00F56742" w:rsidRPr="00111F34" w:rsidRDefault="00F56742" w:rsidP="005F447E">
      <w:r w:rsidRPr="00111F34">
        <w:t>Návrh změny je z hlediska ochrany přírody a krajiny akceptovatelný.</w:t>
      </w:r>
    </w:p>
    <w:p w14:paraId="1B21DB1D" w14:textId="10294AD6" w:rsidR="00794578" w:rsidRPr="00111F34" w:rsidRDefault="00794578" w:rsidP="00A67277">
      <w:pPr>
        <w:pStyle w:val="Nadpis3"/>
      </w:pPr>
      <w:bookmarkStart w:id="274" w:name="_Toc29298359"/>
      <w:bookmarkStart w:id="275" w:name="_Toc138848139"/>
      <w:r w:rsidRPr="00111F34">
        <w:t xml:space="preserve">Krajina, hmotný majetek, </w:t>
      </w:r>
      <w:bookmarkEnd w:id="272"/>
      <w:r w:rsidR="004451BC" w:rsidRPr="00111F34">
        <w:t>nemovité památky a kulturní dědictví</w:t>
      </w:r>
      <w:bookmarkEnd w:id="274"/>
      <w:bookmarkEnd w:id="275"/>
    </w:p>
    <w:p w14:paraId="495E8CA4" w14:textId="33EC8B09" w:rsidR="0058316F" w:rsidRPr="00111F34" w:rsidRDefault="00A61EBA" w:rsidP="0058316F">
      <w:bookmarkStart w:id="276" w:name="_Toc531606273"/>
      <w:bookmarkStart w:id="277" w:name="_Toc29298360"/>
      <w:r w:rsidRPr="00111F34">
        <w:rPr>
          <w:rFonts w:cs="Arial"/>
        </w:rPr>
        <w:t xml:space="preserve">Návrhem změny je upřednostňován rozvoj uvnitř města v přímé návaznosti na kapacitní veřejnou hromadnou dopravu oproti rozvoji v dosud nezastavěném území. Řešené území je vzhledem ke svojí poloze v rámci města podvyužito, postrádá urbanistický řád a nenavazuje na okolní struktury. </w:t>
      </w:r>
      <w:r w:rsidR="0058316F" w:rsidRPr="00111F34">
        <w:t xml:space="preserve">Zájmové území leží v městské krajině hlavního města Prahy, kde převažují urbanistické složky území nad krajinnými. </w:t>
      </w:r>
      <w:r w:rsidR="008F746B" w:rsidRPr="00111F34">
        <w:t>Zejména lokalita Výhledy však přímo navazuje na volnou krajinu.</w:t>
      </w:r>
      <w:r w:rsidR="00F56742" w:rsidRPr="00111F34">
        <w:t xml:space="preserve"> Nový Sedlec je v kontaktu s environmentálně cennými územími i hodnotami krajinného rázu.</w:t>
      </w:r>
    </w:p>
    <w:p w14:paraId="181674F9" w14:textId="77777777" w:rsidR="00E928AE" w:rsidRPr="00111F34" w:rsidRDefault="00E928AE" w:rsidP="00E928AE">
      <w:pPr>
        <w:rPr>
          <w:szCs w:val="20"/>
        </w:rPr>
      </w:pPr>
      <w:r w:rsidRPr="00111F34">
        <w:rPr>
          <w:szCs w:val="20"/>
        </w:rPr>
        <w:t xml:space="preserve">Přímo v řešených plochách se nenacházejí žádné kulturní nemovité památky a plochy zapsané v ústředním seznamu kulturních památek ani architektonicky nebo kulturně cenné stavby. </w:t>
      </w:r>
    </w:p>
    <w:p w14:paraId="309239FE" w14:textId="671BB9F9" w:rsidR="00E928AE" w:rsidRPr="00111F34" w:rsidRDefault="00E928AE" w:rsidP="00E928AE">
      <w:pPr>
        <w:rPr>
          <w:szCs w:val="20"/>
        </w:rPr>
      </w:pPr>
      <w:r w:rsidRPr="00111F34">
        <w:rPr>
          <w:szCs w:val="20"/>
        </w:rPr>
        <w:t xml:space="preserve">Nejblíže se nachází Viadukt železniční tratě Praha Bubeneč – Kralupy na Vltavou – Děčín, jako součást železniční trati v souvisejícím území. Nemovitá kulturní památka Viadukt železniční tratě Praha </w:t>
      </w:r>
      <w:r w:rsidR="00C51945" w:rsidRPr="00111F34">
        <w:rPr>
          <w:szCs w:val="20"/>
        </w:rPr>
        <w:t>Bubeneč – Kralupy</w:t>
      </w:r>
      <w:r w:rsidRPr="00111F34">
        <w:rPr>
          <w:szCs w:val="20"/>
        </w:rPr>
        <w:t xml:space="preserve"> nad Vltavou – Děčín, katalogové číslo</w:t>
      </w:r>
      <w:r w:rsidR="00F56742" w:rsidRPr="00111F34">
        <w:rPr>
          <w:szCs w:val="20"/>
        </w:rPr>
        <w:t xml:space="preserve"> </w:t>
      </w:r>
      <w:r w:rsidRPr="00111F34">
        <w:rPr>
          <w:szCs w:val="20"/>
        </w:rPr>
        <w:t>1903221187. Z hlediska posuzované změny územního plánu bez přímého dotčení, změnou jsou vytvářeny územní předpoklady pro vedení tramvajové trati v prostoru, mezi stávající ulici Podbabskou a železniční tratí, to znamená dílčí rozšíření plochy S2 v kontaktu s tímto viaduktem. V navazujících řízeních je tak třeba zajisti</w:t>
      </w:r>
      <w:r w:rsidR="00F56742" w:rsidRPr="00111F34">
        <w:rPr>
          <w:szCs w:val="20"/>
        </w:rPr>
        <w:t>t</w:t>
      </w:r>
      <w:r w:rsidRPr="00111F34">
        <w:rPr>
          <w:szCs w:val="20"/>
        </w:rPr>
        <w:t xml:space="preserve"> nejen fyzické zachování nemovité kulturní památky, ale i zachování jejího charakteru z vizuálního hlediska. </w:t>
      </w:r>
    </w:p>
    <w:p w14:paraId="19382992" w14:textId="1CAC8BC3" w:rsidR="003E0E46" w:rsidRPr="00111F34" w:rsidRDefault="003E0E46" w:rsidP="0058316F">
      <w:r w:rsidRPr="00111F34">
        <w:t xml:space="preserve">Podbaba </w:t>
      </w:r>
    </w:p>
    <w:p w14:paraId="61766343" w14:textId="253EA74B" w:rsidR="003E0E46" w:rsidRPr="00111F34" w:rsidRDefault="003E0E46" w:rsidP="003E0E46">
      <w:pPr>
        <w:autoSpaceDE w:val="0"/>
        <w:autoSpaceDN w:val="0"/>
        <w:adjustRightInd w:val="0"/>
        <w:rPr>
          <w:bCs/>
        </w:rPr>
      </w:pPr>
      <w:r w:rsidRPr="00111F34">
        <w:rPr>
          <w:bCs/>
        </w:rPr>
        <w:t xml:space="preserve">Po převedení tramvaje do prostoru mezi železniční trať a ulici Podbabskou severně u hydrologického ústavu tramvajová trať postupně vystoupá do úrovně železniční trati, kde je dále vedena k mostu přes ulici V Podbabě, kde je navržena obousměrná zastávka, a dále podél Roztocké ulice směrem k Sedlci, kde postupně opět </w:t>
      </w:r>
      <w:r w:rsidRPr="00111F34">
        <w:rPr>
          <w:bCs/>
        </w:rPr>
        <w:lastRenderedPageBreak/>
        <w:t xml:space="preserve">přejde na úroveň terénu. V tomto prostoru sousedí ze západní strany se stávající železniční tratí hranice přírodního parku Šárka-Lysolaje, Předmětem ochrany v tomto prostoru je především východní hrana Podbabských skal, v tomto prostoru chráněná jako jeden PP Baba a jeden ze segmentů EVL Kaňon Vltavy u Sedlce. Bez přímého dotčení, vizuálně spolupůsobit bude nová tramvajová trať spolu s existujícími dopravními stavbami v tomto prostoru, tj. ulicí Podbabská a železniční tratí, přičemž návrh </w:t>
      </w:r>
      <w:r w:rsidR="00861FE4" w:rsidRPr="00111F34">
        <w:rPr>
          <w:bCs/>
        </w:rPr>
        <w:t>je založen na předpokladu technické studie o přimknutí</w:t>
      </w:r>
      <w:r w:rsidRPr="00111F34">
        <w:rPr>
          <w:bCs/>
        </w:rPr>
        <w:t xml:space="preserve"> tramvajové trati výškově i směrově k trati železniční. Navržené trasování i výškové uspořádání bylo prověřeno s ohledem na realizaci tramvajového mostu směrem k druhému břehu Vltavy a vedení tramvajové trasy směrem do Bohnic. Změna rozšiřuje plochy S2 po obou stranách ulice Podbabská tak, aby bylo možné zde tramvajovou trať realizovat. </w:t>
      </w:r>
    </w:p>
    <w:p w14:paraId="7937E166" w14:textId="7EBFFD69" w:rsidR="00983713" w:rsidRPr="00111F34" w:rsidRDefault="00983713" w:rsidP="003E0E46">
      <w:pPr>
        <w:autoSpaceDE w:val="0"/>
        <w:autoSpaceDN w:val="0"/>
        <w:adjustRightInd w:val="0"/>
        <w:rPr>
          <w:bCs/>
        </w:rPr>
      </w:pPr>
      <w:r w:rsidRPr="00111F34">
        <w:rPr>
          <w:bCs/>
        </w:rPr>
        <w:t>Územní plán</w:t>
      </w:r>
      <w:r w:rsidR="00F56742" w:rsidRPr="00111F34">
        <w:rPr>
          <w:bCs/>
        </w:rPr>
        <w:t>,</w:t>
      </w:r>
      <w:r w:rsidRPr="00111F34">
        <w:rPr>
          <w:bCs/>
        </w:rPr>
        <w:t xml:space="preserve"> a tedy ani jeho posouzení vlivů na životní prostředí</w:t>
      </w:r>
      <w:r w:rsidR="008B66EE">
        <w:rPr>
          <w:bCs/>
        </w:rPr>
        <w:t>,</w:t>
      </w:r>
      <w:r w:rsidRPr="00111F34">
        <w:rPr>
          <w:bCs/>
        </w:rPr>
        <w:t xml:space="preserve"> sice neřeší konkrétní stavby v řešených plochách, v této souvislosti je však třeba upozornit na existenci nemovité kulturní památky Viaduktu stávající železniční dráhy v ulici V Podbabě, jejíž vizuální působení bude případným mostem přimknutým k tomuto viaduktu bezpochyby dotčeno.</w:t>
      </w:r>
    </w:p>
    <w:p w14:paraId="4D571564" w14:textId="61A1466D" w:rsidR="003E0E46" w:rsidRPr="00111F34" w:rsidRDefault="003E0E46" w:rsidP="0058316F">
      <w:r w:rsidRPr="00111F34">
        <w:rPr>
          <w:bCs/>
        </w:rPr>
        <w:t xml:space="preserve">K přímému dotčení přírodního parku nedojde, ve vizuálním kontextu skalního úbočí, které tvoří východní hranici parku, bude umístěna nová dopravní stavba v souběhu se stavbami stávajícími obdobného charakteru. Identifikován mírně negativní vliv na krajinný ráz </w:t>
      </w:r>
      <w:r w:rsidR="00861FE4" w:rsidRPr="00111F34">
        <w:rPr>
          <w:bCs/>
        </w:rPr>
        <w:t>se synergickým</w:t>
      </w:r>
      <w:r w:rsidRPr="00111F34">
        <w:rPr>
          <w:bCs/>
        </w:rPr>
        <w:t xml:space="preserve"> spolupůsobením. Konkrétní ovlivnění je třeba prověřit v navazujících řízeních prostřednictvím posouzení vlivu na krajinný ráz dle § 12 zákona č. 114/1992 Sb., o ochraně přírody a krajiny</w:t>
      </w:r>
      <w:r w:rsidR="00F56742" w:rsidRPr="00111F34">
        <w:rPr>
          <w:bCs/>
        </w:rPr>
        <w:t xml:space="preserve"> a koordinovat s orgány památkové ochrany</w:t>
      </w:r>
      <w:r w:rsidRPr="00111F34">
        <w:rPr>
          <w:bCs/>
        </w:rPr>
        <w:t xml:space="preserve">. </w:t>
      </w:r>
    </w:p>
    <w:p w14:paraId="702F3242" w14:textId="3D035BD4" w:rsidR="008F746B" w:rsidRPr="00111F34" w:rsidRDefault="008F746B" w:rsidP="0058316F">
      <w:r w:rsidRPr="00111F34">
        <w:t>Nový Sedlec</w:t>
      </w:r>
    </w:p>
    <w:p w14:paraId="42BEF233" w14:textId="3D07E60E" w:rsidR="0089265B" w:rsidRPr="00111F34" w:rsidRDefault="0089265B" w:rsidP="0089265B">
      <w:r w:rsidRPr="00111F34">
        <w:t xml:space="preserve">V oblasti Nového Sedlce </w:t>
      </w:r>
      <w:r w:rsidR="008F746B" w:rsidRPr="00111F34">
        <w:t xml:space="preserve">jsou návrhem vytvoření územní předpoklady pro novou zástavbu </w:t>
      </w:r>
      <w:r w:rsidRPr="00111F34">
        <w:t>při co největším zachování stávajícího charakteru území, který je dán výraznou terénní morfologií způsobenou převážně navážkami zeminy postupně zarůstajícími náletovou vegetací a historickým využitím území pro těžbu. Tato oblast ještě nedávno sloužila k získávání cihlářského jílu pro místní cihelny (severně od Kamýcké ulice je dochována jedna z historických budov Hergetovy cihelny), čímž vznikly charakteristické terénní „lavice“ členící Nový Sedlec na spodní (východní) část a horní (střední a západní) část území. Cílem je zachování tohoto členění a podpora alespoň částečného zachování novějších navážek, které jsou pro území charakteristické.</w:t>
      </w:r>
    </w:p>
    <w:p w14:paraId="65A16AFF" w14:textId="7F136DA1" w:rsidR="0089265B" w:rsidRPr="00111F34" w:rsidRDefault="0089265B" w:rsidP="0089265B">
      <w:r w:rsidRPr="00111F34">
        <w:t>Z většiny nově urbanizovaného území by</w:t>
      </w:r>
      <w:r w:rsidR="00F56742" w:rsidRPr="00111F34">
        <w:t xml:space="preserve"> dle podkladové studie</w:t>
      </w:r>
      <w:r w:rsidRPr="00111F34">
        <w:t xml:space="preserve"> měla být patrná alespoň částečně charakteristická terénní rozmanitost v podobě průhledů a zakončení ulic. Tyto terénní vlny by zároveň měly zůstat veřejně přístupné a umožnit novým obyvatelům výhled nejen na území Nového Sedlce, ale i do širší krajiny na okolní přírodu a město. Dalším významným orientačním prvkem území je komín od bývalé výtopny České zemědělské univerzity, který je významnou dominantou na jižním okraji území. Studie jej zachovává, avšak v jeho okolí již navrhuje klidnou a málo intenzivní zástavbu rodinných domů a situuje v jeho okolí veřejný prostor (sad) navazující na hlavní park v místě největších navážek.</w:t>
      </w:r>
    </w:p>
    <w:p w14:paraId="7E783934" w14:textId="25291912" w:rsidR="008F746B" w:rsidRPr="00111F34" w:rsidRDefault="008F746B" w:rsidP="0089265B">
      <w:r w:rsidRPr="00111F34">
        <w:t xml:space="preserve">V lokalitě Nový Sedlec je okolní krajina ponechána ve stávajícím stavu jako městská džungle s drobným dotvořením při hranici zástavby. Stejně jako v lokalitě Na Výhledech je podpořeno zachování či obnovení stávajících cest s minimalizací úprav jejich trasování. Studie nenavrhuje v řešeném území park většího než lokálního významu, avšak navazuje na významné stávající i plánované rekreační plochy. Jde zejména o Přírodní park Šárka – Lysolaje, na který </w:t>
      </w:r>
      <w:r w:rsidR="005A380B" w:rsidRPr="00111F34">
        <w:t xml:space="preserve">vizuálně </w:t>
      </w:r>
      <w:r w:rsidRPr="00111F34">
        <w:t>navazuje řešené území Nového Sedlce. Rozhraní mezi zástavbou a tímto parkem tvoří stávající, zatím jen zčásti funkční biokoridor územního systému ekologické stability (ÚSES), který má být výhledově lokálně rozšířen a doplněn o biocentrum. Studie v těchto místech navrhuje obnovení historické cesty z Nového Sedlce do Podbaby, které by umožnilo lépe napojit tuto rekreační plochu na řešené území</w:t>
      </w:r>
      <w:r w:rsidR="005A380B" w:rsidRPr="00111F34">
        <w:t>, to je však mimo podrobnost územního plánu. Změna vymezuje plochy ZMK na přechodu do volné krajiny.</w:t>
      </w:r>
    </w:p>
    <w:p w14:paraId="5112DE82" w14:textId="49EA3EF9" w:rsidR="0089265B" w:rsidRPr="00111F34" w:rsidRDefault="0089265B" w:rsidP="0089265B">
      <w:r w:rsidRPr="00111F34">
        <w:t>Jedním ze základních principů, které formovaly urbanistický návrh Nového Sedlce</w:t>
      </w:r>
      <w:r w:rsidR="00046607" w:rsidRPr="00111F34">
        <w:t xml:space="preserve"> prověřený urbanistickou studí, ze které vychází posuzovaná změna územního plánu,</w:t>
      </w:r>
      <w:r w:rsidRPr="00111F34">
        <w:t xml:space="preserve"> bylo zachování stávajícího kontaktu s Prahou a jejím centrem. Z tohoto důvodu je v části Nového Sedlce navržena hlavní urbanistická osa, která v návaznosti na dnešní ulici Ke Střelnici směřuje přes hlavní náměstí a zastávku Střelnice na siluetu Pražského hradu, která se tyčí v dáli. Zároveň je ponechán volně přístupný okraj přírodní památky Podbabské skály, který navazuje na hlavní park, jenž je navržen v místě jedné z dnes nejvyšších navážek, tak aby z něj bylo možné rozhlédnout se do všech světových stran a nikoli pouze na centrum hlavního města, kaňon Vltavy či sídliště Bohnice na protějším břehu řeky.</w:t>
      </w:r>
      <w:r w:rsidR="00334F50" w:rsidRPr="00111F34">
        <w:t xml:space="preserve"> Park navazuje jak na hlavní náměstí, tak na východo-západní (tramvajovou) osu a je navržen na stávající navážce, kde měl by být zachován její charakter (výrazná terénní modulace) a zároveň i místo výhledu </w:t>
      </w:r>
      <w:r w:rsidR="00046607" w:rsidRPr="00111F34">
        <w:t>do krajiny</w:t>
      </w:r>
      <w:r w:rsidR="00334F50" w:rsidRPr="00111F34">
        <w:t>.</w:t>
      </w:r>
    </w:p>
    <w:p w14:paraId="6001C3BB" w14:textId="56E8B2C0" w:rsidR="008F746B" w:rsidRPr="00111F34" w:rsidRDefault="008F746B" w:rsidP="0089265B">
      <w:r w:rsidRPr="00111F34">
        <w:t>Výhledy</w:t>
      </w:r>
    </w:p>
    <w:p w14:paraId="6E701899" w14:textId="51C908EF" w:rsidR="005A380B" w:rsidRPr="00111F34" w:rsidRDefault="005A380B" w:rsidP="005A380B">
      <w:r w:rsidRPr="00111F34">
        <w:lastRenderedPageBreak/>
        <w:t xml:space="preserve">Na rozdíl od oblasti Nového Sedlce je lokalita Výhledů charakteristická svým terénním „klidem“ a možností výhledu směrem ke Kozím hřbetům, Brandejsovu statku i směrem opačným, k Horoměřicím. Tato okrajová část Suchdola je hojně využívána k rekreaci, jsou zde polní cesty lemované stromořadím i klidné ulice historického centra u Brandejsova statku. </w:t>
      </w:r>
      <w:r w:rsidR="00046607" w:rsidRPr="00111F34">
        <w:t>Změna</w:t>
      </w:r>
      <w:r w:rsidRPr="00111F34">
        <w:t xml:space="preserve"> si zde klade za cíl umožnit rozvoj v okolí navrhované tramvajové smyčky, doplnit potřebnou vybavenost a umožnit přestup z příměstské dopravy na tramvaj, avšak zároveň zachovat klid a vesnickou pohodu stávající zástavby.</w:t>
      </w:r>
    </w:p>
    <w:p w14:paraId="5D6C8AB2" w14:textId="70CF23BA" w:rsidR="005A380B" w:rsidRPr="00111F34" w:rsidRDefault="005A380B" w:rsidP="005A380B">
      <w:r w:rsidRPr="00111F34">
        <w:t xml:space="preserve">Jak v oblasti Nového Sedlce, tak Výhledů </w:t>
      </w:r>
      <w:r w:rsidR="00046607" w:rsidRPr="00111F34">
        <w:t xml:space="preserve">podkladová </w:t>
      </w:r>
      <w:r w:rsidRPr="00111F34">
        <w:t>studie dbá na maximální integraci zeleně nejen do veřejných prostranství (formou stromořadí, či vegetačních pásů), ale též návrhem lokálních plácků s předepsanou výsadbou a nestavebních bloků.</w:t>
      </w:r>
      <w:r w:rsidR="00046607" w:rsidRPr="00111F34">
        <w:t xml:space="preserve"> Změna územního plánu toto členění přebírá a převádí do podrobnosti a jazyka platného ÚP.</w:t>
      </w:r>
    </w:p>
    <w:p w14:paraId="4A3FC21A" w14:textId="5A9FE4DD" w:rsidR="0089265B" w:rsidRPr="00111F34" w:rsidRDefault="0089265B" w:rsidP="0089265B">
      <w:r w:rsidRPr="00111F34">
        <w:t xml:space="preserve">V oblasti Výhledů je cílem studie typologicky a charakterem zástavby podpořit stávající strukturu méně kapacitní zástavby, avšak udržet dostatečný odstup od historického jádra Suchdola a Brandejsova statku. Tento odstup umožní zachovat výhled na historickou zástavbu a zároveň neznemožní využívání okolí Brandejsova statku pro </w:t>
      </w:r>
      <w:r w:rsidR="00046607" w:rsidRPr="00111F34">
        <w:t>zemědělství</w:t>
      </w:r>
      <w:r w:rsidRPr="00111F34">
        <w:t>, který dotváří dnešní vesnický obraz sídla.</w:t>
      </w:r>
    </w:p>
    <w:p w14:paraId="311DB6C4" w14:textId="7A5C4910" w:rsidR="0089265B" w:rsidRPr="00111F34" w:rsidRDefault="0089265B" w:rsidP="0089265B">
      <w:r w:rsidRPr="00111F34">
        <w:t>Cílem návrh</w:t>
      </w:r>
      <w:r w:rsidR="00046607" w:rsidRPr="00111F34">
        <w:t>u</w:t>
      </w:r>
      <w:r w:rsidRPr="00111F34">
        <w:t xml:space="preserve"> je vytvořit územní předpoklady pro vhodně uspořádaný systém veřejných prostranství a průchodů v návaznosti na dnešní komunikační skelet, který podpoří prostupnost územím a jeho rekreační potenciál. Vytvořit kvalitní prostředí pro bydlení, a to zejména tvorbou navzájem propojených funkčních veřejných prostranství s vysokou pobytovou kvalitou (zejména plochy propojené s okolními domy aktivním parterem) a logickou hierarchií, které podpoří vzájemnou sociální kontrolu a vznik komunitního života na různých úrovních. Kvalitu života zvýší i doplňovaná potřebná veřejná vybavenost, která spolu s propojenou sítí cest pro pěší a cyklisty pomáhá přispět k tvorbě města krátkých vzdáleností.</w:t>
      </w:r>
    </w:p>
    <w:p w14:paraId="498F6FF8" w14:textId="7B180571" w:rsidR="008F746B" w:rsidRPr="00111F34" w:rsidRDefault="008F746B" w:rsidP="008F746B">
      <w:r w:rsidRPr="00111F34">
        <w:t>Území Na Výhledech je specifické svou okrajovou polohou v rámci Prahy – je přímo navázáno na okolní krajinu a rekreační plochy v okolí hl. města Prahy. Návrh vytváří územní předpoklad pro zkvalitnění propojení směrem k Brandejsovu statku a zároveň požaduje propojení od tramvajové zastávky směrem k budoucímu agroparku ČZÚ.</w:t>
      </w:r>
    </w:p>
    <w:p w14:paraId="6395ACFF" w14:textId="5181F3A9" w:rsidR="00334F50" w:rsidRPr="00111F34" w:rsidRDefault="00334F50" w:rsidP="008F746B">
      <w:r w:rsidRPr="00111F34">
        <w:t xml:space="preserve">V oblasti </w:t>
      </w:r>
      <w:r w:rsidR="005A380B" w:rsidRPr="00111F34">
        <w:t>V</w:t>
      </w:r>
      <w:r w:rsidRPr="00111F34">
        <w:t xml:space="preserve">ýhledů jsou vytvořeny územní předpoklady pro městský park lokálního významu, který je tvořen pásem potřebným pro trasování tunelu Pražského okruhu a s ním spojených inženýrských sítí. Měl by tvořit lineární rekreační plochu přírodě blízkého charakteru, která propojí území Suchdola s plochami okolní krajiny včetně umístění pěších a cyklistických stezek. </w:t>
      </w:r>
    </w:p>
    <w:p w14:paraId="6C0A8B2F" w14:textId="4B53EE9A" w:rsidR="008443B2" w:rsidRPr="00111F34" w:rsidRDefault="008443B2" w:rsidP="008F746B">
      <w:r w:rsidRPr="00111F34">
        <w:t>Přibližnou představu o hmotovém pojetí budoucího terminálu Výhledy si lze učinit z následujícího obrázku.</w:t>
      </w:r>
    </w:p>
    <w:p w14:paraId="7AE4FD79" w14:textId="71970AEC" w:rsidR="008443B2" w:rsidRPr="00111F34" w:rsidRDefault="008443B2" w:rsidP="008F746B">
      <w:r w:rsidRPr="00111F34">
        <w:rPr>
          <w:noProof/>
        </w:rPr>
        <w:lastRenderedPageBreak/>
        <w:drawing>
          <wp:inline distT="0" distB="0" distL="0" distR="0" wp14:anchorId="4A8AEC74" wp14:editId="26BA65E7">
            <wp:extent cx="6120130" cy="4288155"/>
            <wp:effectExtent l="0" t="0" r="0" b="0"/>
            <wp:docPr id="108834457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344574" name=""/>
                    <pic:cNvPicPr/>
                  </pic:nvPicPr>
                  <pic:blipFill>
                    <a:blip r:embed="rId127"/>
                    <a:stretch>
                      <a:fillRect/>
                    </a:stretch>
                  </pic:blipFill>
                  <pic:spPr>
                    <a:xfrm>
                      <a:off x="0" y="0"/>
                      <a:ext cx="6120130" cy="4288155"/>
                    </a:xfrm>
                    <a:prstGeom prst="rect">
                      <a:avLst/>
                    </a:prstGeom>
                  </pic:spPr>
                </pic:pic>
              </a:graphicData>
            </a:graphic>
          </wp:inline>
        </w:drawing>
      </w:r>
    </w:p>
    <w:p w14:paraId="625C216E" w14:textId="214A67CE" w:rsidR="008443B2" w:rsidRPr="00111F34" w:rsidRDefault="008443B2" w:rsidP="008443B2">
      <w:pPr>
        <w:pStyle w:val="Obrnadpis"/>
      </w:pPr>
      <w:bookmarkStart w:id="278" w:name="_Toc138848230"/>
      <w:r w:rsidRPr="00111F34">
        <w:t>Terminál Výhledy</w:t>
      </w:r>
      <w:r w:rsidR="00861FE4" w:rsidRPr="00111F34">
        <w:t xml:space="preserve"> možné hmotové řešení</w:t>
      </w:r>
      <w:r w:rsidRPr="00111F34">
        <w:t xml:space="preserve"> – studie proveditelnosti, CEDOP, 2020</w:t>
      </w:r>
      <w:bookmarkEnd w:id="278"/>
    </w:p>
    <w:p w14:paraId="7B048F5C" w14:textId="642DC787" w:rsidR="005A380B" w:rsidRPr="00111F34" w:rsidRDefault="005A380B" w:rsidP="008F746B">
      <w:r w:rsidRPr="00111F34">
        <w:t>Shrnutí:</w:t>
      </w:r>
    </w:p>
    <w:p w14:paraId="1BC35B2F" w14:textId="6218A1BC" w:rsidR="002828BC" w:rsidRPr="00111F34" w:rsidRDefault="002828BC" w:rsidP="002828BC">
      <w:r w:rsidRPr="00111F34">
        <w:t xml:space="preserve">Řešením </w:t>
      </w:r>
      <w:r w:rsidR="008705CE" w:rsidRPr="00111F34">
        <w:t>navrhovaného</w:t>
      </w:r>
      <w:r w:rsidR="005F447E" w:rsidRPr="00111F34">
        <w:t xml:space="preserve"> využití území</w:t>
      </w:r>
      <w:r w:rsidR="00652419" w:rsidRPr="00111F34">
        <w:t xml:space="preserve"> </w:t>
      </w:r>
      <w:r w:rsidRPr="00111F34">
        <w:t>nejsou</w:t>
      </w:r>
      <w:r w:rsidR="00C06DFF" w:rsidRPr="00111F34">
        <w:t>,</w:t>
      </w:r>
      <w:r w:rsidRPr="00111F34">
        <w:t xml:space="preserve"> vzhledem ke vzdálenostem a charakteru navrhovaných změn</w:t>
      </w:r>
      <w:r w:rsidR="00C25023" w:rsidRPr="00111F34">
        <w:t xml:space="preserve">, objemu stávající </w:t>
      </w:r>
      <w:r w:rsidR="00046607" w:rsidRPr="00111F34">
        <w:t>i</w:t>
      </w:r>
      <w:r w:rsidR="00C25023" w:rsidRPr="00111F34">
        <w:t xml:space="preserve"> očekávané zeleně v území</w:t>
      </w:r>
      <w:r w:rsidR="00C06DFF" w:rsidRPr="00111F34">
        <w:t>,</w:t>
      </w:r>
      <w:r w:rsidRPr="00111F34">
        <w:t xml:space="preserve"> očekávány významné</w:t>
      </w:r>
      <w:r w:rsidR="00C25023" w:rsidRPr="00111F34">
        <w:t xml:space="preserve"> negativní</w:t>
      </w:r>
      <w:r w:rsidRPr="00111F34">
        <w:t xml:space="preserve"> vlivy na krajinný ráz, estetické dominanty území ani architektonické a archeologické dědictví.</w:t>
      </w:r>
    </w:p>
    <w:p w14:paraId="7587146D" w14:textId="47252A68" w:rsidR="00A61EBA" w:rsidRPr="00111F34" w:rsidRDefault="00F508E2" w:rsidP="00A461EB">
      <w:r w:rsidRPr="00111F34">
        <w:t>Z hlediska přírody a krajiny je základní hodnotou v</w:t>
      </w:r>
      <w:r w:rsidR="004D3348" w:rsidRPr="00111F34">
        <w:t> území jeho morfologie a rozmístění lesní a mimolesní zeleně</w:t>
      </w:r>
      <w:r w:rsidRPr="00111F34">
        <w:t xml:space="preserve">. </w:t>
      </w:r>
      <w:r w:rsidR="00A61EBA" w:rsidRPr="00111F34">
        <w:t xml:space="preserve">Žádná z těchto hodnot </w:t>
      </w:r>
      <w:r w:rsidR="00C25023" w:rsidRPr="00111F34">
        <w:t>nebude řešenou změnou negativně</w:t>
      </w:r>
      <w:r w:rsidR="00A61EBA" w:rsidRPr="00111F34">
        <w:t xml:space="preserve"> dotčena.</w:t>
      </w:r>
    </w:p>
    <w:p w14:paraId="55841D49" w14:textId="5218C239" w:rsidR="00770949" w:rsidRPr="00111F34" w:rsidRDefault="00770949" w:rsidP="00A461EB">
      <w:r w:rsidRPr="00111F34">
        <w:rPr>
          <w:rFonts w:cs="Arial"/>
          <w:bCs/>
        </w:rPr>
        <w:t>Změnou dojde k navýšení ploch celoměstského systému zeleně (CSZ) v rozsahu 16 268 m². Tato úprava pozitivně ovlivní celkovou koncepci celoměstského systému zeleně v daném území a posílí jeho funkčnost. V lokalitě Výhledy prostupuje systém centrálním prostorem rozvojových území a zároveň posiluje pás v severní a západní části. V lokalitě Nový Sedlec je systém posílen především v okrajových částech od severu k jihu.</w:t>
      </w:r>
    </w:p>
    <w:p w14:paraId="351831E8" w14:textId="76153B15" w:rsidR="00A61EBA" w:rsidRPr="00111F34" w:rsidRDefault="00A61EBA" w:rsidP="00A61EBA">
      <w:r w:rsidRPr="00111F34">
        <w:t xml:space="preserve">U posuzované koncepce se předpokládá vznik nových </w:t>
      </w:r>
      <w:r w:rsidR="00046607" w:rsidRPr="00111F34">
        <w:t>urbanistických celků s nízkou intenzitou zástavby a vysokým podílem zeleně</w:t>
      </w:r>
      <w:r w:rsidRPr="00111F34">
        <w:t xml:space="preserve">, nelze vyloučit ani ovlivnění pohledů ze střední vzdálenosti (cca do </w:t>
      </w:r>
      <w:r w:rsidR="00770949" w:rsidRPr="00111F34">
        <w:t>2-4</w:t>
      </w:r>
      <w:r w:rsidRPr="00111F34">
        <w:t xml:space="preserve"> km) v závislosti na konkrétní podobě realizované zástavby a jejím hmotovém a architektonickém pojetí, což je však mimo podrobnost územního plánu.</w:t>
      </w:r>
    </w:p>
    <w:p w14:paraId="7C3F607A" w14:textId="405D0234" w:rsidR="00A61EBA" w:rsidRPr="00111F34" w:rsidRDefault="00A61EBA" w:rsidP="00A61EBA">
      <w:r w:rsidRPr="00111F34">
        <w:t xml:space="preserve">Zástavba v řešených plochách bude spolupůsobit s již existujícími impakty v území, již realizovanou i plánovanou zástavbou, vedením dopravních a technických sítí a </w:t>
      </w:r>
      <w:r w:rsidR="00046607" w:rsidRPr="00111F34">
        <w:t>stávající zástavbou</w:t>
      </w:r>
      <w:r w:rsidRPr="00111F34">
        <w:t>.</w:t>
      </w:r>
    </w:p>
    <w:p w14:paraId="68BF05CF" w14:textId="7D2D9998" w:rsidR="00EE4A30" w:rsidRPr="00111F34" w:rsidRDefault="00EE4A30" w:rsidP="00EE4A30">
      <w:pPr>
        <w:rPr>
          <w:lang w:eastAsia="cs-CZ"/>
        </w:rPr>
      </w:pPr>
      <w:r w:rsidRPr="00111F34">
        <w:rPr>
          <w:lang w:eastAsia="cs-CZ"/>
        </w:rPr>
        <w:t xml:space="preserve">Posuzovaná změna vytváří územní předpoklady pro </w:t>
      </w:r>
      <w:r w:rsidR="00861FE4" w:rsidRPr="00111F34">
        <w:rPr>
          <w:lang w:eastAsia="cs-CZ"/>
        </w:rPr>
        <w:t>do</w:t>
      </w:r>
      <w:r w:rsidRPr="00111F34">
        <w:rPr>
          <w:lang w:eastAsia="cs-CZ"/>
        </w:rPr>
        <w:t xml:space="preserve">tvoření </w:t>
      </w:r>
      <w:r w:rsidR="00C25023" w:rsidRPr="00111F34">
        <w:rPr>
          <w:lang w:eastAsia="cs-CZ"/>
        </w:rPr>
        <w:t>kvalitní</w:t>
      </w:r>
      <w:r w:rsidRPr="00111F34">
        <w:rPr>
          <w:lang w:eastAsia="cs-CZ"/>
        </w:rPr>
        <w:t xml:space="preserve"> čtvrti s předpokladem vyššího podílu bydlení</w:t>
      </w:r>
      <w:r w:rsidR="00770949" w:rsidRPr="00111F34">
        <w:rPr>
          <w:lang w:eastAsia="cs-CZ"/>
        </w:rPr>
        <w:t>, zeleně</w:t>
      </w:r>
      <w:r w:rsidRPr="00111F34">
        <w:rPr>
          <w:lang w:eastAsia="cs-CZ"/>
        </w:rPr>
        <w:t xml:space="preserve">, veřejné vybavenosti a terciéru </w:t>
      </w:r>
      <w:r w:rsidR="00C25023" w:rsidRPr="00111F34">
        <w:rPr>
          <w:lang w:eastAsia="cs-CZ"/>
        </w:rPr>
        <w:t>s dobrou dopravní dostupností a řešením stávajících problémů v podobě nevhodného využití území, přítomnosti brownfields a dopravních problémů</w:t>
      </w:r>
      <w:r w:rsidR="00642A9E">
        <w:rPr>
          <w:lang w:eastAsia="cs-CZ"/>
        </w:rPr>
        <w:t>.</w:t>
      </w:r>
      <w:r w:rsidRPr="00111F34">
        <w:rPr>
          <w:lang w:eastAsia="cs-CZ"/>
        </w:rPr>
        <w:t xml:space="preserve"> Tato struktura zástavby umožňuje využít pozitivních daností i perspektiv v podobě dopravního napojení území a jeho výhodné polohy v rámci města s významným potenciálem prevence suburbanizace a </w:t>
      </w:r>
      <w:r w:rsidR="00C25023" w:rsidRPr="00111F34">
        <w:rPr>
          <w:lang w:eastAsia="cs-CZ"/>
        </w:rPr>
        <w:t xml:space="preserve">snížení IAD, </w:t>
      </w:r>
      <w:r w:rsidRPr="00111F34">
        <w:rPr>
          <w:lang w:eastAsia="cs-CZ"/>
        </w:rPr>
        <w:t xml:space="preserve">možností dotvoření </w:t>
      </w:r>
      <w:r w:rsidR="00C25023" w:rsidRPr="00111F34">
        <w:rPr>
          <w:lang w:eastAsia="cs-CZ"/>
        </w:rPr>
        <w:t xml:space="preserve">území </w:t>
      </w:r>
      <w:r w:rsidRPr="00111F34">
        <w:rPr>
          <w:lang w:eastAsia="cs-CZ"/>
        </w:rPr>
        <w:t xml:space="preserve">jako kvalitní městské čtvrti s vysokým podílem </w:t>
      </w:r>
      <w:r w:rsidR="003577E4" w:rsidRPr="00111F34">
        <w:rPr>
          <w:lang w:eastAsia="cs-CZ"/>
        </w:rPr>
        <w:t>kvalitního</w:t>
      </w:r>
      <w:r w:rsidRPr="00111F34">
        <w:rPr>
          <w:lang w:eastAsia="cs-CZ"/>
        </w:rPr>
        <w:t xml:space="preserve"> bydlení,</w:t>
      </w:r>
      <w:r w:rsidR="00C25023" w:rsidRPr="00111F34">
        <w:rPr>
          <w:lang w:eastAsia="cs-CZ"/>
        </w:rPr>
        <w:t xml:space="preserve"> unikátním rekreačním</w:t>
      </w:r>
      <w:r w:rsidRPr="00111F34">
        <w:rPr>
          <w:lang w:eastAsia="cs-CZ"/>
        </w:rPr>
        <w:t xml:space="preserve"> </w:t>
      </w:r>
      <w:r w:rsidR="00C51945" w:rsidRPr="00111F34">
        <w:rPr>
          <w:lang w:eastAsia="cs-CZ"/>
        </w:rPr>
        <w:t>Agro parku</w:t>
      </w:r>
      <w:r w:rsidRPr="00111F34">
        <w:rPr>
          <w:lang w:eastAsia="cs-CZ"/>
        </w:rPr>
        <w:t xml:space="preserve"> zázemím v podobě </w:t>
      </w:r>
      <w:r w:rsidR="00C25023" w:rsidRPr="00111F34">
        <w:rPr>
          <w:lang w:eastAsia="cs-CZ"/>
        </w:rPr>
        <w:t>Šárky, Kozích hřbetů a průlomového údolí Vltavy</w:t>
      </w:r>
      <w:r w:rsidRPr="00111F34">
        <w:rPr>
          <w:lang w:eastAsia="cs-CZ"/>
        </w:rPr>
        <w:t xml:space="preserve">. Plochy zeleně jsou koordinovány a vymezeny tak, aby jednak zachovaly </w:t>
      </w:r>
      <w:r w:rsidR="00046607" w:rsidRPr="00111F34">
        <w:rPr>
          <w:lang w:eastAsia="cs-CZ"/>
        </w:rPr>
        <w:t xml:space="preserve">a ochránily </w:t>
      </w:r>
      <w:r w:rsidRPr="00111F34">
        <w:rPr>
          <w:lang w:eastAsia="cs-CZ"/>
        </w:rPr>
        <w:t xml:space="preserve">stávající hodnoty v podobě </w:t>
      </w:r>
      <w:r w:rsidR="00C25023" w:rsidRPr="00111F34">
        <w:rPr>
          <w:lang w:eastAsia="cs-CZ"/>
        </w:rPr>
        <w:t xml:space="preserve">environmentálně cenných biotopů a chráněných </w:t>
      </w:r>
      <w:r w:rsidR="00C25023" w:rsidRPr="00111F34">
        <w:rPr>
          <w:lang w:eastAsia="cs-CZ"/>
        </w:rPr>
        <w:lastRenderedPageBreak/>
        <w:t>území</w:t>
      </w:r>
      <w:r w:rsidRPr="00111F34">
        <w:rPr>
          <w:lang w:eastAsia="cs-CZ"/>
        </w:rPr>
        <w:t xml:space="preserve"> a jednak vytvořily rekreační zázemí a zelenou osu navazující na celoměstský systém zeleně</w:t>
      </w:r>
      <w:r w:rsidR="00C25023" w:rsidRPr="00111F34">
        <w:rPr>
          <w:lang w:eastAsia="cs-CZ"/>
        </w:rPr>
        <w:t xml:space="preserve"> a zároveň zachovaly krajinný ráz zelených svahů údolí Vltavy a dotvářel</w:t>
      </w:r>
      <w:r w:rsidR="00046607" w:rsidRPr="00111F34">
        <w:rPr>
          <w:lang w:eastAsia="cs-CZ"/>
        </w:rPr>
        <w:t>y</w:t>
      </w:r>
      <w:r w:rsidR="00C25023" w:rsidRPr="00111F34">
        <w:rPr>
          <w:lang w:eastAsia="cs-CZ"/>
        </w:rPr>
        <w:t xml:space="preserve"> přirozené přechody do volné krajiny.</w:t>
      </w:r>
    </w:p>
    <w:p w14:paraId="31227B29" w14:textId="4FBF6AC4" w:rsidR="00A61EBA" w:rsidRPr="00111F34" w:rsidRDefault="00A61EBA" w:rsidP="00A61EBA">
      <w:r w:rsidRPr="00111F34">
        <w:t>Výšková hladina zástavby by měla být navržena tak, aby ctila současné výšky, reflektovala terén a nebránila dálkovým průhledům</w:t>
      </w:r>
      <w:r w:rsidR="00861FE4" w:rsidRPr="00111F34">
        <w:t xml:space="preserve">. Zejména z území Nového Sedlce jsou </w:t>
      </w:r>
      <w:r w:rsidR="00D00725" w:rsidRPr="00111F34">
        <w:t>přítomny lokální</w:t>
      </w:r>
      <w:r w:rsidR="00861FE4" w:rsidRPr="00111F34">
        <w:t xml:space="preserve"> průhledy na panorama pražského hradu</w:t>
      </w:r>
      <w:r w:rsidRPr="00111F34">
        <w:t xml:space="preserve">. </w:t>
      </w:r>
    </w:p>
    <w:p w14:paraId="3AA0EF34" w14:textId="5267F058" w:rsidR="00C25023" w:rsidRPr="00111F34" w:rsidRDefault="00C25023" w:rsidP="00A61EBA">
      <w:r w:rsidRPr="00111F34">
        <w:t xml:space="preserve">Zvýšenou pozornost je třeba </w:t>
      </w:r>
      <w:r w:rsidR="00861FE4" w:rsidRPr="00111F34">
        <w:t>věnovat</w:t>
      </w:r>
      <w:r w:rsidRPr="00111F34">
        <w:t xml:space="preserve"> v navazujících řízeních návrhu tramvajové trati v kontextu přírodního rámce skalních úbočí</w:t>
      </w:r>
      <w:r w:rsidR="004326D1" w:rsidRPr="00111F34">
        <w:t xml:space="preserve"> a stávající železniční trati</w:t>
      </w:r>
      <w:r w:rsidRPr="00111F34">
        <w:t xml:space="preserve"> a zejména vzhledem k nemovité kulturní památce viaduktu v ulici V Podbabě.</w:t>
      </w:r>
    </w:p>
    <w:p w14:paraId="3E06DA69" w14:textId="22C737C8" w:rsidR="00A61EBA" w:rsidRPr="00111F34" w:rsidRDefault="00A61EBA" w:rsidP="00A61EBA">
      <w:r w:rsidRPr="00111F34">
        <w:t>Při realizaci staveb může docházet k nálezům archeologických památek, tomu je třeba přizpůsobit projektovou i realizační přípravu stavby</w:t>
      </w:r>
      <w:r w:rsidR="00C25023" w:rsidRPr="00111F34">
        <w:t>.</w:t>
      </w:r>
    </w:p>
    <w:p w14:paraId="4075BCB6" w14:textId="05D5EBEE" w:rsidR="00A61EBA" w:rsidRPr="00111F34" w:rsidRDefault="00A61EBA" w:rsidP="00A461EB">
      <w:r w:rsidRPr="00111F34">
        <w:t>Lze konstatovat, že navrhovaná změna neovlivní podstatným negativním způsobem krajinná panoramata. Celkový zásah do krajinného rázu místa a oblasti můžeme identifikovat jako mírně pozitivní až mírně negativní s dlouhodobým působením</w:t>
      </w:r>
      <w:r w:rsidR="00861FE4" w:rsidRPr="00111F34">
        <w:t xml:space="preserve"> a místy i synergickým spolupůsobením</w:t>
      </w:r>
      <w:r w:rsidRPr="00111F34">
        <w:t xml:space="preserve">. </w:t>
      </w:r>
      <w:r w:rsidR="00D00725" w:rsidRPr="00111F34">
        <w:t>K</w:t>
      </w:r>
      <w:r w:rsidRPr="00111F34">
        <w:t>onkrétní vizuální dopad</w:t>
      </w:r>
      <w:r w:rsidR="00D00725" w:rsidRPr="00111F34">
        <w:t xml:space="preserve"> transformace území</w:t>
      </w:r>
      <w:r w:rsidRPr="00111F34">
        <w:t xml:space="preserve"> bude možné vyhodnotit až na základě znalosti konkrétního architektonického pojetí budoucí zástavby a je třeba ho prověřit a podrobit odborné diskuzi v navazujících řízeních.</w:t>
      </w:r>
    </w:p>
    <w:p w14:paraId="0DC2823B" w14:textId="0E7D6A2B" w:rsidR="00794578" w:rsidRPr="00111F34" w:rsidRDefault="00794578" w:rsidP="00A67277">
      <w:pPr>
        <w:pStyle w:val="Nadpis3"/>
      </w:pPr>
      <w:bookmarkStart w:id="279" w:name="_Toc138848140"/>
      <w:r w:rsidRPr="00111F34">
        <w:t>Hluk</w:t>
      </w:r>
      <w:bookmarkEnd w:id="276"/>
      <w:bookmarkEnd w:id="277"/>
      <w:r w:rsidR="007D55A4" w:rsidRPr="00111F34">
        <w:t xml:space="preserve"> a vibrace</w:t>
      </w:r>
      <w:bookmarkEnd w:id="279"/>
    </w:p>
    <w:p w14:paraId="51F40C48" w14:textId="0BAC0B46" w:rsidR="004463D0" w:rsidRPr="00111F34" w:rsidRDefault="004463D0" w:rsidP="004463D0">
      <w:r w:rsidRPr="00111F34">
        <w:t>Posouzení hlukové situace v</w:t>
      </w:r>
      <w:r w:rsidR="004D3348" w:rsidRPr="00111F34">
        <w:t> lokalitách řešených změn</w:t>
      </w:r>
      <w:r w:rsidR="005F447E" w:rsidRPr="00111F34">
        <w:t>ou</w:t>
      </w:r>
      <w:r w:rsidR="004D3348" w:rsidRPr="00111F34">
        <w:t xml:space="preserve"> územního plánu</w:t>
      </w:r>
      <w:r w:rsidRPr="00111F34">
        <w:t xml:space="preserve"> bylo provedeno na základě hlukových map obsažených v územně analytických podkladech, dle geoportálu </w:t>
      </w:r>
      <w:r w:rsidR="003577E4" w:rsidRPr="00111F34">
        <w:t>Prahy – Atlas</w:t>
      </w:r>
      <w:r w:rsidR="001C393D" w:rsidRPr="00111F34">
        <w:t xml:space="preserve"> životního prostředí v</w:t>
      </w:r>
      <w:r w:rsidR="005E19D2" w:rsidRPr="00111F34">
        <w:t> </w:t>
      </w:r>
      <w:r w:rsidR="001C393D" w:rsidRPr="00111F34">
        <w:t>Praze</w:t>
      </w:r>
      <w:r w:rsidR="005E19D2" w:rsidRPr="00111F34">
        <w:t xml:space="preserve"> – hluková mapa</w:t>
      </w:r>
      <w:r w:rsidR="00B9006F" w:rsidRPr="00111F34">
        <w:t xml:space="preserve"> 2016</w:t>
      </w:r>
      <w:r w:rsidR="001C393D" w:rsidRPr="00111F34">
        <w:t xml:space="preserve"> </w:t>
      </w:r>
      <w:r w:rsidRPr="00111F34">
        <w:t xml:space="preserve">a na základě Strategické hlukové mapy Prahy </w:t>
      </w:r>
      <w:r w:rsidR="004B7458" w:rsidRPr="00111F34">
        <w:t xml:space="preserve">2017 </w:t>
      </w:r>
      <w:r w:rsidRPr="00111F34">
        <w:t>zpracované Ministerstvem zdravotnictví</w:t>
      </w:r>
      <w:r w:rsidR="005E19D2" w:rsidRPr="00111F34">
        <w:t xml:space="preserve">, pro hodnocení byly </w:t>
      </w:r>
      <w:r w:rsidR="00C06DFF" w:rsidRPr="00111F34">
        <w:t xml:space="preserve">vzaty </w:t>
      </w:r>
      <w:r w:rsidR="005F447E" w:rsidRPr="00111F34">
        <w:t xml:space="preserve">v úvahu i podrobnějších dopravní </w:t>
      </w:r>
      <w:r w:rsidR="005E19D2" w:rsidRPr="00111F34">
        <w:t xml:space="preserve">modely </w:t>
      </w:r>
      <w:r w:rsidR="009A2136" w:rsidRPr="00111F34">
        <w:t xml:space="preserve">pro </w:t>
      </w:r>
      <w:r w:rsidR="005E19D2" w:rsidRPr="00111F34">
        <w:t xml:space="preserve">aktuální </w:t>
      </w:r>
      <w:r w:rsidR="009A2136" w:rsidRPr="00111F34">
        <w:t>uvažované využití území</w:t>
      </w:r>
      <w:r w:rsidR="00D309C8" w:rsidRPr="00111F34">
        <w:t>.</w:t>
      </w:r>
    </w:p>
    <w:p w14:paraId="4D7260A8" w14:textId="77777777" w:rsidR="008E7D3C" w:rsidRPr="00111F34" w:rsidRDefault="008E7D3C" w:rsidP="008E7D3C">
      <w:pPr>
        <w:rPr>
          <w:rFonts w:cs="Arial"/>
          <w:szCs w:val="20"/>
        </w:rPr>
      </w:pPr>
      <w:r w:rsidRPr="00111F34">
        <w:rPr>
          <w:rFonts w:cs="Arial"/>
          <w:szCs w:val="20"/>
        </w:rPr>
        <w:t xml:space="preserve">Lokalita je zatížena hlukem ze stávajícího provozu po ulicích Kamýcká, Roztocká a Podbabská a ze železniční trati – potenciální ovlivnění stávající hlukové zátěže – vložení nového zdroje vyvolané dopravy, a tím i hlukové zátěže do území, spolupůsobení s existujícími zdroji hlukové zátěže i plánovanými záměry rozvoje dopravní infrastruktury. </w:t>
      </w:r>
    </w:p>
    <w:p w14:paraId="320F79EC" w14:textId="17F0D051" w:rsidR="00FC295B" w:rsidRDefault="00BD7E38" w:rsidP="00BD7E38">
      <w:r w:rsidRPr="00111F34">
        <w:t xml:space="preserve">Významným zdrojem hluku v oblasti Nového Sedlce je železniční trať, která je vedena pod hranou řešeného území. V navazujícím řešeném území Sedlec sever, je již trať vedena </w:t>
      </w:r>
      <w:r w:rsidR="00760A82">
        <w:t>úrovňově</w:t>
      </w:r>
      <w:r w:rsidRPr="00111F34">
        <w:t xml:space="preserve"> a jsou zde realizována jednostranná protihluková opatření ze strany stávající obytné zástavby. Dalším stávajícím zdrojem hluku jsou ulice Roztocká a Kamýcká, jako hlavní spojnice obcí ležících severně a severozápadně od hl. m. Prahy. Zvýšení hlukové zátěže se dá předpokládat v okolí nově navrhované tramvajové trati. Z důvodu snížení hluku z tramvajové trati je </w:t>
      </w:r>
      <w:r w:rsidR="00FA53C6" w:rsidRPr="00111F34">
        <w:t xml:space="preserve">v podkladové technické studii a v urbanistické studii </w:t>
      </w:r>
      <w:r w:rsidRPr="00111F34">
        <w:t xml:space="preserve">navrženo použití kolejových absorbérů hluku se schopností retence dešťových vod v místech, kde je navržen tramvajový pás s vegetačním krytem. Studie dále navrhuje oboustranné stromořadí podél celé tramvajové trati. </w:t>
      </w:r>
      <w:r w:rsidR="00FC295B" w:rsidRPr="00111F34">
        <w:t xml:space="preserve">Tato opatření jsou mimo podrobnost územního plánu, jsou však v souladu se závěry, které vyplynuly ze SEA. </w:t>
      </w:r>
    </w:p>
    <w:p w14:paraId="04B9A08C" w14:textId="47C4E850" w:rsidR="00D00AC0" w:rsidRPr="00111F34" w:rsidRDefault="00D00AC0" w:rsidP="00BD7E38">
      <w:r>
        <w:t>V řešeném území se jako lokální zdroj hluku v současnosti nachází sportovní střelnice, případné využití území pro novou zástavbu je tomu třeba přizpůsobit.</w:t>
      </w:r>
    </w:p>
    <w:p w14:paraId="32A78191" w14:textId="613EBA08" w:rsidR="00BD7E38" w:rsidRPr="00111F34" w:rsidRDefault="00BD7E38" w:rsidP="00BD7E38">
      <w:r w:rsidRPr="00111F34">
        <w:t>Dalším zdrojem hluku bude v budoucnu i plánovaný Pražský okruh, včetně vyústění přivaděče Rybářka a MÚK Výhledy. Přesto, že se tyto dopravní stavby nachází na okraji (nebo již mimo řešené území), je potřeba zajistit optimální řešení pro utlumení zvýšené hlukové zátěže. Pro provedení protihlukových opatření jsou preferována přírodě blízká opatření</w:t>
      </w:r>
      <w:r w:rsidR="00FC295B" w:rsidRPr="00111F34">
        <w:t xml:space="preserve"> – terénní úpravy a výsadba izolační zeleně, která by zároveň vhodně dotvořila okolní </w:t>
      </w:r>
      <w:r w:rsidR="00C51945" w:rsidRPr="00111F34">
        <w:t>krajinu.</w:t>
      </w:r>
      <w:r w:rsidRPr="00111F34">
        <w:t xml:space="preserve"> Lokálním zdrojem hluku je též stávající otevřená střelnice Magnum, z tohoto důvodu studie navrhuje podmíněnost výstavby, kdy vznik obytné zástavby v okolí střelnice je možný teprve ve chvíli, kdy dojde k zastřešení, či přesunutí této střelnice. Předmětné území je</w:t>
      </w:r>
      <w:r w:rsidR="00FA53C6" w:rsidRPr="00111F34">
        <w:t xml:space="preserve"> rovněž</w:t>
      </w:r>
      <w:r w:rsidRPr="00111F34">
        <w:t xml:space="preserve"> ovlivněno provozem Letiště Václava Havla, oblast Výhledy spadá do ochranného hlukového pásma A tohoto letiště. Týká se zejména ploch severně od dnešní Dvorské ulice. V případě realizace paralelní vzletové a přistávací dráhy dojde k novému vymezení ochranného hlukového pásma a k jeho rozšíření směrem ke stávající zástavbě.</w:t>
      </w:r>
    </w:p>
    <w:p w14:paraId="29DD61A6" w14:textId="178E9AAD" w:rsidR="005F447E" w:rsidRDefault="00FC0C81" w:rsidP="00FC0C81">
      <w:r w:rsidRPr="00111F34">
        <w:rPr>
          <w:szCs w:val="16"/>
        </w:rPr>
        <w:t>Posuzovaná změna spočívá v transformaci dnes podvyužitého území, které je i v platném územním plánu územím zastavitelným</w:t>
      </w:r>
      <w:r w:rsidR="00FA53C6" w:rsidRPr="00111F34">
        <w:rPr>
          <w:szCs w:val="16"/>
        </w:rPr>
        <w:t xml:space="preserve"> určeným pro dopravní a výrobní funkce</w:t>
      </w:r>
      <w:r w:rsidRPr="00111F34">
        <w:rPr>
          <w:szCs w:val="16"/>
        </w:rPr>
        <w:t xml:space="preserve">, která spočívá ve vytvoření územních předpokladů pro umístění </w:t>
      </w:r>
      <w:r w:rsidR="004326D1" w:rsidRPr="00111F34">
        <w:rPr>
          <w:szCs w:val="16"/>
        </w:rPr>
        <w:t xml:space="preserve">dopravní infrastruktury a podpoře rozvoje rezidenčních funkcí a veřejné vybavenosti jako prevence suburbanizace. </w:t>
      </w:r>
      <w:r w:rsidRPr="00111F34">
        <w:rPr>
          <w:szCs w:val="16"/>
        </w:rPr>
        <w:t xml:space="preserve">Na místní úrovni dojde posuzovanou změnou k vytvoření územních předpokladů pro vložení nového zdroje </w:t>
      </w:r>
      <w:r w:rsidR="00FA53C6" w:rsidRPr="00111F34">
        <w:rPr>
          <w:szCs w:val="16"/>
        </w:rPr>
        <w:t>hlukové zátěže v podobě tramvajové trati</w:t>
      </w:r>
      <w:r w:rsidRPr="00111F34">
        <w:rPr>
          <w:szCs w:val="16"/>
        </w:rPr>
        <w:t xml:space="preserve"> do územ</w:t>
      </w:r>
      <w:r w:rsidR="00FA53C6" w:rsidRPr="00111F34">
        <w:rPr>
          <w:szCs w:val="16"/>
        </w:rPr>
        <w:t>í, již dnes zatíženého provozem ve stávajících ulicích</w:t>
      </w:r>
      <w:r w:rsidRPr="00111F34">
        <w:rPr>
          <w:szCs w:val="16"/>
        </w:rPr>
        <w:t xml:space="preserve">. Pozitivně spolupůsobit bude naopak přerozdělení dopravních </w:t>
      </w:r>
      <w:r w:rsidRPr="00111F34">
        <w:rPr>
          <w:szCs w:val="16"/>
        </w:rPr>
        <w:lastRenderedPageBreak/>
        <w:t xml:space="preserve">zátěží ve prospěch </w:t>
      </w:r>
      <w:r w:rsidR="004326D1" w:rsidRPr="00111F34">
        <w:rPr>
          <w:szCs w:val="16"/>
        </w:rPr>
        <w:t xml:space="preserve">nadřazené dopravní infrastruktury a bezemisní veřejné hromadné dopravy a </w:t>
      </w:r>
      <w:r w:rsidRPr="00111F34">
        <w:rPr>
          <w:szCs w:val="16"/>
        </w:rPr>
        <w:t xml:space="preserve">zklidnění </w:t>
      </w:r>
      <w:r w:rsidR="004326D1" w:rsidRPr="00111F34">
        <w:rPr>
          <w:szCs w:val="16"/>
        </w:rPr>
        <w:t>části ulice Kamýcká</w:t>
      </w:r>
      <w:r w:rsidR="005F447E" w:rsidRPr="00111F34">
        <w:t xml:space="preserve">. Lze očekávat převážně pozitivní vlivy na hlukovou a imisní situaci, a to jak v detailu řešení prostoru </w:t>
      </w:r>
      <w:r w:rsidR="004326D1" w:rsidRPr="00111F34">
        <w:t>S</w:t>
      </w:r>
      <w:r w:rsidR="00FC295B" w:rsidRPr="00111F34">
        <w:t>uchdola</w:t>
      </w:r>
      <w:r w:rsidR="004326D1" w:rsidRPr="00111F34">
        <w:t xml:space="preserve"> i Dejvic</w:t>
      </w:r>
      <w:r w:rsidR="005F447E" w:rsidRPr="00111F34">
        <w:t xml:space="preserve">, tak i v širším území při spolupůsobení dopravního systému města jako celku v kontextu dobudování nadřazené dopravní infrastruktury </w:t>
      </w:r>
      <w:r w:rsidR="001C6C8D" w:rsidRPr="00111F34">
        <w:t>n</w:t>
      </w:r>
      <w:r w:rsidR="005F447E" w:rsidRPr="00111F34">
        <w:t xml:space="preserve">a úrovni </w:t>
      </w:r>
      <w:r w:rsidR="001C6C8D" w:rsidRPr="00111F34">
        <w:t>okolních čtvrtí</w:t>
      </w:r>
      <w:r w:rsidR="005F447E" w:rsidRPr="00111F34">
        <w:t xml:space="preserve"> a převedení dopravních zátěží s tranzitním charakterem mimo místní subcentra s využitím nadřazené dopravní infrastruktury a systému sběrných komunikací</w:t>
      </w:r>
      <w:r w:rsidR="004326D1" w:rsidRPr="00111F34">
        <w:t>, VHD a kapacit parkování</w:t>
      </w:r>
      <w:r w:rsidR="005F447E" w:rsidRPr="00111F34">
        <w:t>.</w:t>
      </w:r>
      <w:r w:rsidR="00487E19" w:rsidRPr="00111F34">
        <w:t xml:space="preserve"> Z výše uvedených podkladů a charakteru změny, která znamená přerozdělení dopravních zátěží v území ve prospěch hustě obydleních ploch lze očekávat, zklidnění především </w:t>
      </w:r>
      <w:r w:rsidR="004326D1" w:rsidRPr="00111F34">
        <w:t>západní části ulice Kamýcká</w:t>
      </w:r>
      <w:r w:rsidR="00487E19" w:rsidRPr="00111F34">
        <w:t xml:space="preserve">. </w:t>
      </w:r>
      <w:r w:rsidR="00231DE3" w:rsidRPr="00111F34">
        <w:t>V této souvislosti a</w:t>
      </w:r>
      <w:r w:rsidR="005F447E" w:rsidRPr="00111F34">
        <w:t xml:space="preserve"> v kontextu územního rozvoje řešeného území a postupného dobudování dopravního systému</w:t>
      </w:r>
      <w:r w:rsidRPr="00111F34">
        <w:t xml:space="preserve"> čtvrti i</w:t>
      </w:r>
      <w:r w:rsidR="005F447E" w:rsidRPr="00111F34">
        <w:t xml:space="preserve"> celé aglomerace lze očekávat zlepšení obsluhy území, jeho dostupnosti i prostupnosti se zprostředkovaně pozitivním vlivem na kvalitu bydlení a zlepšení dopravní situace prostřednictvím odstranění dopravních kongescí</w:t>
      </w:r>
      <w:r w:rsidR="00F52F94" w:rsidRPr="00111F34">
        <w:t>,</w:t>
      </w:r>
      <w:r w:rsidR="005F447E" w:rsidRPr="00111F34">
        <w:t xml:space="preserve"> a s tím i negativních externalit v podobě hlukové a imisní zátěže. Dopravní stavby umisťované v </w:t>
      </w:r>
      <w:r w:rsidRPr="00111F34">
        <w:t>souvisejících</w:t>
      </w:r>
      <w:r w:rsidR="005F447E" w:rsidRPr="00111F34">
        <w:t xml:space="preserve"> plochách nesmí způsobit nové překročení hlukových limitů. Rovněž lze očekávat zlepšení bezpečnosti obyvatel.</w:t>
      </w:r>
    </w:p>
    <w:p w14:paraId="7D287A9A" w14:textId="7F4ED98E" w:rsidR="00262DF6" w:rsidRDefault="00262DF6" w:rsidP="00262DF6">
      <w:r>
        <w:t xml:space="preserve">Pro účely Vyhodnocení vlivů změny Z 327/00 na udržitelný rozvoj území byla jako podklad zpracována orientační akustická studie, včetně měření hluku a sčítání dopravy. Podrobněji viz příloha č. 2 tohoto dokumentu, níže uvádíme základní závěry provedeného akustického modelování. </w:t>
      </w:r>
    </w:p>
    <w:p w14:paraId="16A3E7DD" w14:textId="77777777" w:rsidR="00262DF6" w:rsidRDefault="00262DF6" w:rsidP="00262DF6">
      <w:r>
        <w:t>Výpočtové modely pro výhledový stav byly vztaženy pro rok 2033, kdy je předpoklad naplnění územního plánu hl. m. Prahy.</w:t>
      </w:r>
    </w:p>
    <w:p w14:paraId="2902B8B7" w14:textId="77777777" w:rsidR="00262DF6" w:rsidRDefault="00262DF6" w:rsidP="00262DF6">
      <w:pPr>
        <w:pStyle w:val="Podnadpis1"/>
        <w:jc w:val="both"/>
      </w:pPr>
      <w:r w:rsidRPr="00122615">
        <w:t>Hluk z dopravy na veřejných komunikacích</w:t>
      </w:r>
    </w:p>
    <w:p w14:paraId="68751D7E" w14:textId="77777777" w:rsidR="00262DF6" w:rsidRDefault="00262DF6" w:rsidP="00262DF6">
      <w:r>
        <w:t xml:space="preserve">Z provedených výpočtů vyplývá, že ve výhledovém stavu dojde i přes realizaci projektů, kterým je územním plánem dáván rámec, k mírnému zlepšení hlukové zátěže u všech stávajících hlukově chráněných objektů podél komunikací Roztocká a Kamýcká. Hlavním důvodem je realizace </w:t>
      </w:r>
      <w:r w:rsidRPr="00FF783D">
        <w:t>přivaděč</w:t>
      </w:r>
      <w:r>
        <w:t>e</w:t>
      </w:r>
      <w:r w:rsidRPr="00FF783D">
        <w:t xml:space="preserve"> Rybářka</w:t>
      </w:r>
      <w:r>
        <w:t>,</w:t>
      </w:r>
      <w:r w:rsidRPr="00FF783D">
        <w:t xml:space="preserve"> </w:t>
      </w:r>
      <w:r>
        <w:t>který propojí</w:t>
      </w:r>
      <w:r w:rsidRPr="00FF783D">
        <w:t xml:space="preserve"> Pražský okruh</w:t>
      </w:r>
      <w:r>
        <w:t xml:space="preserve"> 518 mimoúrovňovou křižovatkou</w:t>
      </w:r>
      <w:r w:rsidRPr="00FF783D">
        <w:t xml:space="preserve"> Rybářka s ulicí Kamýcká</w:t>
      </w:r>
      <w:r>
        <w:t>, a to</w:t>
      </w:r>
      <w:r w:rsidRPr="00FF783D">
        <w:t xml:space="preserve"> napojením na úrovni ulice K</w:t>
      </w:r>
      <w:r>
        <w:t> </w:t>
      </w:r>
      <w:r w:rsidRPr="00FF783D">
        <w:t>Vinici.</w:t>
      </w:r>
      <w:r>
        <w:t xml:space="preserve"> Tímto dojde k přesměrování dopravy, která projíždí centrem Suchdola.</w:t>
      </w:r>
    </w:p>
    <w:p w14:paraId="6FF962E2" w14:textId="77777777" w:rsidR="00262DF6" w:rsidRDefault="00262DF6" w:rsidP="00262DF6">
      <w:pPr>
        <w:rPr>
          <w:lang w:eastAsia="cs-CZ"/>
        </w:rPr>
      </w:pPr>
      <w:r>
        <w:rPr>
          <w:lang w:eastAsia="cs-CZ"/>
        </w:rPr>
        <w:t>V případě plánované obytné zástavby Nový Sedlec v předpokládané struktuře dle podkladové urbanistické studie pro změnu Z 3827/00 územního plánu Hlavního města Prahy lze očekávat překračování hygienických limitů v denní i noční době pro chráněné objekty nejblíže ke komunikace Kamýcká. Vzdálenější objekty tohoto projektu budou již částečně zastíněny předešlými objekty a hygienické limity budou plněny.</w:t>
      </w:r>
    </w:p>
    <w:p w14:paraId="4D535875" w14:textId="77777777" w:rsidR="00262DF6" w:rsidRDefault="00262DF6" w:rsidP="00262DF6">
      <w:pPr>
        <w:rPr>
          <w:lang w:eastAsia="cs-CZ"/>
        </w:rPr>
      </w:pPr>
      <w:r>
        <w:rPr>
          <w:lang w:eastAsia="cs-CZ"/>
        </w:rPr>
        <w:t xml:space="preserve">Pro lokalitu Výhledy, jejíž navržená zástavba bude oproti zástavbě v Novém Sedlci více vzdálená od komunikace Kamýcká, budou hygienické limity plněny v denní i noční době. </w:t>
      </w:r>
    </w:p>
    <w:p w14:paraId="11757120" w14:textId="77777777" w:rsidR="00262DF6" w:rsidRDefault="00262DF6" w:rsidP="00262DF6">
      <w:r>
        <w:t>Ve výpočtu nebylo uvažováno s obměnou vozového parku, a tedy postupným snižováním akustických vlastností motorových vozidel a vyšším zastoupením vozidel na elektrický pohon. Tento pozitivní vývoj v oblasti emisních hodnot by měl zcela kompenzovat přirozený nárůst intenzity vozidel, tedy podobně jak je tomu doposud. Výsledky tedy přestavují konzervativně nejhorší možný scénář. Teoreticky je ve výhledovém scénáři možné očekávat nižší hladiny hluku, než je uvedeno výše.</w:t>
      </w:r>
    </w:p>
    <w:p w14:paraId="61818C53" w14:textId="77777777" w:rsidR="00262DF6" w:rsidRDefault="00262DF6" w:rsidP="00262DF6">
      <w:pPr>
        <w:pStyle w:val="Podnadpis1"/>
        <w:jc w:val="both"/>
      </w:pPr>
      <w:r w:rsidRPr="00122615">
        <w:t>Hluk z</w:t>
      </w:r>
      <w:r>
        <w:t> tramvajové dopravy</w:t>
      </w:r>
    </w:p>
    <w:p w14:paraId="41F132BB" w14:textId="77777777" w:rsidR="00262DF6" w:rsidRDefault="00262DF6" w:rsidP="00262DF6">
      <w:r>
        <w:t>Realizací nové tramvajové linky na úseku Nádraží Podbaba – Suchdol v navrhovaném počtu spojů lze očekávat překračování hygienických limitů u nejbližších hlukově chráněných objektů podél ulice Kamýcká, a to v denní i noční době. Řešením této situace je instalace protihlukových stěn, použití bezžlábkových kolejnic, snížení rychlosti tramvají, případně použití travních koberců mezi kolejemi, které částečně pohlcují hluk a prašnost.</w:t>
      </w:r>
    </w:p>
    <w:p w14:paraId="5D33FCF5" w14:textId="77777777" w:rsidR="00262DF6" w:rsidRDefault="00262DF6" w:rsidP="00262DF6">
      <w:pPr>
        <w:rPr>
          <w:lang w:eastAsia="cs-CZ"/>
        </w:rPr>
      </w:pPr>
      <w:r>
        <w:rPr>
          <w:lang w:eastAsia="cs-CZ"/>
        </w:rPr>
        <w:t xml:space="preserve">V případě plánované obytné zástavby Nový Sedlec a Výhledy lze očekávat překračování hygienických limitů v denní i noční době pro chráněné objekty nejblíže k tramvajové trati. Navržená řešení jsou obdobná jako pro stávající objekty podél komunikace Kamýcká. Dalším možným řešením pro potenciálně hlukově nevyhovující objekty </w:t>
      </w:r>
      <w:r w:rsidRPr="00CA035A">
        <w:rPr>
          <w:lang w:eastAsia="cs-CZ"/>
        </w:rPr>
        <w:t>je zajištění náhradního větrání jiným způsobem než přirozeným větráním okny</w:t>
      </w:r>
      <w:r>
        <w:rPr>
          <w:lang w:eastAsia="cs-CZ"/>
        </w:rPr>
        <w:t>, např.</w:t>
      </w:r>
      <w:r w:rsidRPr="00CA035A">
        <w:rPr>
          <w:lang w:eastAsia="cs-CZ"/>
        </w:rPr>
        <w:t xml:space="preserve"> rekuperac</w:t>
      </w:r>
      <w:r>
        <w:rPr>
          <w:lang w:eastAsia="cs-CZ"/>
        </w:rPr>
        <w:t>í</w:t>
      </w:r>
      <w:r w:rsidRPr="00CA035A">
        <w:rPr>
          <w:lang w:eastAsia="cs-CZ"/>
        </w:rPr>
        <w:t>. Tyto exponované fasády tak již nebudou chráněným venkovním prostorem stavby, protože se stanou nevýznamnými z hlediska pronikání hluku do obytných místností z venkovního prostředí.</w:t>
      </w:r>
      <w:r>
        <w:rPr>
          <w:lang w:eastAsia="cs-CZ"/>
        </w:rPr>
        <w:t xml:space="preserve"> Stále však bude nutné plnit hygienické limity pro vnitřní chráněné prostory, a to vhodnou skladbou obvodového pláště a oken.</w:t>
      </w:r>
    </w:p>
    <w:p w14:paraId="2E7C38B8" w14:textId="77777777" w:rsidR="00262DF6" w:rsidRDefault="00262DF6" w:rsidP="00262DF6">
      <w:pPr>
        <w:rPr>
          <w:lang w:eastAsia="cs-CZ"/>
        </w:rPr>
      </w:pPr>
      <w:r>
        <w:t>Skutečný rozsah případných protihlukových opatření bude upřesněn až na základě podrobnějších údajů k tramvajové trati (výškové a směrové vedení, konstrukce svršku, návrhové rychlosti, typ tramvajových souprav, počty spojů apod.).</w:t>
      </w:r>
    </w:p>
    <w:p w14:paraId="6F2445E8" w14:textId="77777777" w:rsidR="00262DF6" w:rsidRDefault="00262DF6" w:rsidP="00262DF6">
      <w:pPr>
        <w:pStyle w:val="Podnadpis1"/>
      </w:pPr>
      <w:r>
        <w:lastRenderedPageBreak/>
        <w:t>Shrnutí</w:t>
      </w:r>
    </w:p>
    <w:p w14:paraId="6E970149" w14:textId="7D3707EE" w:rsidR="005F447E" w:rsidRPr="00111F34" w:rsidRDefault="005F447E" w:rsidP="005F447E">
      <w:r w:rsidRPr="00111F34">
        <w:rPr>
          <w:rFonts w:cs="Arial"/>
          <w:szCs w:val="20"/>
        </w:rPr>
        <w:t xml:space="preserve">Z dostupných podkladů lze usuzovat, že využití území pro uvažované funkce je možné, při splnění podmínky, že </w:t>
      </w:r>
      <w:r w:rsidR="00231DE3" w:rsidRPr="00111F34">
        <w:rPr>
          <w:rFonts w:cs="Arial"/>
          <w:szCs w:val="20"/>
        </w:rPr>
        <w:t>při zastavování ploch</w:t>
      </w:r>
      <w:r w:rsidRPr="00111F34">
        <w:rPr>
          <w:rFonts w:cs="Arial"/>
          <w:szCs w:val="20"/>
        </w:rPr>
        <w:t xml:space="preserve"> nedojde k překročení hygienických limitů z hlediska hluku u nejbližších hlukově chráněných prostor</w:t>
      </w:r>
      <w:r w:rsidR="00FC0C81" w:rsidRPr="00111F34">
        <w:rPr>
          <w:rFonts w:cs="Arial"/>
          <w:szCs w:val="20"/>
        </w:rPr>
        <w:t>, včetně případných hlukově chráněných prosto</w:t>
      </w:r>
      <w:r w:rsidR="008D1B30" w:rsidRPr="00111F34">
        <w:rPr>
          <w:rFonts w:cs="Arial"/>
          <w:szCs w:val="20"/>
        </w:rPr>
        <w:t>r</w:t>
      </w:r>
      <w:r w:rsidR="00FC0C81" w:rsidRPr="00111F34">
        <w:rPr>
          <w:rFonts w:cs="Arial"/>
          <w:szCs w:val="20"/>
        </w:rPr>
        <w:t xml:space="preserve"> umisťovaných v řešených ploch</w:t>
      </w:r>
      <w:r w:rsidR="008D1B30" w:rsidRPr="00111F34">
        <w:rPr>
          <w:rFonts w:cs="Arial"/>
          <w:szCs w:val="20"/>
        </w:rPr>
        <w:t>ách</w:t>
      </w:r>
      <w:r w:rsidRPr="00111F34">
        <w:rPr>
          <w:rFonts w:cs="Arial"/>
          <w:szCs w:val="20"/>
        </w:rPr>
        <w:t xml:space="preserve">. </w:t>
      </w:r>
    </w:p>
    <w:p w14:paraId="3219372B" w14:textId="51B2BF38" w:rsidR="005F447E" w:rsidRPr="00111F34" w:rsidRDefault="005F447E" w:rsidP="005F447E">
      <w:r w:rsidRPr="00111F34">
        <w:t>Pro zamezení negativním vlivům byla navržena opatření v rámci SEA, která budou doplněna opatřeními při následné projektové přípravě staveb umisťovaných v řešených plochách (bariérová zástavba, orientace objektů vůči převažujícím zdrojům hluku, opatření na budovách).</w:t>
      </w:r>
    </w:p>
    <w:p w14:paraId="0C664ACF" w14:textId="344E09FD" w:rsidR="005F447E" w:rsidRPr="00111F34" w:rsidRDefault="005F447E" w:rsidP="005F447E">
      <w:r w:rsidRPr="00111F34">
        <w:t>V této souvislosti je třeba upozornit na skutečnost, že do území s již překročenými hlukovými limity nelze umisťovat takové záměry, které úroveň akustického tlaku ještě zvýší.</w:t>
      </w:r>
    </w:p>
    <w:p w14:paraId="127F5E76" w14:textId="155026F3" w:rsidR="00511D90" w:rsidRPr="00111F34" w:rsidRDefault="00511D90" w:rsidP="00511D90">
      <w:pPr>
        <w:rPr>
          <w:i/>
        </w:rPr>
      </w:pPr>
      <w:bookmarkStart w:id="280" w:name="_Toc531606274"/>
      <w:bookmarkStart w:id="281" w:name="_Toc29298361"/>
      <w:bookmarkStart w:id="282" w:name="_Toc418351651"/>
      <w:r w:rsidRPr="00111F34">
        <w:rPr>
          <w:i/>
        </w:rPr>
        <w:t xml:space="preserve">Je nutné podotknout, že situace v území např. v otázce stávající hlukové zátěže je proměnlivá, a tudíž by každý projekt v dalších fázích přípravy měl být posouzen vůči aktuálnímu stavu hlukové zátěže a jeho příspěvku k ní na základě konkrétních údajů o technickém řešení záměru a aktuálním pozadí sledovaného jevu včetně zahrnutí kumulativních a synergických vlivů. </w:t>
      </w:r>
    </w:p>
    <w:p w14:paraId="7ED7280B" w14:textId="47C53BC8" w:rsidR="00794578" w:rsidRPr="00111F34" w:rsidRDefault="00794578" w:rsidP="00A67277">
      <w:pPr>
        <w:pStyle w:val="Nadpis3"/>
      </w:pPr>
      <w:bookmarkStart w:id="283" w:name="_Toc138848141"/>
      <w:r w:rsidRPr="00111F34">
        <w:t>Obyvatelstvo a veřejné (lidské) zdraví</w:t>
      </w:r>
      <w:bookmarkEnd w:id="280"/>
      <w:bookmarkEnd w:id="281"/>
      <w:bookmarkEnd w:id="283"/>
    </w:p>
    <w:p w14:paraId="6859AF71" w14:textId="77777777" w:rsidR="004B7A27" w:rsidRPr="00111F34" w:rsidRDefault="004B7A27" w:rsidP="004B7A27">
      <w:pPr>
        <w:pStyle w:val="Podnadpis1"/>
      </w:pPr>
      <w:bookmarkStart w:id="284" w:name="_Toc386113390"/>
      <w:bookmarkStart w:id="285" w:name="_Toc418351653"/>
      <w:r w:rsidRPr="00111F34">
        <w:rPr>
          <w:rStyle w:val="Zdraznnintenzivn"/>
        </w:rPr>
        <w:t>Metodi</w:t>
      </w:r>
      <w:bookmarkEnd w:id="284"/>
      <w:bookmarkEnd w:id="285"/>
      <w:r w:rsidRPr="00111F34">
        <w:rPr>
          <w:rStyle w:val="Zdraznnintenzivn"/>
        </w:rPr>
        <w:t>cký přístup</w:t>
      </w:r>
    </w:p>
    <w:p w14:paraId="53AC6F98" w14:textId="77777777" w:rsidR="004B7A27" w:rsidRPr="00111F34" w:rsidRDefault="004B7A27" w:rsidP="004B7A27">
      <w:pPr>
        <w:rPr>
          <w:i/>
        </w:rPr>
      </w:pPr>
      <w:r w:rsidRPr="00111F34">
        <w:rPr>
          <w:szCs w:val="20"/>
        </w:rPr>
        <w:t>Faktory ovlivňující veřejné zdraví jsou pro účely vyhodnocení vlivů koncepcí na veřejné zdraví nazývány determinanty). Světová zdravotnická organizace za významné považuje následující determinanty</w:t>
      </w:r>
      <w:r w:rsidRPr="00111F34">
        <w:rPr>
          <w:i/>
        </w:rPr>
        <w:t>:</w:t>
      </w:r>
    </w:p>
    <w:p w14:paraId="1942097D" w14:textId="77777777" w:rsidR="004B7A27" w:rsidRPr="00111F34" w:rsidRDefault="004B7A27" w:rsidP="004B7A27">
      <w:pPr>
        <w:pStyle w:val="Odrky1"/>
      </w:pPr>
      <w:r w:rsidRPr="00111F34">
        <w:t>Sociální a ekonomické prostředí,</w:t>
      </w:r>
    </w:p>
    <w:p w14:paraId="1572D023" w14:textId="77777777" w:rsidR="004B7A27" w:rsidRPr="00111F34" w:rsidRDefault="004B7A27" w:rsidP="004B7A27">
      <w:pPr>
        <w:pStyle w:val="Odrky1"/>
      </w:pPr>
      <w:r w:rsidRPr="00111F34">
        <w:t>Životní prostředí (physical environment),</w:t>
      </w:r>
    </w:p>
    <w:p w14:paraId="70A78C61" w14:textId="77777777" w:rsidR="004B7A27" w:rsidRPr="00111F34" w:rsidRDefault="004B7A27" w:rsidP="004B7A27">
      <w:pPr>
        <w:pStyle w:val="Odrky1"/>
      </w:pPr>
      <w:r w:rsidRPr="00111F34">
        <w:t xml:space="preserve">Individuální charakteristiku a chování jednotlivců (životní styl) </w:t>
      </w:r>
      <w:r w:rsidRPr="00111F34">
        <w:rPr>
          <w:szCs w:val="20"/>
        </w:rPr>
        <w:t xml:space="preserve">(zdroj: </w:t>
      </w:r>
      <w:r w:rsidRPr="00111F34">
        <w:t>www.who.int/hia/evidence/</w:t>
      </w:r>
      <w:proofErr w:type="spellStart"/>
      <w:r w:rsidRPr="00111F34">
        <w:t>doh</w:t>
      </w:r>
      <w:proofErr w:type="spellEnd"/>
      <w:r w:rsidRPr="00111F34">
        <w:t>/).</w:t>
      </w:r>
    </w:p>
    <w:p w14:paraId="66C151E2" w14:textId="77777777" w:rsidR="004B7A27" w:rsidRPr="00111F34" w:rsidRDefault="004B7A27" w:rsidP="004B7A27">
      <w:r w:rsidRPr="00111F34">
        <w:t>Determinanty lidského zdraví působí ve vzájemné interakci. Rozdělení je mnohdy dáno spíš snahou o jejich pochopení či možnosti jejich sledování, ale většinou se vliv na lidské zdraví posuzuje v určitém komplexním a holistickém modelu</w:t>
      </w:r>
      <w:r w:rsidRPr="00111F34">
        <w:rPr>
          <w:rStyle w:val="Znakapoznpodarou"/>
        </w:rPr>
        <w:t xml:space="preserve"> </w:t>
      </w:r>
      <w:r w:rsidRPr="00111F34">
        <w:rPr>
          <w:szCs w:val="20"/>
        </w:rPr>
        <w:t>(</w:t>
      </w:r>
      <w:r w:rsidRPr="00111F34">
        <w:rPr>
          <w:i/>
          <w:szCs w:val="20"/>
        </w:rPr>
        <w:t xml:space="preserve">zdroj: </w:t>
      </w:r>
      <w:r w:rsidRPr="00111F34">
        <w:rPr>
          <w:i/>
        </w:rPr>
        <w:t>http://www.who.int/hia/en/).</w:t>
      </w:r>
      <w:r w:rsidRPr="00111F34">
        <w:t xml:space="preserve"> Zatímco zdravotní rizika spojená s expozicí chemickým či fyzikálním škodlivinám a zdravotní rizika spojená s konzumací nebezpečných potravin či nedostatečně zabezpečené a nekvalitní pitné vody jsou již většinou eliminována nebo alespoň značně omezena řadou národních či evropských standardů, jsou tzv. sociální determinanty, zejména zaměstnanost, příjem, vzdělání, ponechány na komunitních, lokálních a národních rozvojových programech a projektech. Snížení nezaměstnanosti, zejména osob s nižším vzděláním v regionech se sociálně vyloučenými skupinami obyvatel, může každý, i drobný pilotní projekt, přispět ke zlepšení sociální a prostorové koheze, a tak ke zlepšení zdravotního stavu obyvatel. </w:t>
      </w:r>
    </w:p>
    <w:p w14:paraId="216F33A1" w14:textId="44E1A09F" w:rsidR="004B7A27" w:rsidRPr="00111F34" w:rsidRDefault="004B7A27" w:rsidP="004B7A27">
      <w:pPr>
        <w:rPr>
          <w:szCs w:val="20"/>
        </w:rPr>
      </w:pPr>
      <w:r w:rsidRPr="00111F34">
        <w:rPr>
          <w:szCs w:val="20"/>
        </w:rPr>
        <w:t xml:space="preserve">Hodnocení HIA vychází z principů publikovaných Světovou zdravotnickou organizací (WHO) HIA as a part </w:t>
      </w:r>
      <w:proofErr w:type="spellStart"/>
      <w:r w:rsidRPr="00111F34">
        <w:rPr>
          <w:szCs w:val="20"/>
        </w:rPr>
        <w:t>of</w:t>
      </w:r>
      <w:proofErr w:type="spellEnd"/>
      <w:r w:rsidRPr="00111F34">
        <w:rPr>
          <w:szCs w:val="20"/>
        </w:rPr>
        <w:t xml:space="preserve"> SEA. Základním postulátem je definice zdraví a práce s determinanty zdraví a jejich ovlivněním posuzovanou politikou či koncepcí nebo strategií. Definice Zdraví WHO je používána již od roku 1948, a i když její praktické naplnění je někdy spojeno s obtížemi, je stále aktuální. Definuje zdraví jako stav úplné tělesné, duševní a sociální pohody, a </w:t>
      </w:r>
      <w:r w:rsidR="003577E4" w:rsidRPr="00111F34">
        <w:rPr>
          <w:szCs w:val="20"/>
        </w:rPr>
        <w:t>nejen</w:t>
      </w:r>
      <w:r w:rsidRPr="00111F34">
        <w:rPr>
          <w:szCs w:val="20"/>
        </w:rPr>
        <w:t xml:space="preserve"> pouhou nepřítomnost nemoci či slabosti </w:t>
      </w:r>
    </w:p>
    <w:p w14:paraId="421C69E0" w14:textId="77777777" w:rsidR="004B7A27" w:rsidRPr="00111F34" w:rsidRDefault="004B7A27" w:rsidP="004B7A27">
      <w:pPr>
        <w:rPr>
          <w:szCs w:val="20"/>
        </w:rPr>
      </w:pPr>
      <w:r w:rsidRPr="00111F34">
        <w:rPr>
          <w:szCs w:val="20"/>
        </w:rPr>
        <w:t xml:space="preserve">Při posuzování předkládané územně plánovací dokumentace byly vytipovány determinanty zdraví, které mohou být posuzovanou koncepcí dotčeny, resp. změněny. Posuzované determinanty respektují Národní strategii Zdraví 2030. </w:t>
      </w:r>
    </w:p>
    <w:p w14:paraId="57168DAA" w14:textId="77777777" w:rsidR="004B7A27" w:rsidRPr="00111F34" w:rsidRDefault="004B7A27" w:rsidP="004B7A27">
      <w:pPr>
        <w:rPr>
          <w:szCs w:val="20"/>
        </w:rPr>
      </w:pPr>
      <w:r w:rsidRPr="00111F34">
        <w:rPr>
          <w:szCs w:val="20"/>
        </w:rPr>
        <w:t>Při hodnocení vlivu na zdraví se vycházelo zejména z následujícího rámce:</w:t>
      </w:r>
    </w:p>
    <w:p w14:paraId="1745A40D" w14:textId="77777777" w:rsidR="004B7A27" w:rsidRPr="00111F34" w:rsidRDefault="004B7A27" w:rsidP="004B7A27">
      <w:pPr>
        <w:pStyle w:val="Odrky1"/>
      </w:pPr>
      <w:r w:rsidRPr="00111F34">
        <w:t>Dosavadní zdravotní stav a vývoj sociálních a ekonomických determinant v ČR,</w:t>
      </w:r>
    </w:p>
    <w:p w14:paraId="65B352C6" w14:textId="77777777" w:rsidR="004B7A27" w:rsidRPr="00111F34" w:rsidRDefault="004B7A27" w:rsidP="004B7A27">
      <w:pPr>
        <w:pStyle w:val="Odrky1"/>
      </w:pPr>
      <w:r w:rsidRPr="00111F34">
        <w:t>možný vztah/vliv posuzovaného územního plánu na vybrané determinanty zdraví,</w:t>
      </w:r>
    </w:p>
    <w:p w14:paraId="2B7B5DC8" w14:textId="48F2E015" w:rsidR="004B7A27" w:rsidRPr="00111F34" w:rsidRDefault="004B7A27" w:rsidP="004B7A27">
      <w:pPr>
        <w:pStyle w:val="Odrky1"/>
      </w:pPr>
      <w:r w:rsidRPr="00111F34">
        <w:t xml:space="preserve">vytipování významných opatření souvisejících s územním plánem a doporučení pro zmírnění </w:t>
      </w:r>
      <w:r w:rsidR="003A55E9" w:rsidRPr="00111F34">
        <w:t xml:space="preserve">zjištěných </w:t>
      </w:r>
      <w:r w:rsidRPr="00111F34">
        <w:t>negativních vlivů.</w:t>
      </w:r>
    </w:p>
    <w:p w14:paraId="36C9920E" w14:textId="77777777" w:rsidR="004B7A27" w:rsidRPr="00111F34" w:rsidRDefault="004B7A27" w:rsidP="004B7A27">
      <w:pPr>
        <w:rPr>
          <w:szCs w:val="20"/>
        </w:rPr>
      </w:pPr>
      <w:r w:rsidRPr="00111F34">
        <w:rPr>
          <w:szCs w:val="20"/>
        </w:rPr>
        <w:t xml:space="preserve">Návrh posuzované změny územního plánu byl vyhodnocen vůči přijatým cílům ochrany veřejného zdraví strategických dokumentů v oblasti veřejného zdraví na vnitrostátní úrovni a vůči všem determinantám veřejného zdraví relevantním v obecné rovině vůči koncepci, jakou je územně plánovací dokumentace. </w:t>
      </w:r>
    </w:p>
    <w:p w14:paraId="6846AE7E" w14:textId="109A8993" w:rsidR="005D4EA4" w:rsidRPr="00111F34" w:rsidRDefault="005D4EA4" w:rsidP="00BD7256">
      <w:pPr>
        <w:pStyle w:val="Nadpis4"/>
        <w:tabs>
          <w:tab w:val="left" w:pos="1560"/>
        </w:tabs>
        <w:ind w:hanging="2013"/>
      </w:pPr>
      <w:r w:rsidRPr="00111F34">
        <w:t>Charakteristika populace a jejího zdravotního stavu</w:t>
      </w:r>
    </w:p>
    <w:p w14:paraId="6ECA3955" w14:textId="2E33D2E8" w:rsidR="00E94EE8" w:rsidRPr="00111F34" w:rsidRDefault="00E94EE8" w:rsidP="00E94EE8">
      <w:r w:rsidRPr="00111F34">
        <w:t>Úd</w:t>
      </w:r>
      <w:r w:rsidR="0098614C" w:rsidRPr="00111F34">
        <w:t>aje o zdravotním stavu obyvatel v území bezprostředně souvisejícím s</w:t>
      </w:r>
      <w:r w:rsidR="00945491" w:rsidRPr="00111F34">
        <w:t> řešenou změnou</w:t>
      </w:r>
      <w:r w:rsidR="0098614C" w:rsidRPr="00111F34">
        <w:t xml:space="preserve"> </w:t>
      </w:r>
      <w:r w:rsidRPr="00111F34">
        <w:t xml:space="preserve">nebyly pro účely zpracování dokumentace zjišťovány. </w:t>
      </w:r>
    </w:p>
    <w:p w14:paraId="4F1720FE" w14:textId="41ABAB2F" w:rsidR="00945491" w:rsidRPr="00111F34" w:rsidRDefault="00541A1C" w:rsidP="00E94EE8">
      <w:r w:rsidRPr="00111F34">
        <w:lastRenderedPageBreak/>
        <w:t xml:space="preserve">Změna umožní v předmětném území realizovat </w:t>
      </w:r>
      <w:r w:rsidR="004B7A27" w:rsidRPr="00111F34">
        <w:t>transformaci brownfields</w:t>
      </w:r>
      <w:r w:rsidRPr="00111F34">
        <w:t xml:space="preserve"> v souladu s koncepcí územního plánu, jedná se o intenzivně se rozvíjející území při dopravně významných stavbách, které se významně mění směrem k širšímu využití pro smíšené městské funkce s cílem vytvoření moderní čtvrti s mixem funkcí propojující ekonomickou aktivitu v</w:t>
      </w:r>
      <w:r w:rsidR="003A55E9" w:rsidRPr="00111F34">
        <w:t> </w:t>
      </w:r>
      <w:r w:rsidRPr="00111F34">
        <w:t>terciéru</w:t>
      </w:r>
      <w:r w:rsidR="003A55E9" w:rsidRPr="00111F34">
        <w:t xml:space="preserve"> a veřejnou vybavenost</w:t>
      </w:r>
      <w:r w:rsidRPr="00111F34">
        <w:t xml:space="preserve"> s kvalitním bydlením, dobrou dopravní dostupností i možnostmi komunitního života a trávení volného času obyvatel. S tím potom souvisí významná přeměna sociální dynamiky a složení obyvatel směrem ke zvýšení podílu mladých rodin s dětmi a vysokopříjmových skupin obyvatel se zájmem o podobu veřejného prostoru a jeho užitné vlastnosti.</w:t>
      </w:r>
    </w:p>
    <w:p w14:paraId="65DBB6B6" w14:textId="70E4C3C1" w:rsidR="00E94EE8" w:rsidRPr="00111F34" w:rsidRDefault="00E94EE8" w:rsidP="00E94EE8">
      <w:r w:rsidRPr="00111F34">
        <w:t>K demografickým trendům</w:t>
      </w:r>
      <w:r w:rsidR="00541A1C" w:rsidRPr="00111F34">
        <w:t xml:space="preserve"> v populaci obecně</w:t>
      </w:r>
      <w:r w:rsidRPr="00111F34">
        <w:t xml:space="preserve"> patří zejména stárnutí populace, rostoucí věk matek při prvním dítěti, ale také faktory pozitivní jako prodlužující se střední doba dožití a rostoucí doba dožití vážně nemocných pacientů. Zejména v posledních dvou zmíněných ukazatelích vykazuje zdravotnictví </w:t>
      </w:r>
      <w:r w:rsidR="00CC0297" w:rsidRPr="00111F34">
        <w:t>v Praze</w:t>
      </w:r>
      <w:r w:rsidRPr="00111F34">
        <w:t xml:space="preserve"> pozitivní výsledky, v mnoha ohledech nadprůměrné ve srovnání s celou ČR.</w:t>
      </w:r>
    </w:p>
    <w:p w14:paraId="7BAB63F5" w14:textId="012EBDBA" w:rsidR="00001C7E" w:rsidRPr="00111F34" w:rsidRDefault="00001C7E" w:rsidP="00001C7E">
      <w:r w:rsidRPr="00111F34">
        <w:t xml:space="preserve">Jako nejvýznamnější charakteristiku zdraví obyvatel </w:t>
      </w:r>
      <w:r w:rsidR="00CC0297" w:rsidRPr="00111F34">
        <w:t>Prahy</w:t>
      </w:r>
      <w:r w:rsidRPr="00111F34">
        <w:t xml:space="preserve"> lze uvést:</w:t>
      </w:r>
    </w:p>
    <w:p w14:paraId="58F67B74" w14:textId="436D9280" w:rsidR="00001C7E" w:rsidRPr="00111F34" w:rsidRDefault="00001C7E" w:rsidP="00001C7E">
      <w:pPr>
        <w:pStyle w:val="Odrky1"/>
      </w:pPr>
      <w:r w:rsidRPr="00111F34">
        <w:t>setrvale se prodlužující střední dobu života obyvatel</w:t>
      </w:r>
      <w:r w:rsidR="00E94EE8" w:rsidRPr="00111F34">
        <w:t>,</w:t>
      </w:r>
      <w:r w:rsidRPr="00111F34">
        <w:t xml:space="preserve"> </w:t>
      </w:r>
    </w:p>
    <w:p w14:paraId="02EB04C2" w14:textId="5D9A1017" w:rsidR="00001C7E" w:rsidRPr="00111F34" w:rsidRDefault="00001C7E" w:rsidP="00001C7E">
      <w:pPr>
        <w:pStyle w:val="Odrky1"/>
      </w:pPr>
      <w:r w:rsidRPr="00111F34">
        <w:t>relativně nízký podíl statisticky předčasných úmrtí ve srovnání s jinými regiony ČR</w:t>
      </w:r>
      <w:r w:rsidR="00E94EE8" w:rsidRPr="00111F34">
        <w:t>,</w:t>
      </w:r>
    </w:p>
    <w:p w14:paraId="76A5A556" w14:textId="08FFC577" w:rsidR="00001C7E" w:rsidRPr="00111F34" w:rsidRDefault="00001C7E" w:rsidP="00001C7E">
      <w:pPr>
        <w:pStyle w:val="Odrky1"/>
      </w:pPr>
      <w:r w:rsidRPr="00111F34">
        <w:t>velmi</w:t>
      </w:r>
      <w:r w:rsidR="00E94EE8" w:rsidRPr="00111F34">
        <w:t xml:space="preserve"> nízkou novorozeneckou úmrtnost,</w:t>
      </w:r>
    </w:p>
    <w:p w14:paraId="571CA5E9" w14:textId="2AE3663F" w:rsidR="00001C7E" w:rsidRPr="00111F34" w:rsidRDefault="00001C7E" w:rsidP="00001C7E">
      <w:pPr>
        <w:pStyle w:val="Odrky1"/>
      </w:pPr>
      <w:r w:rsidRPr="00111F34">
        <w:t>významně prodlužovanou dob</w:t>
      </w:r>
      <w:r w:rsidR="00E94EE8" w:rsidRPr="00111F34">
        <w:t>u dožití onkologických pacientů,</w:t>
      </w:r>
    </w:p>
    <w:p w14:paraId="38FFC64C" w14:textId="6F631606" w:rsidR="00001C7E" w:rsidRPr="00111F34" w:rsidRDefault="00001C7E" w:rsidP="00001C7E">
      <w:pPr>
        <w:pStyle w:val="Odrky1"/>
      </w:pPr>
      <w:r w:rsidRPr="00111F34">
        <w:t xml:space="preserve">významně prodlužovanou dobu dožití pacientů s řadou závažných chronických </w:t>
      </w:r>
      <w:r w:rsidR="003577E4" w:rsidRPr="00111F34">
        <w:t>onemocnění – diabetes</w:t>
      </w:r>
      <w:r w:rsidRPr="00111F34">
        <w:t>, roztroušená skleróza aj.</w:t>
      </w:r>
      <w:r w:rsidR="00E94EE8" w:rsidRPr="00111F34">
        <w:t>,</w:t>
      </w:r>
      <w:r w:rsidRPr="00111F34">
        <w:t xml:space="preserve"> </w:t>
      </w:r>
    </w:p>
    <w:p w14:paraId="5ADE24B7" w14:textId="0211DAE9" w:rsidR="00001C7E" w:rsidRPr="00111F34" w:rsidRDefault="00001C7E" w:rsidP="00001C7E">
      <w:pPr>
        <w:pStyle w:val="Odrky1"/>
      </w:pPr>
      <w:r w:rsidRPr="00111F34">
        <w:t xml:space="preserve">relativně nízká četnost závažných srdečních selhání a akutních infarktů </w:t>
      </w:r>
      <w:r w:rsidR="003577E4" w:rsidRPr="00111F34">
        <w:t>myokardu – jako</w:t>
      </w:r>
      <w:r w:rsidRPr="00111F34">
        <w:t xml:space="preserve"> výsledek včasné diagnostiky a efektivní kompe</w:t>
      </w:r>
      <w:r w:rsidR="00E94EE8" w:rsidRPr="00111F34">
        <w:t>nzace pacientů s nemocemi srdce,</w:t>
      </w:r>
    </w:p>
    <w:p w14:paraId="2A7E320C" w14:textId="36370E27" w:rsidR="00001C7E" w:rsidRPr="00111F34" w:rsidRDefault="00001C7E" w:rsidP="00001C7E">
      <w:pPr>
        <w:pStyle w:val="Odrky1"/>
      </w:pPr>
      <w:r w:rsidRPr="00111F34">
        <w:t>velmi kvalitní a zlepšující se výstupy akutní lůžkové péče, zejména u urgentních chirurgických hospitalizací, tj. zejména nízká hospitalizační mortalita a frekvence následných rehospitalizací</w:t>
      </w:r>
      <w:r w:rsidR="00E94EE8" w:rsidRPr="00111F34">
        <w:t>,</w:t>
      </w:r>
      <w:r w:rsidRPr="00111F34">
        <w:t xml:space="preserve"> </w:t>
      </w:r>
    </w:p>
    <w:p w14:paraId="23D1D2D0" w14:textId="1D3C6568" w:rsidR="005D4EA4" w:rsidRPr="00111F34" w:rsidRDefault="00001C7E" w:rsidP="005D4EA4">
      <w:pPr>
        <w:pStyle w:val="Odrky1"/>
      </w:pPr>
      <w:r w:rsidRPr="00111F34">
        <w:t>efektivní zkracování doby akutních hospitalizací</w:t>
      </w:r>
      <w:r w:rsidR="00E94EE8" w:rsidRPr="00111F34">
        <w:t>.</w:t>
      </w:r>
    </w:p>
    <w:p w14:paraId="310B0F3D" w14:textId="40E7F7E1" w:rsidR="004B7A27" w:rsidRPr="00111F34" w:rsidRDefault="004B7A27" w:rsidP="00BD7256">
      <w:pPr>
        <w:pStyle w:val="Odrky1"/>
        <w:numPr>
          <w:ilvl w:val="0"/>
          <w:numId w:val="0"/>
        </w:numPr>
        <w:spacing w:before="120"/>
      </w:pPr>
      <w:r w:rsidRPr="00111F34">
        <w:t>POZN.: V souvislosti s ochranou veřejného zdraví upozorňujeme rovněž na rozsudek NSS ze dne 31. ledna 2012, č. j. 1 As 135/</w:t>
      </w:r>
      <w:r w:rsidR="00C51945" w:rsidRPr="00111F34">
        <w:t>2011–246</w:t>
      </w:r>
      <w:r w:rsidRPr="00111F34">
        <w:t>, z něhož vyplývá, že „do území nadlimitně zatíženého hlukem nelze bez dalšího automaticky umísťovat stavby, které sice každá jednotlivě nepřitíží svým provozem dotčenému území nijak výrazně, ale v součtu jednotlivých případů znamenají postupné a významné přitěžování již nyní existující nadlimitní zátěži v území.“ Městský soud v Praze ve svém rozsudku ze dne 23. července 2014, č. j. 11 A 109/2013 - 62 šel dokonce ještě dále, když uvedl (zvýrazněno Nejvyšším správním soudem): „Stavební úřad je povinen vyhodnotit vlivy stavby ve svém souhrnu zejména v situaci, kdy ze stanovisek dotčených orgánů plyne, že zjištěné hodnoty, pokud jde o účinky samotné stavby jako takové, sice jednotlivě nevykazují nadlimitní či nepřípustné hodnoty, ale stavbu je navrhováno umístit do území, které je již za stávajícího stavu nadlimitně zatíženo, nebo se zjištěné hodnoty přípustné maximální limitní zátěži blíží.“ Podobně se vyjádřil i Nejvyšší správní soud, a to již v rozsudku ze dne 2. února 2006, č. j. 2 As 44/</w:t>
      </w:r>
      <w:r w:rsidR="00C51945" w:rsidRPr="00111F34">
        <w:t>2005–116</w:t>
      </w:r>
      <w:r w:rsidRPr="00111F34">
        <w:t>: „Z hlediska posuzování pohody bydlení může být relevantní, pokud limitní hodnoty jsou sice dodrženy, ovšem naměřené hodnoty hluku se pohybují u horních hranic přípustného rozmezí.“ Citovaná judikatura tedy ukládá stavebnímu úřadu důkladně zvážit, zda vůbec bude možno umístit do území silně zatíženého hlukem novou stavbu, pokud je navržená stavba sama zdrojem dalšího hluku.</w:t>
      </w:r>
    </w:p>
    <w:p w14:paraId="1AC6F991" w14:textId="77777777" w:rsidR="005417B7" w:rsidRPr="00111F34" w:rsidRDefault="005417B7" w:rsidP="00BD7256">
      <w:pPr>
        <w:pStyle w:val="Nadpis4"/>
        <w:numPr>
          <w:ilvl w:val="3"/>
          <w:numId w:val="30"/>
        </w:numPr>
        <w:tabs>
          <w:tab w:val="clear" w:pos="2013"/>
          <w:tab w:val="num" w:pos="1560"/>
        </w:tabs>
        <w:ind w:hanging="2013"/>
      </w:pPr>
      <w:r w:rsidRPr="00111F34">
        <w:t>Možný vztah/vliv posuzované ÚPD na vybrané determinanty zdraví</w:t>
      </w:r>
    </w:p>
    <w:p w14:paraId="7B97D1EC" w14:textId="3FEDE400" w:rsidR="002B05A1" w:rsidRPr="00111F34" w:rsidRDefault="002B05A1" w:rsidP="00383412">
      <w:pPr>
        <w:spacing w:afterLines="40" w:after="96"/>
        <w:rPr>
          <w:rFonts w:cs="Arial"/>
        </w:rPr>
      </w:pPr>
      <w:r w:rsidRPr="00111F34">
        <w:rPr>
          <w:rFonts w:cs="Arial"/>
        </w:rPr>
        <w:t>Determinanty zdraví lze definovat jako osobní, společenské a ekonomické faktory a faktory životního prostředí, které jsou vzájemně se ovlivňujícími proměnnými, a zároveň významně ovlivňují a určují zdravotní stav jedince, skupiny lidí nebo společnosti.</w:t>
      </w:r>
    </w:p>
    <w:p w14:paraId="0A5D41B9" w14:textId="77777777" w:rsidR="002B05A1" w:rsidRPr="00111F34" w:rsidRDefault="002B05A1" w:rsidP="00383412">
      <w:pPr>
        <w:spacing w:afterLines="40" w:after="96"/>
        <w:rPr>
          <w:rFonts w:cs="Arial"/>
        </w:rPr>
      </w:pPr>
      <w:r w:rsidRPr="00111F34">
        <w:rPr>
          <w:rFonts w:cs="Arial"/>
        </w:rPr>
        <w:t>Základní skupiny determinant zdraví:</w:t>
      </w:r>
    </w:p>
    <w:p w14:paraId="465D9253" w14:textId="3AEEF805" w:rsidR="002B05A1" w:rsidRPr="00111F34" w:rsidRDefault="002B05A1" w:rsidP="00CB1213">
      <w:pPr>
        <w:spacing w:afterLines="40" w:after="96"/>
        <w:ind w:left="426"/>
        <w:rPr>
          <w:rFonts w:cs="Arial"/>
        </w:rPr>
      </w:pPr>
      <w:r w:rsidRPr="00111F34">
        <w:rPr>
          <w:rFonts w:cs="Arial"/>
        </w:rPr>
        <w:t>1. Životní styl (způsob života) – např. úroveň vzdělání, životní úroveň, sociální faktory, nezaměstnanost, způsob práce, stres, způsob stravování, pohybové aktivity, abusus drog či alkoholu, kouření, postoj k vlastnímu zdraví a péče o něj, osobní hygiena, sexuální chování, spotřební chování.</w:t>
      </w:r>
    </w:p>
    <w:p w14:paraId="587B9DC1" w14:textId="1FD81298" w:rsidR="002B05A1" w:rsidRPr="00111F34" w:rsidRDefault="002B05A1" w:rsidP="00CB1213">
      <w:pPr>
        <w:spacing w:afterLines="40" w:after="96"/>
        <w:ind w:left="426"/>
        <w:rPr>
          <w:rFonts w:cs="Arial"/>
        </w:rPr>
      </w:pPr>
      <w:r w:rsidRPr="00111F34">
        <w:rPr>
          <w:rFonts w:cs="Arial"/>
        </w:rPr>
        <w:t>2. Životní a pracovní prostředí (ovzduší, voda, půda, hluk, elektromagnetické záření, klimatické podmínky, potravinový řetězec, výrobní technologie, pracovní prostředí, předměty běžného užívání, bydlení, služby, doprava, urbanistika).</w:t>
      </w:r>
    </w:p>
    <w:p w14:paraId="5EF1D3AC" w14:textId="004B16F4" w:rsidR="002B05A1" w:rsidRPr="00111F34" w:rsidRDefault="002B05A1" w:rsidP="00CB1213">
      <w:pPr>
        <w:spacing w:afterLines="40" w:after="96"/>
        <w:ind w:left="426"/>
        <w:rPr>
          <w:rFonts w:cs="Arial"/>
        </w:rPr>
      </w:pPr>
      <w:r w:rsidRPr="00111F34">
        <w:rPr>
          <w:rFonts w:cs="Arial"/>
        </w:rPr>
        <w:t>3. Péče o zdraví a zdravotnictví (rozvoj medicíny a lékařské techniky, zdravotní politika, dostupnost zdravotní péče, zdravotnický systém, úroveň zdravotnictví, organizace financování a řízení zdravotnictví).</w:t>
      </w:r>
    </w:p>
    <w:p w14:paraId="374498C8" w14:textId="5E2AA2A0" w:rsidR="002B05A1" w:rsidRPr="00111F34" w:rsidRDefault="002B05A1" w:rsidP="00CB1213">
      <w:pPr>
        <w:spacing w:afterLines="40" w:after="96"/>
        <w:ind w:left="426"/>
        <w:rPr>
          <w:rFonts w:cs="Arial"/>
        </w:rPr>
      </w:pPr>
      <w:r w:rsidRPr="00111F34">
        <w:rPr>
          <w:rFonts w:cs="Arial"/>
        </w:rPr>
        <w:lastRenderedPageBreak/>
        <w:t>4. Biologický (genetický) základ (vrozené vady, dispozice ke vzniku nemoci, úroveň intelektových schopností, rozdíly ve zdraví mužů a žen…).</w:t>
      </w:r>
    </w:p>
    <w:p w14:paraId="5DA5F12B" w14:textId="77777777" w:rsidR="002B05A1" w:rsidRPr="00111F34" w:rsidRDefault="002B05A1" w:rsidP="00383412">
      <w:pPr>
        <w:spacing w:afterLines="40" w:after="96"/>
        <w:rPr>
          <w:rFonts w:cs="Arial"/>
        </w:rPr>
      </w:pPr>
      <w:r w:rsidRPr="00111F34">
        <w:rPr>
          <w:rFonts w:cs="Arial"/>
        </w:rPr>
        <w:t>Kvantifikace vlivu takto definovaných determinant na zdraví:</w:t>
      </w:r>
    </w:p>
    <w:p w14:paraId="4221E785" w14:textId="33C107CC" w:rsidR="002B05A1" w:rsidRPr="00111F34" w:rsidRDefault="002B05A1" w:rsidP="00CB1213">
      <w:pPr>
        <w:spacing w:before="0" w:afterLines="40" w:after="96"/>
        <w:ind w:left="1134" w:hanging="708"/>
        <w:rPr>
          <w:rFonts w:cs="Arial"/>
        </w:rPr>
      </w:pPr>
      <w:r w:rsidRPr="00111F34">
        <w:rPr>
          <w:rFonts w:cs="Arial"/>
        </w:rPr>
        <w:t>1. faktory životního prostředí ovlivňují zdraví z cca 15–20 %</w:t>
      </w:r>
      <w:r w:rsidR="00A94898" w:rsidRPr="00111F34">
        <w:rPr>
          <w:rFonts w:cs="Arial"/>
        </w:rPr>
        <w:t>,</w:t>
      </w:r>
    </w:p>
    <w:p w14:paraId="29BBBE8C" w14:textId="0F54D9A8" w:rsidR="002B05A1" w:rsidRPr="00111F34" w:rsidRDefault="002B05A1" w:rsidP="00CB1213">
      <w:pPr>
        <w:spacing w:before="0" w:afterLines="40" w:after="96"/>
        <w:ind w:left="1134" w:hanging="708"/>
        <w:rPr>
          <w:rFonts w:cs="Arial"/>
        </w:rPr>
      </w:pPr>
      <w:r w:rsidRPr="00111F34">
        <w:rPr>
          <w:rFonts w:cs="Arial"/>
        </w:rPr>
        <w:t>2. genetické faktory z cca 10–15 %</w:t>
      </w:r>
      <w:r w:rsidR="00A94898" w:rsidRPr="00111F34">
        <w:rPr>
          <w:rFonts w:cs="Arial"/>
        </w:rPr>
        <w:t>,</w:t>
      </w:r>
    </w:p>
    <w:p w14:paraId="2289C38C" w14:textId="452EAC84" w:rsidR="002B05A1" w:rsidRPr="00111F34" w:rsidRDefault="002B05A1" w:rsidP="00CB1213">
      <w:pPr>
        <w:spacing w:before="0" w:afterLines="40" w:after="96"/>
        <w:ind w:left="1134" w:hanging="708"/>
        <w:rPr>
          <w:rFonts w:cs="Arial"/>
        </w:rPr>
      </w:pPr>
      <w:r w:rsidRPr="00111F34">
        <w:rPr>
          <w:rFonts w:cs="Arial"/>
        </w:rPr>
        <w:t>3. skupina faktorů životního stylu celými 50 %</w:t>
      </w:r>
      <w:r w:rsidR="00A94898" w:rsidRPr="00111F34">
        <w:rPr>
          <w:rFonts w:cs="Arial"/>
        </w:rPr>
        <w:t>,</w:t>
      </w:r>
    </w:p>
    <w:p w14:paraId="54B4480A" w14:textId="1A1F9EAA" w:rsidR="002B05A1" w:rsidRPr="00111F34" w:rsidRDefault="002B05A1" w:rsidP="00CB1213">
      <w:pPr>
        <w:spacing w:before="0" w:afterLines="40" w:after="96"/>
        <w:ind w:left="1134" w:hanging="708"/>
        <w:rPr>
          <w:rFonts w:cs="Arial"/>
        </w:rPr>
      </w:pPr>
      <w:r w:rsidRPr="00111F34">
        <w:rPr>
          <w:rFonts w:cs="Arial"/>
        </w:rPr>
        <w:t>4. efektivita, kvalita a dostupnost zdravotní péče ovlivňuje zdraví cca z 10–15 %.</w:t>
      </w:r>
    </w:p>
    <w:p w14:paraId="6500C3CE" w14:textId="510900B4" w:rsidR="00794578" w:rsidRPr="00111F34" w:rsidRDefault="00584239" w:rsidP="00383412">
      <w:pPr>
        <w:spacing w:afterLines="40" w:after="96"/>
        <w:rPr>
          <w:rFonts w:cs="Arial"/>
        </w:rPr>
      </w:pPr>
      <w:r w:rsidRPr="00111F34">
        <w:rPr>
          <w:rFonts w:cs="Arial"/>
        </w:rPr>
        <w:t>Řešená</w:t>
      </w:r>
      <w:r w:rsidR="00794578" w:rsidRPr="00111F34">
        <w:rPr>
          <w:rFonts w:cs="Arial"/>
        </w:rPr>
        <w:t xml:space="preserve"> </w:t>
      </w:r>
      <w:r w:rsidRPr="00111F34">
        <w:rPr>
          <w:rFonts w:cs="Arial"/>
        </w:rPr>
        <w:t>ÚPD</w:t>
      </w:r>
      <w:r w:rsidR="00794578" w:rsidRPr="00111F34">
        <w:rPr>
          <w:rFonts w:cs="Arial"/>
        </w:rPr>
        <w:t xml:space="preserve"> </w:t>
      </w:r>
      <w:r w:rsidRPr="00111F34">
        <w:rPr>
          <w:rFonts w:cs="Arial"/>
        </w:rPr>
        <w:t>může</w:t>
      </w:r>
      <w:r w:rsidR="00794578" w:rsidRPr="00111F34">
        <w:rPr>
          <w:rFonts w:cs="Arial"/>
        </w:rPr>
        <w:t xml:space="preserve"> tyto determinanty ovlivnit jak pozitivně, tak i negativně – rozvojem dopravní dostupnosti, zvýšením bezpečnosti, kvalitou života v sídlech, ovlivněním možností zdravého využití volného času</w:t>
      </w:r>
      <w:r w:rsidR="003A55E9" w:rsidRPr="00111F34">
        <w:rPr>
          <w:rFonts w:cs="Arial"/>
        </w:rPr>
        <w:t xml:space="preserve"> a na druhou stranu vložením nových zdrojů hlukové zátěže do území</w:t>
      </w:r>
      <w:r w:rsidR="00794578" w:rsidRPr="00111F34">
        <w:rPr>
          <w:rFonts w:cs="Arial"/>
        </w:rPr>
        <w:t xml:space="preserve">. </w:t>
      </w:r>
    </w:p>
    <w:p w14:paraId="696498D0" w14:textId="7ADB5814" w:rsidR="00794578" w:rsidRPr="00111F34" w:rsidRDefault="00794578" w:rsidP="00383412">
      <w:pPr>
        <w:spacing w:afterLines="40" w:after="96"/>
        <w:rPr>
          <w:rFonts w:cs="Arial"/>
        </w:rPr>
      </w:pPr>
      <w:r w:rsidRPr="00111F34">
        <w:rPr>
          <w:rFonts w:cs="Arial"/>
        </w:rPr>
        <w:t>Z výše uvedeného popisu zdravotních determinant, relevantních cílů koncepčních dokumentů v oblasti zdraví a zdravotního stavu obyvatel lze vyvodit následující zdravotní determinanty s vazbou k předkládané</w:t>
      </w:r>
      <w:r w:rsidR="002B05A1" w:rsidRPr="00111F34">
        <w:rPr>
          <w:rFonts w:cs="Arial"/>
        </w:rPr>
        <w:t xml:space="preserve"> ÚPD</w:t>
      </w:r>
      <w:r w:rsidRPr="00111F34">
        <w:rPr>
          <w:rFonts w:cs="Arial"/>
        </w:rPr>
        <w:t>:</w:t>
      </w:r>
    </w:p>
    <w:p w14:paraId="534761BE" w14:textId="00A9050A" w:rsidR="00794578" w:rsidRPr="00111F34" w:rsidRDefault="006E229D" w:rsidP="004D3DA9">
      <w:pPr>
        <w:pStyle w:val="Odrky1"/>
      </w:pPr>
      <w:r w:rsidRPr="00111F34">
        <w:t>F</w:t>
      </w:r>
      <w:r w:rsidR="00794578" w:rsidRPr="00111F34">
        <w:t xml:space="preserve">aktory životního </w:t>
      </w:r>
      <w:r w:rsidR="002B05A1" w:rsidRPr="00111F34">
        <w:t xml:space="preserve">a pracovního </w:t>
      </w:r>
      <w:r w:rsidR="00116E25" w:rsidRPr="00111F34">
        <w:t>prostředí</w:t>
      </w:r>
      <w:r w:rsidR="00794578" w:rsidRPr="00111F34">
        <w:t>, zejména kvalita ovzduší, hluk, toxické látky v prostředí;</w:t>
      </w:r>
    </w:p>
    <w:p w14:paraId="747D8B5D" w14:textId="77777777" w:rsidR="00794578" w:rsidRPr="00111F34" w:rsidRDefault="00794578" w:rsidP="004D3DA9">
      <w:pPr>
        <w:pStyle w:val="Odrky1"/>
      </w:pPr>
      <w:r w:rsidRPr="00111F34">
        <w:t>zaměstnanost;</w:t>
      </w:r>
    </w:p>
    <w:p w14:paraId="0F586AB8" w14:textId="77777777" w:rsidR="00794578" w:rsidRPr="00111F34" w:rsidRDefault="00794578" w:rsidP="004D3DA9">
      <w:pPr>
        <w:pStyle w:val="Odrky1"/>
      </w:pPr>
      <w:r w:rsidRPr="00111F34">
        <w:t>vzdělanost;</w:t>
      </w:r>
    </w:p>
    <w:p w14:paraId="4E02D91A" w14:textId="77777777" w:rsidR="00794578" w:rsidRPr="00111F34" w:rsidRDefault="00794578" w:rsidP="004D3DA9">
      <w:pPr>
        <w:pStyle w:val="Odrky1"/>
      </w:pPr>
      <w:r w:rsidRPr="00111F34">
        <w:t>zdravé využití volného času;</w:t>
      </w:r>
    </w:p>
    <w:p w14:paraId="5E4FA67E" w14:textId="77777777" w:rsidR="00794578" w:rsidRPr="00111F34" w:rsidRDefault="00794578" w:rsidP="004D3DA9">
      <w:pPr>
        <w:pStyle w:val="Odrky1"/>
      </w:pPr>
      <w:r w:rsidRPr="00111F34">
        <w:t>úroveň a dostupnost zdravotní péče;</w:t>
      </w:r>
    </w:p>
    <w:p w14:paraId="0BC9D0EE" w14:textId="66100356" w:rsidR="007978A5" w:rsidRPr="00111F34" w:rsidRDefault="00794578" w:rsidP="007978A5">
      <w:pPr>
        <w:pStyle w:val="Odrky1"/>
        <w:spacing w:before="0" w:after="160" w:line="259" w:lineRule="auto"/>
        <w:jc w:val="left"/>
      </w:pPr>
      <w:r w:rsidRPr="00111F34">
        <w:t>bezpečnost (od bezpečnosti dopravy, protipovodňové ochran</w:t>
      </w:r>
      <w:r w:rsidR="004958C2" w:rsidRPr="00111F34">
        <w:t>y</w:t>
      </w:r>
      <w:r w:rsidRPr="00111F34">
        <w:t xml:space="preserve"> až po např. kvalitní bezpečné stavební materiály, zejména v případě recyklace odpadů).</w:t>
      </w:r>
    </w:p>
    <w:p w14:paraId="7981C049" w14:textId="45EDA0BA" w:rsidR="007978A5" w:rsidRPr="00111F34" w:rsidRDefault="007978A5" w:rsidP="007978A5">
      <w:pPr>
        <w:rPr>
          <w:rFonts w:cs="Arial"/>
          <w:szCs w:val="20"/>
        </w:rPr>
      </w:pPr>
      <w:r w:rsidRPr="00111F34">
        <w:rPr>
          <w:rFonts w:cs="Arial"/>
          <w:szCs w:val="20"/>
        </w:rPr>
        <w:t xml:space="preserve">Porovnáním </w:t>
      </w:r>
      <w:r w:rsidR="003F6D48" w:rsidRPr="00111F34">
        <w:rPr>
          <w:rFonts w:cs="Arial"/>
          <w:szCs w:val="20"/>
        </w:rPr>
        <w:t xml:space="preserve">navrhované </w:t>
      </w:r>
      <w:r w:rsidRPr="00111F34">
        <w:rPr>
          <w:rFonts w:cs="Arial"/>
          <w:szCs w:val="20"/>
        </w:rPr>
        <w:t>změn</w:t>
      </w:r>
      <w:r w:rsidR="003F6D48" w:rsidRPr="00111F34">
        <w:rPr>
          <w:rFonts w:cs="Arial"/>
          <w:szCs w:val="20"/>
        </w:rPr>
        <w:t>y</w:t>
      </w:r>
      <w:r w:rsidRPr="00111F34">
        <w:rPr>
          <w:rFonts w:cs="Arial"/>
          <w:szCs w:val="20"/>
        </w:rPr>
        <w:t xml:space="preserve"> s platným územním plánem, a dalšími podklady lze dovodit, že dominantní vliv na zdraví bude spočívat zejména v expozici emisím (hluk, PM a NO</w:t>
      </w:r>
      <w:r w:rsidRPr="00111F34">
        <w:rPr>
          <w:rFonts w:cs="Arial"/>
          <w:szCs w:val="20"/>
          <w:vertAlign w:val="subscript"/>
        </w:rPr>
        <w:t>2</w:t>
      </w:r>
      <w:r w:rsidRPr="00111F34">
        <w:rPr>
          <w:rFonts w:cs="Arial"/>
          <w:szCs w:val="20"/>
        </w:rPr>
        <w:t xml:space="preserve">, ozón) z dopravy. </w:t>
      </w:r>
    </w:p>
    <w:p w14:paraId="71E99D13" w14:textId="7D621662" w:rsidR="007978A5" w:rsidRPr="00111F34" w:rsidRDefault="007978A5" w:rsidP="007978A5">
      <w:pPr>
        <w:rPr>
          <w:rFonts w:cs="Arial"/>
          <w:szCs w:val="20"/>
        </w:rPr>
      </w:pPr>
      <w:r w:rsidRPr="00111F34">
        <w:rPr>
          <w:rFonts w:cs="Arial"/>
          <w:szCs w:val="20"/>
        </w:rPr>
        <w:t>Lze odhadnout, že zdraví populace obyvatel Hlavního města Prahy či obyvatel ČR bude</w:t>
      </w:r>
      <w:r w:rsidR="00811DC5" w:rsidRPr="00111F34">
        <w:rPr>
          <w:rFonts w:cs="Arial"/>
          <w:szCs w:val="20"/>
        </w:rPr>
        <w:t xml:space="preserve"> spíše nepřímo</w:t>
      </w:r>
      <w:r w:rsidRPr="00111F34">
        <w:rPr>
          <w:rFonts w:cs="Arial"/>
          <w:szCs w:val="20"/>
        </w:rPr>
        <w:t xml:space="preserve"> dotčeno navrhovanou změnou jen v přilehlých </w:t>
      </w:r>
      <w:r w:rsidR="00811DC5" w:rsidRPr="00111F34">
        <w:rPr>
          <w:rFonts w:cs="Arial"/>
          <w:szCs w:val="20"/>
        </w:rPr>
        <w:t>sídlištích</w:t>
      </w:r>
      <w:r w:rsidRPr="00111F34">
        <w:rPr>
          <w:rFonts w:cs="Arial"/>
          <w:szCs w:val="20"/>
        </w:rPr>
        <w:t>.</w:t>
      </w:r>
    </w:p>
    <w:p w14:paraId="2A3BDAFE" w14:textId="2ACA5C9A" w:rsidR="007978A5" w:rsidRPr="00111F34" w:rsidRDefault="007978A5" w:rsidP="007978A5">
      <w:pPr>
        <w:rPr>
          <w:rFonts w:cs="Arial"/>
          <w:szCs w:val="20"/>
        </w:rPr>
      </w:pPr>
      <w:r w:rsidRPr="00111F34">
        <w:rPr>
          <w:rFonts w:cs="Arial"/>
          <w:szCs w:val="20"/>
        </w:rPr>
        <w:t xml:space="preserve">Pro občany v dané lokalitě žijící, provozující ekonomické nebo zájmové aktivity však posuzovaná změna může </w:t>
      </w:r>
      <w:r w:rsidR="00811DC5" w:rsidRPr="00111F34">
        <w:rPr>
          <w:rFonts w:cs="Arial"/>
          <w:szCs w:val="20"/>
        </w:rPr>
        <w:t xml:space="preserve">subjektivně </w:t>
      </w:r>
      <w:r w:rsidRPr="00111F34">
        <w:rPr>
          <w:rFonts w:cs="Arial"/>
          <w:szCs w:val="20"/>
        </w:rPr>
        <w:t xml:space="preserve">působit na veřejné zdraví a jeho determinanty, jak ve fázi realizace, tak při užívání obytných domů, občanské vybavenosti tak rekreační oblasti. </w:t>
      </w:r>
      <w:r w:rsidR="00811DC5" w:rsidRPr="00111F34">
        <w:rPr>
          <w:rFonts w:cs="Arial"/>
          <w:szCs w:val="20"/>
        </w:rPr>
        <w:t xml:space="preserve">Nelze očekávat, s ohledem na rozsah </w:t>
      </w:r>
      <w:r w:rsidR="00541A1C" w:rsidRPr="00111F34">
        <w:rPr>
          <w:rFonts w:cs="Arial"/>
          <w:szCs w:val="20"/>
        </w:rPr>
        <w:t xml:space="preserve">posuzované </w:t>
      </w:r>
      <w:r w:rsidR="00654469" w:rsidRPr="00111F34">
        <w:rPr>
          <w:rFonts w:cs="Arial"/>
          <w:szCs w:val="20"/>
        </w:rPr>
        <w:t>změn</w:t>
      </w:r>
      <w:r w:rsidR="00541A1C" w:rsidRPr="00111F34">
        <w:rPr>
          <w:rFonts w:cs="Arial"/>
          <w:szCs w:val="20"/>
        </w:rPr>
        <w:t>y</w:t>
      </w:r>
      <w:r w:rsidR="00654469" w:rsidRPr="00111F34">
        <w:rPr>
          <w:rFonts w:cs="Arial"/>
          <w:szCs w:val="20"/>
        </w:rPr>
        <w:t xml:space="preserve"> územního plánu</w:t>
      </w:r>
      <w:r w:rsidR="00811DC5" w:rsidRPr="00111F34">
        <w:rPr>
          <w:rFonts w:cs="Arial"/>
          <w:szCs w:val="20"/>
        </w:rPr>
        <w:t>, markantní či měřitelné dopady na sociální pohodu či ekonomický status jednotlivce či rodiny v širším měřítku</w:t>
      </w:r>
      <w:r w:rsidR="00CE08E4" w:rsidRPr="00111F34">
        <w:rPr>
          <w:rFonts w:cs="Arial"/>
          <w:szCs w:val="20"/>
        </w:rPr>
        <w:t>.</w:t>
      </w:r>
    </w:p>
    <w:p w14:paraId="554CFAB2" w14:textId="51873FDC" w:rsidR="007978A5" w:rsidRPr="00111F34" w:rsidRDefault="007978A5" w:rsidP="007978A5">
      <w:pPr>
        <w:rPr>
          <w:rFonts w:cs="Arial"/>
          <w:szCs w:val="20"/>
        </w:rPr>
      </w:pPr>
      <w:r w:rsidRPr="00111F34">
        <w:rPr>
          <w:rFonts w:cs="Arial"/>
          <w:szCs w:val="20"/>
        </w:rPr>
        <w:t>Nelze očekávat zásadní vliv na vzdělávání, na sociální inkluse atp.</w:t>
      </w:r>
    </w:p>
    <w:p w14:paraId="7E424513" w14:textId="53EAE097" w:rsidR="005417B7" w:rsidRPr="00111F34" w:rsidRDefault="005417B7" w:rsidP="009978D6">
      <w:pPr>
        <w:pStyle w:val="Podnadpis1"/>
      </w:pPr>
      <w:r w:rsidRPr="00111F34">
        <w:t>Hluk</w:t>
      </w:r>
    </w:p>
    <w:p w14:paraId="3045AF86" w14:textId="4F379EA0" w:rsidR="005607CA" w:rsidRPr="00111F34" w:rsidRDefault="005607CA" w:rsidP="005607CA">
      <w:r w:rsidRPr="00111F34">
        <w:rPr>
          <w:szCs w:val="16"/>
        </w:rPr>
        <w:t xml:space="preserve">Posuzovaná změna spočívá v transformaci dnes podvyužitého území, které je i v platném územním plánu </w:t>
      </w:r>
      <w:r w:rsidR="003A55E9" w:rsidRPr="00111F34">
        <w:rPr>
          <w:szCs w:val="16"/>
        </w:rPr>
        <w:t xml:space="preserve">převážně </w:t>
      </w:r>
      <w:r w:rsidRPr="00111F34">
        <w:rPr>
          <w:szCs w:val="16"/>
        </w:rPr>
        <w:t xml:space="preserve">územím zastavitelným, která spočívá ve vytvoření územních předpokladů pro umístění dopravní infrastruktury a podpoře rozvoje rezidenčních funkcí a veřejné vybavenosti jako prevence suburbanizace. Z hlediska územního plánu je posuzovanou změnou dáván rámec pro </w:t>
      </w:r>
      <w:r w:rsidR="003A55E9" w:rsidRPr="00111F34">
        <w:rPr>
          <w:szCs w:val="16"/>
        </w:rPr>
        <w:t>změnu</w:t>
      </w:r>
      <w:r w:rsidRPr="00111F34">
        <w:rPr>
          <w:szCs w:val="16"/>
        </w:rPr>
        <w:t xml:space="preserve"> využití území</w:t>
      </w:r>
      <w:r w:rsidR="003A55E9" w:rsidRPr="00111F34">
        <w:rPr>
          <w:szCs w:val="16"/>
        </w:rPr>
        <w:t xml:space="preserve"> ve vnitřním městě z výrobních a dopravních funkcí na funkce rezidenční</w:t>
      </w:r>
      <w:r w:rsidRPr="00111F34">
        <w:rPr>
          <w:szCs w:val="16"/>
        </w:rPr>
        <w:t>. Na místní úrovni dojde posuzovanou změnou k vytvoření územních předpokladů pro vložení nového zdroje vyvolané dopravy do území se spolupůsobením probíhajících intenzivního rozvoje v souvisejícím území. Pozitivně spolupůsobit bude naopak přerozdělení dopravních zátěží ve prospěch nadřazené dopravní infrastruktury a bezemisní veřejné hromadné dopravy a zklidnění části ulice Kamýcká</w:t>
      </w:r>
      <w:r w:rsidRPr="00111F34">
        <w:t>. Lze očekávat převážně pozitivní vlivy na hlukovou a imisní situaci, a to jak v detailu řešení prostoru Sedlce i Dejvic, tak i v širším území při spolupůsobení dopravního systému města jako celku v kontextu dobudování nadřazené dopravní infrastruktury na úrovni okolních čtvrtí a převedení dopravních zátěží s tranzitním charakterem mimo místní subcentra s využitím nadřazené dopravní infrastruktury a systému sběrných komunikací, VHD a kapacit parkování. Z výše uvedených podkladů a charakteru změny, která znamená přerozdělení dopravních zátěží v území ve prospěch hustě obydleních ploch lze očekávat, zklidnění především západní části ulice Kamýcká. V této souvislosti a v kontextu územního rozvoje řešeného území a postupného dobudování dopravního systému čtvrti i celé aglomerace lze očekávat zlepšení obsluhy území, jeho dostupnosti i prostupnosti se zprostředkovaně pozitivním vlivem na kvalitu bydlení a zlepšení dopravní situace prostřednictvím odstranění dopravních kongescí, a s tím i negativních externalit v podobě hlukové a imisní zátěže. Dopravní stavby umisťované v souvisejících plochách nesmí způsobit nové překročení hlukových limitů. Rovněž lze očekávat zlepšení bezpečnosti obyvatel.</w:t>
      </w:r>
    </w:p>
    <w:p w14:paraId="5EE24472" w14:textId="376463D6" w:rsidR="005607CA" w:rsidRPr="00111F34" w:rsidRDefault="005607CA" w:rsidP="008D1B30">
      <w:pPr>
        <w:rPr>
          <w:lang w:eastAsia="cs-CZ"/>
        </w:rPr>
      </w:pPr>
      <w:r w:rsidRPr="00111F34">
        <w:rPr>
          <w:lang w:eastAsia="cs-CZ"/>
        </w:rPr>
        <w:lastRenderedPageBreak/>
        <w:t xml:space="preserve">Identifikován potenciálně mírně negativní vliv s dopadem do bezprostředního okolí řešených ploch v místech dopravního napojení se synergickým spolupůsobením v důsledku vložení nového zdroje vyvolané dopravy do území. </w:t>
      </w:r>
      <w:r w:rsidR="003A55E9" w:rsidRPr="00111F34">
        <w:rPr>
          <w:lang w:eastAsia="cs-CZ"/>
        </w:rPr>
        <w:t>N</w:t>
      </w:r>
      <w:r w:rsidRPr="00111F34">
        <w:rPr>
          <w:lang w:eastAsia="cs-CZ"/>
        </w:rPr>
        <w:t>a druhou stranu změna umožní zásadní zlepšení dopravní dostupností hromadnou dopravou včetně řešení přestupních vazeb a kapacit parkování na okraji metropole, a tím i prevenci suburbanizace s jí vyvolanými dopravními vztahy kde spolupůsobí především dostav</w:t>
      </w:r>
      <w:r w:rsidR="003A55E9" w:rsidRPr="00111F34">
        <w:rPr>
          <w:lang w:eastAsia="cs-CZ"/>
        </w:rPr>
        <w:t>b</w:t>
      </w:r>
      <w:r w:rsidRPr="00111F34">
        <w:rPr>
          <w:lang w:eastAsia="cs-CZ"/>
        </w:rPr>
        <w:t>a pražského okruhu.</w:t>
      </w:r>
    </w:p>
    <w:p w14:paraId="3D4924B8" w14:textId="3B6421B1" w:rsidR="008D1B30" w:rsidRPr="00111F34" w:rsidRDefault="008D1B30" w:rsidP="008D1B30">
      <w:r w:rsidRPr="00111F34">
        <w:rPr>
          <w:rFonts w:cs="Arial"/>
          <w:szCs w:val="20"/>
        </w:rPr>
        <w:t xml:space="preserve">Z dostupných podkladů lze usuzovat, že využití území pro uvažované funkce je možné, při splnění podmínky, že při zastavování ploch nedojde k překročení hygienických limitů z hlediska hluku u nejbližších hlukově chráněných prostor, včetně případných hlukově chráněných prostor umisťovaných v řešených plochách. </w:t>
      </w:r>
      <w:r w:rsidR="00574A31" w:rsidRPr="00111F34">
        <w:rPr>
          <w:rFonts w:cs="Arial"/>
          <w:szCs w:val="20"/>
        </w:rPr>
        <w:t>Což je vyžadováno i platnou legislativou při povolování staveb.</w:t>
      </w:r>
    </w:p>
    <w:p w14:paraId="3A128B19" w14:textId="77777777" w:rsidR="008D1B30" w:rsidRPr="00111F34" w:rsidRDefault="008D1B30" w:rsidP="008D1B30">
      <w:r w:rsidRPr="00111F34">
        <w:t>Pro zamezení negativním vlivům byla navržena opatření v rámci SEA, která budou doplněna opatřeními při následné projektové přípravě staveb umisťovaných v řešených plochách (bariérová zástavba, orientace objektů vůči převažujícím zdrojům hluku, opatření na budovách).</w:t>
      </w:r>
    </w:p>
    <w:p w14:paraId="0309E27F" w14:textId="7D4AE5B9" w:rsidR="00781F11" w:rsidRPr="00111F34" w:rsidRDefault="00781F11" w:rsidP="00781F11">
      <w:r w:rsidRPr="00111F34">
        <w:t>V této souvislosti je třeba upozornit na skutečnost, že do území s již překročenými hlukovými limity nelze umisťovat takové záměry, které úroveň akustického tlaku ještě zvýší.</w:t>
      </w:r>
    </w:p>
    <w:p w14:paraId="56B11D50" w14:textId="77777777" w:rsidR="005417B7" w:rsidRPr="00111F34" w:rsidRDefault="005417B7" w:rsidP="00672DA2">
      <w:pPr>
        <w:pStyle w:val="Podnadpis1"/>
      </w:pPr>
      <w:r w:rsidRPr="00111F34">
        <w:t>Ovzduší</w:t>
      </w:r>
    </w:p>
    <w:p w14:paraId="147C5C45" w14:textId="43CFA391" w:rsidR="005607CA" w:rsidRPr="00111F34" w:rsidRDefault="004B7A27" w:rsidP="005607CA">
      <w:pPr>
        <w:rPr>
          <w:lang w:eastAsia="cs-CZ"/>
        </w:rPr>
      </w:pPr>
      <w:r w:rsidRPr="00111F34">
        <w:t xml:space="preserve">Z hlediska imisní situace ovzduší je na základě jednotlivých informačních zdrojů (viz kapitola A.VII.1 a A.III.5) hodnoceno imisní zatížení většiny lokalit jako středně znečistěné. </w:t>
      </w:r>
      <w:r w:rsidRPr="00111F34">
        <w:rPr>
          <w:rFonts w:cs="Arial"/>
          <w:szCs w:val="20"/>
        </w:rPr>
        <w:t>Dle map pětiletých klouzavých průměrů pozaďové imisní zátěže (v průměru let 2017-2021) nedochází v řešeném území k překračování imisních limitů žádné ze sledovaných látek</w:t>
      </w:r>
      <w:r w:rsidRPr="00111F34">
        <w:t xml:space="preserve">, z jejichž imisních limitů se při hodnocení kvality ovzduší vychází. </w:t>
      </w:r>
      <w:r w:rsidRPr="00111F34">
        <w:rPr>
          <w:lang w:eastAsia="cs-CZ"/>
        </w:rPr>
        <w:t xml:space="preserve">V souvislosti s posuzovanou ÚPD neočekáváme podstatnou změnu objemu zeleně v území. Dojde ke vzniku nových vyvolaných zdrojů dopravy při zastavování řešených ploch. Plochy jsou však </w:t>
      </w:r>
      <w:r w:rsidR="00CC458E" w:rsidRPr="00111F34">
        <w:rPr>
          <w:lang w:eastAsia="cs-CZ"/>
        </w:rPr>
        <w:t xml:space="preserve">převážně </w:t>
      </w:r>
      <w:r w:rsidRPr="00111F34">
        <w:rPr>
          <w:lang w:eastAsia="cs-CZ"/>
        </w:rPr>
        <w:t>určené k zastavění i v</w:t>
      </w:r>
      <w:r w:rsidR="00574A31" w:rsidRPr="00111F34">
        <w:rPr>
          <w:lang w:eastAsia="cs-CZ"/>
        </w:rPr>
        <w:t> </w:t>
      </w:r>
      <w:r w:rsidRPr="00111F34">
        <w:rPr>
          <w:lang w:eastAsia="cs-CZ"/>
        </w:rPr>
        <w:t>současnosti</w:t>
      </w:r>
      <w:r w:rsidR="00574A31" w:rsidRPr="00111F34">
        <w:rPr>
          <w:lang w:eastAsia="cs-CZ"/>
        </w:rPr>
        <w:t>, dochází ke změně funkce z výrobní a dopravní na rezidenční</w:t>
      </w:r>
      <w:r w:rsidRPr="00111F34">
        <w:rPr>
          <w:lang w:eastAsia="cs-CZ"/>
        </w:rPr>
        <w:t xml:space="preserve">. </w:t>
      </w:r>
      <w:r w:rsidR="005607CA" w:rsidRPr="00111F34">
        <w:rPr>
          <w:lang w:eastAsia="cs-CZ"/>
        </w:rPr>
        <w:t xml:space="preserve">V souvislosti s posuzovanou ÚPD neočekáváme podstatnou změnu objemu zeleně v území, nicméně v rámci celkové transformace prostoru Nového Sedlce ke zvýšení podílu zeleně v budoucích zahradách i v rámci veřejných prostranství nejspíš dojde, zároveň budou nahrazeny plochy dnešních skládek sypkých materiálů, které ve stávajícím stavu způsobují emise prašných částic. Samotná posuzovaná změna transformuje již v současnosti zastavitelné území a částečně zvyšuje intenzitu jeho využití v oblasti </w:t>
      </w:r>
      <w:r w:rsidR="002E61F7" w:rsidRPr="00111F34">
        <w:rPr>
          <w:lang w:eastAsia="cs-CZ"/>
        </w:rPr>
        <w:t>Výhledů</w:t>
      </w:r>
      <w:r w:rsidR="005607CA" w:rsidRPr="00111F34">
        <w:rPr>
          <w:lang w:eastAsia="cs-CZ"/>
        </w:rPr>
        <w:t>, dochází i k rozšiřování zástavby do krajiny na plochy intenzivně využívaných polí. Změna vytváří územní předpoklady pro zásadní zlepšení dopravní obsluhy území, a to především kapacitní bezemisní VHD, přičemž jsou zároveň zvyšovány kapacity dopravy v klidu na okraji města a v koordinaci s ostatními záměry rozvoje dopravní infrastruktury (SOKP) dojde k dobudování dopravního systému s cílem přerozdělení dopravních zátěží v</w:t>
      </w:r>
      <w:r w:rsidR="00574A31" w:rsidRPr="00111F34">
        <w:rPr>
          <w:lang w:eastAsia="cs-CZ"/>
        </w:rPr>
        <w:t>e</w:t>
      </w:r>
      <w:r w:rsidR="005607CA" w:rsidRPr="00111F34">
        <w:rPr>
          <w:lang w:eastAsia="cs-CZ"/>
        </w:rPr>
        <w:t> vnitřním městě ve prospěch bezemisní veřejné hromadné dopravy, zabránění dopravním kongescím, a tím i snížení emisí z dopravy. Změna zároveň umožňuje transformaci a zvýšení využití dnes nevyužitého území ve vnitřním městě v atraktivní poloze a s dobro</w:t>
      </w:r>
      <w:r w:rsidR="00574A31" w:rsidRPr="00111F34">
        <w:rPr>
          <w:lang w:eastAsia="cs-CZ"/>
        </w:rPr>
        <w:t>u</w:t>
      </w:r>
      <w:r w:rsidR="005607CA" w:rsidRPr="00111F34">
        <w:rPr>
          <w:lang w:eastAsia="cs-CZ"/>
        </w:rPr>
        <w:t xml:space="preserve"> dopravní dostupností především z hlediska kapacitní bezemisní veřejné hromadné dopravy, což je v souladu s principy prevence dodatečných vyvolaných dopravních vztahů v důsledku suburbanizace. </w:t>
      </w:r>
    </w:p>
    <w:p w14:paraId="44A9CDAE" w14:textId="635351EC" w:rsidR="00781F11" w:rsidRPr="00111F34" w:rsidRDefault="00781F11" w:rsidP="005607CA">
      <w:r w:rsidRPr="00111F34">
        <w:rPr>
          <w:lang w:eastAsia="cs-CZ"/>
        </w:rPr>
        <w:t xml:space="preserve">Vzhledem ke stavu a stávajícímu využití území </w:t>
      </w:r>
      <w:r w:rsidR="005607CA" w:rsidRPr="00111F34">
        <w:rPr>
          <w:lang w:eastAsia="cs-CZ"/>
        </w:rPr>
        <w:t>očekáváme zlepšení</w:t>
      </w:r>
      <w:r w:rsidR="004B7A27" w:rsidRPr="00111F34">
        <w:rPr>
          <w:lang w:eastAsia="cs-CZ"/>
        </w:rPr>
        <w:t xml:space="preserve"> kvality ovzduší ve vztahu k veřejnému zdraví.</w:t>
      </w:r>
    </w:p>
    <w:p w14:paraId="10154553" w14:textId="2F5775A5" w:rsidR="007978A5" w:rsidRPr="00111F34" w:rsidRDefault="005417B7" w:rsidP="00573303">
      <w:pPr>
        <w:pStyle w:val="Podnadpis1"/>
        <w:rPr>
          <w:color w:val="5A5A5A" w:themeColor="text1" w:themeTint="A5"/>
        </w:rPr>
      </w:pPr>
      <w:r w:rsidRPr="00111F34">
        <w:t>Voda</w:t>
      </w:r>
    </w:p>
    <w:p w14:paraId="7FDD0641" w14:textId="27C8CB2D" w:rsidR="00781F11" w:rsidRPr="00111F34" w:rsidRDefault="00781F11" w:rsidP="00781F11">
      <w:pPr>
        <w:rPr>
          <w:lang w:eastAsia="cs-CZ"/>
        </w:rPr>
      </w:pPr>
      <w:r w:rsidRPr="00111F34">
        <w:rPr>
          <w:lang w:eastAsia="cs-CZ"/>
        </w:rPr>
        <w:t xml:space="preserve">Negativní vlivy na kvalitu vody v tocích ani potenciál plošného znečištění z průmyslové výroby nebo zemědělských zdrojů nebyly zjištěny. </w:t>
      </w:r>
      <w:r w:rsidR="00FC6838" w:rsidRPr="00111F34">
        <w:rPr>
          <w:lang w:eastAsia="cs-CZ"/>
        </w:rPr>
        <w:t xml:space="preserve">Zásobování obyvatel pitnou vodou nebude ohroženo. Protipovodňová ochrana je v posuzované změna územního plánu respektována. </w:t>
      </w:r>
    </w:p>
    <w:p w14:paraId="2EDF2FD9" w14:textId="77777777" w:rsidR="007978A5" w:rsidRPr="00111F34" w:rsidRDefault="007978A5" w:rsidP="00573303">
      <w:pPr>
        <w:pStyle w:val="Podnadpis1"/>
      </w:pPr>
      <w:r w:rsidRPr="00111F34">
        <w:t>Zájmové a sportovní využití území</w:t>
      </w:r>
    </w:p>
    <w:p w14:paraId="433B721F" w14:textId="75971652" w:rsidR="007978A5" w:rsidRPr="00111F34" w:rsidRDefault="00FC6838" w:rsidP="007978A5">
      <w:pPr>
        <w:rPr>
          <w:rFonts w:cs="Arial"/>
          <w:szCs w:val="20"/>
        </w:rPr>
      </w:pPr>
      <w:r w:rsidRPr="00111F34">
        <w:rPr>
          <w:rFonts w:cs="Arial"/>
          <w:szCs w:val="20"/>
        </w:rPr>
        <w:t xml:space="preserve">Posuzovaná změna </w:t>
      </w:r>
      <w:r w:rsidR="000A1007" w:rsidRPr="00111F34">
        <w:rPr>
          <w:rFonts w:cs="Arial"/>
          <w:szCs w:val="20"/>
        </w:rPr>
        <w:t xml:space="preserve">má zprostředkovanou </w:t>
      </w:r>
      <w:r w:rsidRPr="00111F34">
        <w:rPr>
          <w:rFonts w:cs="Arial"/>
          <w:szCs w:val="20"/>
        </w:rPr>
        <w:t>vazbu na rekreační využití území</w:t>
      </w:r>
      <w:r w:rsidR="00781F11" w:rsidRPr="00111F34">
        <w:rPr>
          <w:rFonts w:cs="Arial"/>
          <w:szCs w:val="20"/>
        </w:rPr>
        <w:t xml:space="preserve">. </w:t>
      </w:r>
      <w:r w:rsidR="000A1007" w:rsidRPr="00111F34">
        <w:rPr>
          <w:rFonts w:cs="Arial"/>
          <w:szCs w:val="20"/>
        </w:rPr>
        <w:t xml:space="preserve">Vymezuje a koordinuje plochy zeleně (ZMK a ZP) v řešeném území a vytváří územní předpoklady pro vznik </w:t>
      </w:r>
      <w:r w:rsidR="00574A31" w:rsidRPr="00111F34">
        <w:rPr>
          <w:rFonts w:cs="Arial"/>
          <w:szCs w:val="20"/>
        </w:rPr>
        <w:t>parkových ploch, ploch rekreace SO, veřejné vybavenosti a školských zařízení</w:t>
      </w:r>
      <w:r w:rsidR="000A1007" w:rsidRPr="00111F34">
        <w:rPr>
          <w:rFonts w:cs="Arial"/>
          <w:szCs w:val="20"/>
        </w:rPr>
        <w:t xml:space="preserve"> v rámci řešených ploch a </w:t>
      </w:r>
      <w:r w:rsidR="00574A31" w:rsidRPr="00111F34">
        <w:rPr>
          <w:rFonts w:cs="Arial"/>
          <w:szCs w:val="20"/>
        </w:rPr>
        <w:t xml:space="preserve">pro </w:t>
      </w:r>
      <w:r w:rsidR="000A1007" w:rsidRPr="00111F34">
        <w:rPr>
          <w:rFonts w:cs="Arial"/>
          <w:szCs w:val="20"/>
        </w:rPr>
        <w:t xml:space="preserve">propojení ploch zeleně směrem </w:t>
      </w:r>
      <w:r w:rsidR="00C51945" w:rsidRPr="00111F34">
        <w:rPr>
          <w:rFonts w:cs="Arial"/>
          <w:szCs w:val="20"/>
        </w:rPr>
        <w:t>k rekreačnímu</w:t>
      </w:r>
      <w:r w:rsidR="000A1007" w:rsidRPr="00111F34">
        <w:rPr>
          <w:rFonts w:cs="Arial"/>
          <w:szCs w:val="20"/>
        </w:rPr>
        <w:t xml:space="preserve"> zázemí v prostoru </w:t>
      </w:r>
      <w:r w:rsidR="005607CA" w:rsidRPr="00111F34">
        <w:rPr>
          <w:rFonts w:cs="Arial"/>
          <w:szCs w:val="20"/>
        </w:rPr>
        <w:t>Výhledů i Šárky</w:t>
      </w:r>
      <w:r w:rsidR="000A1007" w:rsidRPr="00111F34">
        <w:rPr>
          <w:rFonts w:cs="Arial"/>
          <w:szCs w:val="20"/>
        </w:rPr>
        <w:t>. Jsou vytvářeny územní předpoklady pro rozvoj pěší i cyklistické prostupnosti území.</w:t>
      </w:r>
    </w:p>
    <w:p w14:paraId="5A95E461" w14:textId="77777777" w:rsidR="007978A5" w:rsidRPr="00111F34" w:rsidRDefault="007978A5" w:rsidP="005417B7">
      <w:pPr>
        <w:pStyle w:val="Podnadpis1"/>
      </w:pPr>
      <w:bookmarkStart w:id="286" w:name="_Toc420356387"/>
      <w:r w:rsidRPr="00111F34">
        <w:lastRenderedPageBreak/>
        <w:t>Ekonomické aktivity, rozvoj</w:t>
      </w:r>
      <w:bookmarkEnd w:id="286"/>
    </w:p>
    <w:p w14:paraId="34F193A1" w14:textId="0B06D96B" w:rsidR="000A1007" w:rsidRPr="00111F34" w:rsidRDefault="000A1007" w:rsidP="000A1007">
      <w:pPr>
        <w:rPr>
          <w:rFonts w:cs="Arial"/>
          <w:szCs w:val="20"/>
        </w:rPr>
      </w:pPr>
      <w:r w:rsidRPr="00111F34">
        <w:rPr>
          <w:rFonts w:cs="Arial"/>
          <w:szCs w:val="20"/>
        </w:rPr>
        <w:t xml:space="preserve">Rozšíření nabídky ploch </w:t>
      </w:r>
      <w:r w:rsidR="00CC458E" w:rsidRPr="00111F34">
        <w:rPr>
          <w:rFonts w:cs="Arial"/>
          <w:szCs w:val="20"/>
        </w:rPr>
        <w:t xml:space="preserve">bydlení, veřejné vybavenosti a </w:t>
      </w:r>
      <w:r w:rsidRPr="00111F34">
        <w:rPr>
          <w:rFonts w:cs="Arial"/>
          <w:szCs w:val="20"/>
        </w:rPr>
        <w:t xml:space="preserve">smíšených funkcí, dojde ke zlepšení mobility obyvatel a vybavení území dopravní a technickou infrastrukturou a zprostředkovaně i zlepšení a užitné hodnoty veřejných prostranství. </w:t>
      </w:r>
    </w:p>
    <w:p w14:paraId="43674444" w14:textId="522F0FFF" w:rsidR="007978A5" w:rsidRPr="00111F34" w:rsidRDefault="000A1007" w:rsidP="007978A5">
      <w:pPr>
        <w:rPr>
          <w:rFonts w:cs="Arial"/>
          <w:szCs w:val="20"/>
        </w:rPr>
      </w:pPr>
      <w:r w:rsidRPr="00111F34">
        <w:rPr>
          <w:rFonts w:cs="Arial"/>
          <w:szCs w:val="20"/>
        </w:rPr>
        <w:t xml:space="preserve">Dojde k </w:t>
      </w:r>
      <w:r w:rsidR="00165684" w:rsidRPr="00111F34">
        <w:rPr>
          <w:rFonts w:cs="Arial"/>
          <w:szCs w:val="20"/>
        </w:rPr>
        <w:t>vybavení území dopravní a technickou infrastrukturou</w:t>
      </w:r>
      <w:r w:rsidR="00FC6838" w:rsidRPr="00111F34">
        <w:rPr>
          <w:rFonts w:cs="Arial"/>
          <w:szCs w:val="20"/>
        </w:rPr>
        <w:t xml:space="preserve"> a zprostředkovaně i zlepšení a užitné hodnoty veřejných prostranství v širším území</w:t>
      </w:r>
      <w:r w:rsidRPr="00111F34">
        <w:rPr>
          <w:rFonts w:cs="Arial"/>
          <w:szCs w:val="20"/>
        </w:rPr>
        <w:t xml:space="preserve">, a to i v kontextu ostatních strategických rozhodnutí v souvisejícím území (např. </w:t>
      </w:r>
      <w:r w:rsidR="00CC458E" w:rsidRPr="00111F34">
        <w:rPr>
          <w:rFonts w:cs="Arial"/>
          <w:szCs w:val="20"/>
        </w:rPr>
        <w:t>dostavba SOKP</w:t>
      </w:r>
      <w:r w:rsidRPr="00111F34">
        <w:rPr>
          <w:rFonts w:cs="Arial"/>
          <w:szCs w:val="20"/>
        </w:rPr>
        <w:t>).</w:t>
      </w:r>
    </w:p>
    <w:p w14:paraId="6BB2B52C" w14:textId="77777777" w:rsidR="007978A5" w:rsidRPr="00111F34" w:rsidRDefault="007978A5" w:rsidP="00573303">
      <w:pPr>
        <w:pStyle w:val="Podnadpis1"/>
      </w:pPr>
      <w:r w:rsidRPr="00111F34">
        <w:t>Zaměstnanost</w:t>
      </w:r>
    </w:p>
    <w:p w14:paraId="020E6BD3" w14:textId="478DAEDD" w:rsidR="000A1007" w:rsidRPr="00111F34" w:rsidRDefault="000A1007" w:rsidP="000A1007">
      <w:pPr>
        <w:rPr>
          <w:rFonts w:cs="Arial"/>
          <w:szCs w:val="20"/>
        </w:rPr>
      </w:pPr>
      <w:r w:rsidRPr="00111F34">
        <w:rPr>
          <w:rFonts w:cs="Arial"/>
          <w:szCs w:val="20"/>
        </w:rPr>
        <w:t>Realizace územního plánu, s ohledem na zaměření a rozsah posuzované změny, nebude mít zásadní vliv na zaměstnanost s výjimkou zprostředkovaného vlivu přes možnosti zaměstnanosti generované budoucí zástavbou.</w:t>
      </w:r>
    </w:p>
    <w:p w14:paraId="642C12C0" w14:textId="77777777" w:rsidR="007978A5" w:rsidRPr="00111F34" w:rsidRDefault="007978A5" w:rsidP="00573303">
      <w:pPr>
        <w:pStyle w:val="Podnadpis1"/>
      </w:pPr>
      <w:r w:rsidRPr="00111F34">
        <w:t>Bezpečí</w:t>
      </w:r>
    </w:p>
    <w:p w14:paraId="09D842D8" w14:textId="4C3A22D3" w:rsidR="007978A5" w:rsidRPr="00111F34" w:rsidRDefault="007978A5" w:rsidP="007978A5">
      <w:pPr>
        <w:rPr>
          <w:rFonts w:cs="Arial"/>
          <w:szCs w:val="20"/>
        </w:rPr>
      </w:pPr>
      <w:r w:rsidRPr="00111F34">
        <w:rPr>
          <w:rFonts w:cs="Arial"/>
          <w:szCs w:val="20"/>
        </w:rPr>
        <w:t>Lze očekávat, že realizací územního plánu</w:t>
      </w:r>
      <w:r w:rsidR="00F52F94" w:rsidRPr="00111F34">
        <w:rPr>
          <w:rFonts w:cs="Arial"/>
          <w:szCs w:val="20"/>
        </w:rPr>
        <w:t>,</w:t>
      </w:r>
      <w:r w:rsidRPr="00111F34">
        <w:rPr>
          <w:rFonts w:cs="Arial"/>
          <w:szCs w:val="20"/>
        </w:rPr>
        <w:t xml:space="preserve"> resp. posuzované změny</w:t>
      </w:r>
      <w:r w:rsidR="00E709DE" w:rsidRPr="00111F34">
        <w:rPr>
          <w:rFonts w:cs="Arial"/>
          <w:szCs w:val="20"/>
        </w:rPr>
        <w:t>,</w:t>
      </w:r>
      <w:r w:rsidRPr="00111F34">
        <w:rPr>
          <w:rFonts w:cs="Arial"/>
          <w:szCs w:val="20"/>
        </w:rPr>
        <w:t xml:space="preserve"> dojde ke zvýšení pocitu bezpečí obyvatel</w:t>
      </w:r>
      <w:r w:rsidR="00165684" w:rsidRPr="00111F34">
        <w:rPr>
          <w:rFonts w:cs="Arial"/>
          <w:szCs w:val="20"/>
        </w:rPr>
        <w:t xml:space="preserve">, zejména z hlediska dopravy. </w:t>
      </w:r>
    </w:p>
    <w:p w14:paraId="1ACE97E2" w14:textId="77777777" w:rsidR="007978A5" w:rsidRPr="00111F34" w:rsidRDefault="007978A5" w:rsidP="00573303">
      <w:pPr>
        <w:pStyle w:val="Podnadpis1"/>
      </w:pPr>
      <w:r w:rsidRPr="00111F34">
        <w:t>Vzdělanost</w:t>
      </w:r>
    </w:p>
    <w:p w14:paraId="02A58755" w14:textId="43D99815" w:rsidR="007978A5" w:rsidRPr="00111F34" w:rsidRDefault="007978A5" w:rsidP="007978A5">
      <w:pPr>
        <w:rPr>
          <w:rFonts w:cs="Arial"/>
          <w:szCs w:val="20"/>
        </w:rPr>
      </w:pPr>
      <w:r w:rsidRPr="00111F34">
        <w:rPr>
          <w:rFonts w:cs="Arial"/>
          <w:szCs w:val="20"/>
        </w:rPr>
        <w:t>Posuzovan</w:t>
      </w:r>
      <w:r w:rsidR="00FC6838" w:rsidRPr="00111F34">
        <w:rPr>
          <w:rFonts w:cs="Arial"/>
          <w:szCs w:val="20"/>
        </w:rPr>
        <w:t xml:space="preserve">á ÚPD je </w:t>
      </w:r>
      <w:r w:rsidRPr="00111F34">
        <w:rPr>
          <w:rFonts w:cs="Arial"/>
          <w:szCs w:val="20"/>
        </w:rPr>
        <w:t xml:space="preserve">pro úroveň vzdělanosti a její dopad na zdraví </w:t>
      </w:r>
      <w:r w:rsidR="005607CA" w:rsidRPr="00111F34">
        <w:rPr>
          <w:rFonts w:cs="Arial"/>
          <w:szCs w:val="20"/>
        </w:rPr>
        <w:t>přímo pozitivní</w:t>
      </w:r>
      <w:r w:rsidR="000A1007" w:rsidRPr="00111F34">
        <w:rPr>
          <w:rFonts w:cs="Arial"/>
          <w:szCs w:val="20"/>
        </w:rPr>
        <w:t>, zprostředkovaně přispěje ke zvýšení kapacity mateřských a základních škol díky vytvoření územních předpokladů pro jejich umístění v řešených plochách</w:t>
      </w:r>
      <w:r w:rsidR="005417B7" w:rsidRPr="00111F34">
        <w:rPr>
          <w:rFonts w:cs="Arial"/>
          <w:szCs w:val="20"/>
        </w:rPr>
        <w:t>.</w:t>
      </w:r>
    </w:p>
    <w:p w14:paraId="5F17629F" w14:textId="1F68CE8D" w:rsidR="00794578" w:rsidRPr="00111F34" w:rsidRDefault="00794578" w:rsidP="00BA72D5">
      <w:pPr>
        <w:pStyle w:val="Tabulkanzev"/>
      </w:pPr>
      <w:bookmarkStart w:id="287" w:name="_Toc387931271"/>
      <w:bookmarkStart w:id="288" w:name="_Toc531548292"/>
      <w:bookmarkStart w:id="289" w:name="_Toc29298560"/>
      <w:bookmarkStart w:id="290" w:name="_Toc138848176"/>
      <w:r w:rsidRPr="00111F34">
        <w:t xml:space="preserve">Vztah zdravotních determinant a </w:t>
      </w:r>
      <w:bookmarkEnd w:id="287"/>
      <w:bookmarkEnd w:id="288"/>
      <w:r w:rsidR="00E02AEE" w:rsidRPr="00111F34">
        <w:t>předkládané ÚPD</w:t>
      </w:r>
      <w:bookmarkEnd w:id="289"/>
      <w:bookmarkEnd w:id="290"/>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92"/>
        <w:gridCol w:w="3199"/>
        <w:gridCol w:w="3490"/>
      </w:tblGrid>
      <w:tr w:rsidR="008160EF" w:rsidRPr="00111F34" w14:paraId="3035721F" w14:textId="77777777" w:rsidTr="00822ED1">
        <w:trPr>
          <w:tblHeader/>
        </w:trPr>
        <w:tc>
          <w:tcPr>
            <w:tcW w:w="3092" w:type="dxa"/>
            <w:shd w:val="clear" w:color="auto" w:fill="595959" w:themeFill="text1" w:themeFillTint="A6"/>
            <w:vAlign w:val="center"/>
          </w:tcPr>
          <w:p w14:paraId="78D3E517" w14:textId="77777777" w:rsidR="003B11EA" w:rsidRPr="00111F34" w:rsidRDefault="003B11EA" w:rsidP="000B4E10">
            <w:pPr>
              <w:pStyle w:val="Tabulkatext"/>
              <w:rPr>
                <w:b/>
                <w:color w:val="FFFFFF" w:themeColor="background1"/>
              </w:rPr>
            </w:pPr>
            <w:r w:rsidRPr="00111F34">
              <w:rPr>
                <w:b/>
                <w:color w:val="FFFFFF" w:themeColor="background1"/>
              </w:rPr>
              <w:t xml:space="preserve">Zdravotní determinanty </w:t>
            </w:r>
          </w:p>
        </w:tc>
        <w:tc>
          <w:tcPr>
            <w:tcW w:w="3199" w:type="dxa"/>
            <w:shd w:val="clear" w:color="auto" w:fill="595959" w:themeFill="text1" w:themeFillTint="A6"/>
            <w:vAlign w:val="center"/>
          </w:tcPr>
          <w:p w14:paraId="74089684" w14:textId="77777777" w:rsidR="003B11EA" w:rsidRPr="00111F34" w:rsidRDefault="003B11EA" w:rsidP="000B4E10">
            <w:pPr>
              <w:pStyle w:val="Tabulkatext"/>
              <w:rPr>
                <w:b/>
                <w:color w:val="FFFFFF" w:themeColor="background1"/>
              </w:rPr>
            </w:pPr>
            <w:r w:rsidRPr="00111F34">
              <w:rPr>
                <w:b/>
                <w:color w:val="FFFFFF" w:themeColor="background1"/>
              </w:rPr>
              <w:t>Opatření s možným negativním vlivem na danou determinantu</w:t>
            </w:r>
          </w:p>
        </w:tc>
        <w:tc>
          <w:tcPr>
            <w:tcW w:w="3490" w:type="dxa"/>
            <w:shd w:val="clear" w:color="auto" w:fill="595959" w:themeFill="text1" w:themeFillTint="A6"/>
            <w:vAlign w:val="center"/>
          </w:tcPr>
          <w:p w14:paraId="08834D34" w14:textId="368CF8E9" w:rsidR="003B11EA" w:rsidRPr="00111F34" w:rsidRDefault="003B11EA" w:rsidP="000B4E10">
            <w:pPr>
              <w:pStyle w:val="Tabulkatext"/>
              <w:rPr>
                <w:b/>
                <w:color w:val="FFFFFF" w:themeColor="background1"/>
              </w:rPr>
            </w:pPr>
            <w:r w:rsidRPr="00111F34">
              <w:rPr>
                <w:b/>
                <w:color w:val="FFFFFF" w:themeColor="background1"/>
              </w:rPr>
              <w:t>Opatření s možným pozitivním vlivem na danou determinantu</w:t>
            </w:r>
          </w:p>
        </w:tc>
      </w:tr>
      <w:tr w:rsidR="003B11EA" w:rsidRPr="00111F34" w14:paraId="1634657D" w14:textId="77777777" w:rsidTr="00822ED1">
        <w:tc>
          <w:tcPr>
            <w:tcW w:w="3092" w:type="dxa"/>
            <w:shd w:val="clear" w:color="auto" w:fill="auto"/>
            <w:vAlign w:val="center"/>
          </w:tcPr>
          <w:p w14:paraId="0D67EBE0" w14:textId="77777777" w:rsidR="003B11EA" w:rsidRPr="00111F34" w:rsidRDefault="003B11EA" w:rsidP="000B4E10">
            <w:pPr>
              <w:pStyle w:val="Tabulkatext"/>
            </w:pPr>
            <w:r w:rsidRPr="00111F34">
              <w:t>faktory životního prostředí, zejména kvalita ovzduší, hluk, toxické látky v prostředí;</w:t>
            </w:r>
          </w:p>
        </w:tc>
        <w:tc>
          <w:tcPr>
            <w:tcW w:w="3199" w:type="dxa"/>
            <w:shd w:val="clear" w:color="auto" w:fill="auto"/>
            <w:vAlign w:val="center"/>
          </w:tcPr>
          <w:p w14:paraId="7016123D" w14:textId="1786BDAC" w:rsidR="00165684" w:rsidRPr="00111F34" w:rsidRDefault="00165684" w:rsidP="005F6ED1">
            <w:pPr>
              <w:pStyle w:val="Tabulkatext"/>
            </w:pPr>
            <w:r w:rsidRPr="00111F34">
              <w:t xml:space="preserve">potenciál výstavby </w:t>
            </w:r>
            <w:r w:rsidR="005F6ED1" w:rsidRPr="00111F34">
              <w:t xml:space="preserve">nových zdrojů </w:t>
            </w:r>
            <w:r w:rsidR="000A1007" w:rsidRPr="00111F34">
              <w:t>vyvolané dopravy a hlukově chráněných prostor</w:t>
            </w:r>
            <w:r w:rsidRPr="00111F34">
              <w:t xml:space="preserve"> v území </w:t>
            </w:r>
            <w:r w:rsidR="009D6878" w:rsidRPr="00111F34">
              <w:t xml:space="preserve">nadlimitně zatíženém hlukem </w:t>
            </w:r>
          </w:p>
        </w:tc>
        <w:tc>
          <w:tcPr>
            <w:tcW w:w="3490" w:type="dxa"/>
            <w:shd w:val="clear" w:color="auto" w:fill="auto"/>
            <w:vAlign w:val="center"/>
          </w:tcPr>
          <w:p w14:paraId="78726730" w14:textId="441C6943" w:rsidR="000A1007" w:rsidRPr="00111F34" w:rsidRDefault="000A1007" w:rsidP="009D6878">
            <w:pPr>
              <w:pStyle w:val="Tabulkatext"/>
            </w:pPr>
            <w:r w:rsidRPr="00111F34">
              <w:t>Vytvořeny územní předpoklady pro vznik bariérové zástavby a stabilizaci ploch zeleně v řešeném území</w:t>
            </w:r>
            <w:r w:rsidR="00574A31" w:rsidRPr="00111F34">
              <w:t>.</w:t>
            </w:r>
          </w:p>
          <w:p w14:paraId="767233A6" w14:textId="10FF0B0E" w:rsidR="003B11EA" w:rsidRPr="00111F34" w:rsidRDefault="000A4AA0" w:rsidP="009D6878">
            <w:pPr>
              <w:pStyle w:val="Tabulkatext"/>
            </w:pPr>
            <w:r w:rsidRPr="00111F34">
              <w:t xml:space="preserve">V souvisejícím území </w:t>
            </w:r>
            <w:r w:rsidR="005F6ED1" w:rsidRPr="00111F34">
              <w:t xml:space="preserve">přerozdělení dopravních zátěží ve prospěch </w:t>
            </w:r>
            <w:r w:rsidR="00CC458E" w:rsidRPr="00111F34">
              <w:t>kapacitní bezemisní VHD</w:t>
            </w:r>
            <w:r w:rsidR="005F6ED1" w:rsidRPr="00111F34">
              <w:t xml:space="preserve">, zklidnění </w:t>
            </w:r>
            <w:r w:rsidR="00CC458E" w:rsidRPr="00111F34">
              <w:t>ulice Kamýcká v její západní části</w:t>
            </w:r>
            <w:r w:rsidR="00903B1D" w:rsidRPr="00111F34">
              <w:t xml:space="preserve">, </w:t>
            </w:r>
            <w:r w:rsidR="00CC458E" w:rsidRPr="00111F34">
              <w:t xml:space="preserve">vazba na </w:t>
            </w:r>
            <w:r w:rsidR="00903B1D" w:rsidRPr="00111F34">
              <w:t>vybudování</w:t>
            </w:r>
            <w:r w:rsidR="005F6ED1" w:rsidRPr="00111F34">
              <w:t xml:space="preserve"> nadřazené dopravní infrastruktury</w:t>
            </w:r>
            <w:r w:rsidR="00CC458E" w:rsidRPr="00111F34">
              <w:t xml:space="preserve"> a její optimalizace</w:t>
            </w:r>
            <w:r w:rsidR="005F6ED1" w:rsidRPr="00111F34">
              <w:t>, stabilizace dopravního řešení v dlouhodobém horizontu</w:t>
            </w:r>
            <w:r w:rsidRPr="00111F34">
              <w:t xml:space="preserve"> v důsledku ostatních strategických rozhodnutí</w:t>
            </w:r>
            <w:r w:rsidR="00574A31" w:rsidRPr="00111F34">
              <w:t>.</w:t>
            </w:r>
          </w:p>
        </w:tc>
      </w:tr>
      <w:tr w:rsidR="005D5AEB" w:rsidRPr="00111F34" w14:paraId="0511269D" w14:textId="77777777" w:rsidTr="00B34C98">
        <w:tc>
          <w:tcPr>
            <w:tcW w:w="3092" w:type="dxa"/>
            <w:shd w:val="clear" w:color="auto" w:fill="auto"/>
            <w:vAlign w:val="center"/>
          </w:tcPr>
          <w:p w14:paraId="73261B63" w14:textId="77777777" w:rsidR="005D5AEB" w:rsidRPr="00111F34" w:rsidRDefault="005D5AEB" w:rsidP="005D5AEB">
            <w:pPr>
              <w:pStyle w:val="Tabulkatext"/>
            </w:pPr>
            <w:r w:rsidRPr="00111F34">
              <w:t>zaměstnanost;</w:t>
            </w:r>
          </w:p>
        </w:tc>
        <w:tc>
          <w:tcPr>
            <w:tcW w:w="3199" w:type="dxa"/>
            <w:shd w:val="clear" w:color="auto" w:fill="auto"/>
          </w:tcPr>
          <w:p w14:paraId="17F5A0E6" w14:textId="30FC73E8" w:rsidR="005D5AEB" w:rsidRPr="00111F34" w:rsidRDefault="005D5AEB" w:rsidP="005D5AEB">
            <w:pPr>
              <w:pStyle w:val="Tabulkatext"/>
            </w:pPr>
            <w:r w:rsidRPr="00111F34">
              <w:t>bez vlivu</w:t>
            </w:r>
          </w:p>
        </w:tc>
        <w:tc>
          <w:tcPr>
            <w:tcW w:w="3490" w:type="dxa"/>
            <w:shd w:val="clear" w:color="auto" w:fill="auto"/>
            <w:vAlign w:val="center"/>
          </w:tcPr>
          <w:p w14:paraId="452A5BD0" w14:textId="34949B73" w:rsidR="005D5AEB" w:rsidRPr="00111F34" w:rsidRDefault="005D5AEB" w:rsidP="005D5AEB">
            <w:pPr>
              <w:pStyle w:val="Tabulkatext"/>
            </w:pPr>
            <w:r w:rsidRPr="00111F34">
              <w:t xml:space="preserve">Vytvoření územních předpokladů pro </w:t>
            </w:r>
            <w:r w:rsidR="00CC458E" w:rsidRPr="00111F34">
              <w:t xml:space="preserve">rezidenční a </w:t>
            </w:r>
            <w:r w:rsidRPr="00111F34">
              <w:t>smíšenou zástavbu s potenciálem pracovních příležitostí zejména v</w:t>
            </w:r>
            <w:r w:rsidR="00574A31" w:rsidRPr="00111F34">
              <w:t> </w:t>
            </w:r>
            <w:r w:rsidRPr="00111F34">
              <w:t>terciéru</w:t>
            </w:r>
            <w:r w:rsidR="00574A31" w:rsidRPr="00111F34">
              <w:t>.</w:t>
            </w:r>
          </w:p>
        </w:tc>
      </w:tr>
      <w:tr w:rsidR="005D5AEB" w:rsidRPr="00111F34" w14:paraId="5587D674" w14:textId="77777777" w:rsidTr="00B34C98">
        <w:tc>
          <w:tcPr>
            <w:tcW w:w="3092" w:type="dxa"/>
            <w:shd w:val="clear" w:color="auto" w:fill="auto"/>
            <w:vAlign w:val="center"/>
          </w:tcPr>
          <w:p w14:paraId="7E0305A9" w14:textId="77777777" w:rsidR="005D5AEB" w:rsidRPr="00111F34" w:rsidRDefault="005D5AEB" w:rsidP="005D5AEB">
            <w:pPr>
              <w:pStyle w:val="Tabulkatext"/>
            </w:pPr>
            <w:r w:rsidRPr="00111F34">
              <w:t>vzdělanost;</w:t>
            </w:r>
          </w:p>
        </w:tc>
        <w:tc>
          <w:tcPr>
            <w:tcW w:w="3199" w:type="dxa"/>
            <w:shd w:val="clear" w:color="auto" w:fill="auto"/>
          </w:tcPr>
          <w:p w14:paraId="54FD202D" w14:textId="5FF74F3D" w:rsidR="005D5AEB" w:rsidRPr="00111F34" w:rsidRDefault="005D5AEB" w:rsidP="005D5AEB">
            <w:pPr>
              <w:pStyle w:val="Tabulkatext"/>
            </w:pPr>
            <w:r w:rsidRPr="00111F34">
              <w:t>bez vlivu</w:t>
            </w:r>
          </w:p>
        </w:tc>
        <w:tc>
          <w:tcPr>
            <w:tcW w:w="3490" w:type="dxa"/>
            <w:shd w:val="clear" w:color="auto" w:fill="auto"/>
            <w:vAlign w:val="center"/>
          </w:tcPr>
          <w:p w14:paraId="0DC83AE3" w14:textId="0ACF01DE" w:rsidR="005D5AEB" w:rsidRPr="00111F34" w:rsidRDefault="005D5AEB" w:rsidP="005D5AEB">
            <w:pPr>
              <w:pStyle w:val="Tabulkatext"/>
            </w:pPr>
            <w:r w:rsidRPr="00111F34">
              <w:t>Vytvoření územních předpokladů pro umístění základní</w:t>
            </w:r>
            <w:r w:rsidR="00574A31" w:rsidRPr="00111F34">
              <w:t>ch</w:t>
            </w:r>
            <w:r w:rsidRPr="00111F34">
              <w:t xml:space="preserve"> a mateřsk</w:t>
            </w:r>
            <w:r w:rsidR="00574A31" w:rsidRPr="00111F34">
              <w:t>ých</w:t>
            </w:r>
            <w:r w:rsidRPr="00111F34">
              <w:t xml:space="preserve"> škol</w:t>
            </w:r>
            <w:r w:rsidR="00574A31" w:rsidRPr="00111F34">
              <w:t>.</w:t>
            </w:r>
          </w:p>
        </w:tc>
      </w:tr>
      <w:tr w:rsidR="003B11EA" w:rsidRPr="00111F34" w14:paraId="37FCA213" w14:textId="77777777" w:rsidTr="00822ED1">
        <w:tc>
          <w:tcPr>
            <w:tcW w:w="3092" w:type="dxa"/>
            <w:shd w:val="clear" w:color="auto" w:fill="auto"/>
            <w:vAlign w:val="center"/>
          </w:tcPr>
          <w:p w14:paraId="573AFEA0" w14:textId="77777777" w:rsidR="003B11EA" w:rsidRPr="00111F34" w:rsidRDefault="003B11EA" w:rsidP="000B4E10">
            <w:pPr>
              <w:pStyle w:val="Tabulkatext"/>
            </w:pPr>
            <w:r w:rsidRPr="00111F34">
              <w:t>zdravé využití volného času;</w:t>
            </w:r>
          </w:p>
        </w:tc>
        <w:tc>
          <w:tcPr>
            <w:tcW w:w="3199" w:type="dxa"/>
            <w:shd w:val="clear" w:color="auto" w:fill="auto"/>
            <w:vAlign w:val="center"/>
          </w:tcPr>
          <w:p w14:paraId="0D471BD7" w14:textId="002173D1" w:rsidR="003B11EA" w:rsidRPr="00111F34" w:rsidRDefault="003B11EA" w:rsidP="005F6ED1">
            <w:pPr>
              <w:pStyle w:val="Tabulkatext"/>
            </w:pPr>
            <w:r w:rsidRPr="00111F34">
              <w:t>zásah do ploch zeleně</w:t>
            </w:r>
          </w:p>
        </w:tc>
        <w:tc>
          <w:tcPr>
            <w:tcW w:w="3490" w:type="dxa"/>
            <w:shd w:val="clear" w:color="auto" w:fill="auto"/>
            <w:vAlign w:val="center"/>
          </w:tcPr>
          <w:p w14:paraId="78D754D4" w14:textId="31F2AE4D" w:rsidR="005F6ED1" w:rsidRPr="00111F34" w:rsidRDefault="000A4AA0" w:rsidP="005F6ED1">
            <w:pPr>
              <w:pStyle w:val="Tabulkatext"/>
            </w:pPr>
            <w:r w:rsidRPr="00111F34">
              <w:t>Vytvoření územních předpokladů pro realizaci</w:t>
            </w:r>
            <w:r w:rsidR="003B11EA" w:rsidRPr="00111F34">
              <w:t xml:space="preserve"> ploch veřejně přístupné zeleně</w:t>
            </w:r>
            <w:r w:rsidR="005417B7" w:rsidRPr="00111F34">
              <w:t>, zlepšení prostupnosti území</w:t>
            </w:r>
            <w:r w:rsidR="00CC458E" w:rsidRPr="00111F34">
              <w:t xml:space="preserve"> a možností zdravého trávení volného času</w:t>
            </w:r>
            <w:r w:rsidR="00165684" w:rsidRPr="00111F34">
              <w:t xml:space="preserve">, </w:t>
            </w:r>
          </w:p>
          <w:p w14:paraId="7C03C72A" w14:textId="2357D827" w:rsidR="00165684" w:rsidRPr="00111F34" w:rsidRDefault="00AE7A7D" w:rsidP="009D6878">
            <w:pPr>
              <w:pStyle w:val="Tabulkatext"/>
            </w:pPr>
            <w:r w:rsidRPr="00111F34">
              <w:t>vytvoření předpokladů pro umístění cyklostezky a veřejných prostranství</w:t>
            </w:r>
            <w:r w:rsidR="00574A31" w:rsidRPr="00111F34">
              <w:t>.</w:t>
            </w:r>
          </w:p>
        </w:tc>
      </w:tr>
      <w:tr w:rsidR="005D5AEB" w:rsidRPr="00111F34" w14:paraId="19D56561" w14:textId="77777777" w:rsidTr="00B34C98">
        <w:tc>
          <w:tcPr>
            <w:tcW w:w="3092" w:type="dxa"/>
            <w:shd w:val="clear" w:color="auto" w:fill="auto"/>
            <w:vAlign w:val="center"/>
          </w:tcPr>
          <w:p w14:paraId="71E28AA4" w14:textId="77DE34FC" w:rsidR="005D5AEB" w:rsidRPr="00111F34" w:rsidRDefault="005D5AEB" w:rsidP="005D5AEB">
            <w:pPr>
              <w:pStyle w:val="Tabulkatext"/>
            </w:pPr>
            <w:r w:rsidRPr="00111F34">
              <w:t>úroveň a dostupnost zdravotních a sociálních služeb;</w:t>
            </w:r>
          </w:p>
        </w:tc>
        <w:tc>
          <w:tcPr>
            <w:tcW w:w="3199" w:type="dxa"/>
            <w:shd w:val="clear" w:color="auto" w:fill="auto"/>
          </w:tcPr>
          <w:p w14:paraId="1AEDAA52" w14:textId="05656409" w:rsidR="005D5AEB" w:rsidRPr="00111F34" w:rsidRDefault="005D5AEB" w:rsidP="005D5AEB">
            <w:pPr>
              <w:pStyle w:val="Tabulkatext"/>
            </w:pPr>
            <w:r w:rsidRPr="00111F34">
              <w:t>bez vlivu</w:t>
            </w:r>
          </w:p>
        </w:tc>
        <w:tc>
          <w:tcPr>
            <w:tcW w:w="3490" w:type="dxa"/>
            <w:shd w:val="clear" w:color="auto" w:fill="auto"/>
          </w:tcPr>
          <w:p w14:paraId="2AABBF44" w14:textId="72DDEA3A" w:rsidR="005D5AEB" w:rsidRPr="00111F34" w:rsidRDefault="005D5AEB" w:rsidP="005D5AEB">
            <w:pPr>
              <w:pStyle w:val="Tabulkatext"/>
            </w:pPr>
            <w:r w:rsidRPr="00111F34">
              <w:t xml:space="preserve">bez </w:t>
            </w:r>
            <w:r w:rsidR="00CC458E" w:rsidRPr="00111F34">
              <w:t xml:space="preserve">přímého </w:t>
            </w:r>
            <w:r w:rsidRPr="00111F34">
              <w:t>vlivu</w:t>
            </w:r>
          </w:p>
        </w:tc>
      </w:tr>
      <w:tr w:rsidR="00AE7A7D" w:rsidRPr="00111F34" w14:paraId="455EAAF5" w14:textId="77777777" w:rsidTr="00B34C98">
        <w:tc>
          <w:tcPr>
            <w:tcW w:w="3092" w:type="dxa"/>
            <w:shd w:val="clear" w:color="auto" w:fill="auto"/>
            <w:vAlign w:val="center"/>
          </w:tcPr>
          <w:p w14:paraId="1BD09C47" w14:textId="3364C25C" w:rsidR="00AE7A7D" w:rsidRPr="00111F34" w:rsidRDefault="00AE7A7D" w:rsidP="00AE7A7D">
            <w:pPr>
              <w:pStyle w:val="Tabulkatext"/>
            </w:pPr>
            <w:r w:rsidRPr="00111F34">
              <w:t>dostupnost a kvalita bydlení</w:t>
            </w:r>
          </w:p>
        </w:tc>
        <w:tc>
          <w:tcPr>
            <w:tcW w:w="3199" w:type="dxa"/>
            <w:shd w:val="clear" w:color="auto" w:fill="auto"/>
            <w:vAlign w:val="center"/>
          </w:tcPr>
          <w:p w14:paraId="2D0808D1" w14:textId="3B810DC0" w:rsidR="00AE7A7D" w:rsidRPr="00111F34" w:rsidRDefault="00AE7A7D" w:rsidP="00AE7A7D">
            <w:pPr>
              <w:pStyle w:val="Tabulkatext"/>
            </w:pPr>
            <w:r w:rsidRPr="00111F34">
              <w:t>bez vlivu</w:t>
            </w:r>
          </w:p>
        </w:tc>
        <w:tc>
          <w:tcPr>
            <w:tcW w:w="3490" w:type="dxa"/>
            <w:shd w:val="clear" w:color="auto" w:fill="auto"/>
            <w:vAlign w:val="center"/>
          </w:tcPr>
          <w:p w14:paraId="213B2667" w14:textId="7C0C0F41" w:rsidR="00AE7A7D" w:rsidRPr="00111F34" w:rsidRDefault="000A4AA0" w:rsidP="00AE7A7D">
            <w:pPr>
              <w:pStyle w:val="Tabulkatext"/>
            </w:pPr>
            <w:r w:rsidRPr="00111F34">
              <w:t>Z</w:t>
            </w:r>
            <w:r w:rsidR="00AE7A7D" w:rsidRPr="00111F34">
              <w:t>výšení nabídky bydlení</w:t>
            </w:r>
            <w:r w:rsidR="00574A31" w:rsidRPr="00111F34">
              <w:t>.</w:t>
            </w:r>
          </w:p>
          <w:p w14:paraId="2F5B8D69" w14:textId="75B22E91" w:rsidR="00CC458E" w:rsidRPr="00111F34" w:rsidRDefault="00CC458E" w:rsidP="00AE7A7D">
            <w:pPr>
              <w:pStyle w:val="Tabulkatext"/>
            </w:pPr>
            <w:r w:rsidRPr="00111F34">
              <w:t>Zlepšení</w:t>
            </w:r>
            <w:r w:rsidR="000A4AA0" w:rsidRPr="00111F34">
              <w:t xml:space="preserve"> </w:t>
            </w:r>
            <w:r w:rsidR="00AE7A7D" w:rsidRPr="00111F34">
              <w:t>dopravní dostupnost</w:t>
            </w:r>
            <w:r w:rsidRPr="00111F34">
              <w:t>i území</w:t>
            </w:r>
            <w:r w:rsidR="00574A31" w:rsidRPr="00111F34">
              <w:t>.</w:t>
            </w:r>
            <w:r w:rsidRPr="00111F34">
              <w:t xml:space="preserve"> </w:t>
            </w:r>
          </w:p>
          <w:p w14:paraId="2846F62B" w14:textId="4FB1578D" w:rsidR="00AE7A7D" w:rsidRPr="00111F34" w:rsidRDefault="00CC458E" w:rsidP="00AE7A7D">
            <w:pPr>
              <w:pStyle w:val="Tabulkatext"/>
            </w:pPr>
            <w:r w:rsidRPr="00111F34">
              <w:t>Transformace brownfields</w:t>
            </w:r>
            <w:r w:rsidR="00574A31" w:rsidRPr="00111F34">
              <w:t>.</w:t>
            </w:r>
            <w:r w:rsidR="00AE7A7D" w:rsidRPr="00111F34">
              <w:t xml:space="preserve"> </w:t>
            </w:r>
          </w:p>
        </w:tc>
      </w:tr>
      <w:tr w:rsidR="00AE7A7D" w:rsidRPr="00111F34" w14:paraId="4309F6F5" w14:textId="77777777" w:rsidTr="00822ED1">
        <w:trPr>
          <w:trHeight w:val="70"/>
        </w:trPr>
        <w:tc>
          <w:tcPr>
            <w:tcW w:w="3092" w:type="dxa"/>
            <w:shd w:val="clear" w:color="auto" w:fill="auto"/>
            <w:vAlign w:val="center"/>
          </w:tcPr>
          <w:p w14:paraId="2A9EED44" w14:textId="77777777" w:rsidR="00AE7A7D" w:rsidRPr="00111F34" w:rsidRDefault="00AE7A7D" w:rsidP="00AE7A7D">
            <w:pPr>
              <w:pStyle w:val="Tabulkatext"/>
            </w:pPr>
            <w:r w:rsidRPr="00111F34">
              <w:lastRenderedPageBreak/>
              <w:t>bezpečnost (od bezpečnosti dopravy, po např. kvalitní bezpečné stavební materiály).</w:t>
            </w:r>
          </w:p>
        </w:tc>
        <w:tc>
          <w:tcPr>
            <w:tcW w:w="3199" w:type="dxa"/>
            <w:shd w:val="clear" w:color="auto" w:fill="auto"/>
            <w:vAlign w:val="center"/>
          </w:tcPr>
          <w:p w14:paraId="2E0117EE" w14:textId="3633CB50" w:rsidR="00AE7A7D" w:rsidRPr="00111F34" w:rsidRDefault="00AE7A7D" w:rsidP="00AE7A7D">
            <w:pPr>
              <w:pStyle w:val="Tabulkatext"/>
            </w:pPr>
            <w:r w:rsidRPr="00111F34">
              <w:t>bez vlivu</w:t>
            </w:r>
          </w:p>
        </w:tc>
        <w:tc>
          <w:tcPr>
            <w:tcW w:w="3490" w:type="dxa"/>
            <w:shd w:val="clear" w:color="auto" w:fill="auto"/>
            <w:vAlign w:val="center"/>
          </w:tcPr>
          <w:p w14:paraId="4A243F74" w14:textId="6178A532" w:rsidR="00AE7A7D" w:rsidRPr="00111F34" w:rsidRDefault="000A4AA0" w:rsidP="00AE7A7D">
            <w:pPr>
              <w:pStyle w:val="Tabulkatext"/>
            </w:pPr>
            <w:r w:rsidRPr="00111F34">
              <w:t>Z</w:t>
            </w:r>
            <w:r w:rsidR="00AE7A7D" w:rsidRPr="00111F34">
              <w:t>lepšení bezpečnosti dopravy</w:t>
            </w:r>
            <w:r w:rsidR="00574A31" w:rsidRPr="00111F34">
              <w:t>.</w:t>
            </w:r>
          </w:p>
          <w:p w14:paraId="028AE4FD" w14:textId="6C665B5C" w:rsidR="00CC458E" w:rsidRPr="00111F34" w:rsidRDefault="00CC458E" w:rsidP="00AE7A7D">
            <w:pPr>
              <w:pStyle w:val="Tabulkatext"/>
            </w:pPr>
            <w:r w:rsidRPr="00111F34">
              <w:t>Transformace brownfields</w:t>
            </w:r>
            <w:r w:rsidR="00574A31" w:rsidRPr="00111F34">
              <w:t>.</w:t>
            </w:r>
          </w:p>
          <w:p w14:paraId="7AFFD136" w14:textId="776303E2" w:rsidR="00AE7A7D" w:rsidRPr="00111F34" w:rsidRDefault="00AE7A7D" w:rsidP="00AE7A7D">
            <w:pPr>
              <w:pStyle w:val="Tabulkatext"/>
            </w:pPr>
          </w:p>
        </w:tc>
      </w:tr>
    </w:tbl>
    <w:p w14:paraId="011E2B4E" w14:textId="2DCBBD5A" w:rsidR="00945491" w:rsidRPr="00111F34" w:rsidRDefault="000A4AA0" w:rsidP="00945491">
      <w:r w:rsidRPr="00111F34">
        <w:t>Změna dává rámec pro umístění</w:t>
      </w:r>
      <w:r w:rsidR="00CC458E" w:rsidRPr="00111F34">
        <w:t xml:space="preserve"> nových zdrojů hluku, resp.</w:t>
      </w:r>
      <w:r w:rsidRPr="00111F34">
        <w:t xml:space="preserve"> hlukově chráněných prostor do hlukově zatíženého území</w:t>
      </w:r>
      <w:r w:rsidR="00945491" w:rsidRPr="00111F34">
        <w:t>, vždy však platí, že stavby umisťované v území nesmí zhoršit stávající hlukovou situaci nad úroveň hygienických limitů. To je třeba prokázat v navazujících řízeních. Z hlediska krajinného rázu</w:t>
      </w:r>
      <w:r w:rsidR="00E709DE" w:rsidRPr="00111F34">
        <w:t>.</w:t>
      </w:r>
      <w:r w:rsidR="00945491" w:rsidRPr="00111F34">
        <w:t xml:space="preserve"> resp. urbánního rázu, lze předpokládat ucelení urbanistického obrazu, odpovídajícího významu tohoto prostoru a jeho poloze v rámci města. </w:t>
      </w:r>
      <w:r w:rsidR="005D5AEB" w:rsidRPr="00111F34">
        <w:rPr>
          <w:rFonts w:cs="Arial"/>
          <w:szCs w:val="16"/>
        </w:rPr>
        <w:t>V souvislosti s</w:t>
      </w:r>
      <w:r w:rsidR="00CC458E" w:rsidRPr="00111F34">
        <w:rPr>
          <w:rFonts w:cs="Arial"/>
          <w:szCs w:val="16"/>
        </w:rPr>
        <w:t> dostavbou SOKP</w:t>
      </w:r>
      <w:r w:rsidR="00945491" w:rsidRPr="00111F34">
        <w:rPr>
          <w:rFonts w:cs="Arial"/>
          <w:szCs w:val="16"/>
        </w:rPr>
        <w:t xml:space="preserve"> </w:t>
      </w:r>
      <w:r w:rsidR="00CC458E" w:rsidRPr="00111F34">
        <w:rPr>
          <w:rFonts w:cs="Arial"/>
          <w:szCs w:val="16"/>
        </w:rPr>
        <w:t>zlepšení dopravní obsluhy území, spolu s vytvořením nových kapacitních tras bezemisní VHD a vytvoření územních předpokladů pro řešení vzájemných návazností dopravy a kapacit parkování na okraji metropole</w:t>
      </w:r>
      <w:r w:rsidR="00945491" w:rsidRPr="00111F34">
        <w:rPr>
          <w:rFonts w:cs="Arial"/>
        </w:rPr>
        <w:t xml:space="preserve">. Navržené řešení přinese oblasti </w:t>
      </w:r>
      <w:r w:rsidR="00CC458E" w:rsidRPr="00111F34">
        <w:rPr>
          <w:rFonts w:cs="Arial"/>
        </w:rPr>
        <w:t>Sedlce a Výhledů</w:t>
      </w:r>
      <w:r w:rsidR="00945491" w:rsidRPr="00111F34">
        <w:rPr>
          <w:rFonts w:cs="Arial"/>
        </w:rPr>
        <w:t xml:space="preserve"> </w:t>
      </w:r>
      <w:r w:rsidR="005D5AEB" w:rsidRPr="00111F34">
        <w:rPr>
          <w:rFonts w:cs="Arial"/>
        </w:rPr>
        <w:t xml:space="preserve">ucelení urbanistické koncepce, zvýšení nabídky bydlení i občanské a komerční vybavenosti, </w:t>
      </w:r>
      <w:r w:rsidR="00945491" w:rsidRPr="00111F34">
        <w:rPr>
          <w:rFonts w:cs="Arial"/>
        </w:rPr>
        <w:t>zlepšení provozní situace vůči současnému stavu a zmírnění negativních vlivů automobilové dopravy.</w:t>
      </w:r>
    </w:p>
    <w:p w14:paraId="7D700FB2" w14:textId="599FF877" w:rsidR="00945491" w:rsidRPr="00111F34" w:rsidRDefault="00945491" w:rsidP="00945491">
      <w:r w:rsidRPr="00111F34">
        <w:t>Podstatné nové negativní ovlivnění obyvatel se vzhledem k již existujícímu výraznému impaktu</w:t>
      </w:r>
      <w:r w:rsidR="00E709DE" w:rsidRPr="00111F34">
        <w:t>,</w:t>
      </w:r>
      <w:r w:rsidRPr="00111F34">
        <w:t xml:space="preserve"> především hlukovému zatížení území z automobilové dopravy</w:t>
      </w:r>
      <w:r w:rsidR="00E709DE" w:rsidRPr="00111F34">
        <w:t>,</w:t>
      </w:r>
      <w:r w:rsidRPr="00111F34">
        <w:t xml:space="preserve"> nepředpokládá.</w:t>
      </w:r>
    </w:p>
    <w:p w14:paraId="53157906" w14:textId="461716EF" w:rsidR="003B11EA" w:rsidRPr="00111F34" w:rsidRDefault="00950FC8" w:rsidP="003B11EA">
      <w:r w:rsidRPr="00111F34">
        <w:t>V</w:t>
      </w:r>
      <w:r w:rsidR="003B11EA" w:rsidRPr="00111F34">
        <w:t xml:space="preserve"> rámci další </w:t>
      </w:r>
      <w:r w:rsidRPr="00111F34">
        <w:t xml:space="preserve">fáze </w:t>
      </w:r>
      <w:r w:rsidR="003B11EA" w:rsidRPr="00111F34">
        <w:t>projektové přípravy staveb je třeba prokázat, že nedojde ke zvýšení hlukové zátěže v území nadlimitně zatíženého hlukem</w:t>
      </w:r>
      <w:r w:rsidR="005D5AEB" w:rsidRPr="00111F34">
        <w:t xml:space="preserve"> a umístění hlukově chráněných prostor do takovýchto ploch</w:t>
      </w:r>
      <w:r w:rsidR="003B11EA" w:rsidRPr="00111F34">
        <w:t>. Na druhou stranu může</w:t>
      </w:r>
      <w:r w:rsidR="001D696A" w:rsidRPr="00111F34">
        <w:t xml:space="preserve"> dojít k</w:t>
      </w:r>
      <w:r w:rsidR="00E709DE" w:rsidRPr="00111F34">
        <w:t>e zklidnění</w:t>
      </w:r>
      <w:r w:rsidR="001D696A" w:rsidRPr="00111F34">
        <w:t xml:space="preserve"> navazujících </w:t>
      </w:r>
      <w:r w:rsidR="00E709DE" w:rsidRPr="00111F34">
        <w:t>veřejných prostranství</w:t>
      </w:r>
      <w:r w:rsidR="001D696A" w:rsidRPr="00111F34">
        <w:t>, zlepšení jejich stavu, dostupnosti, komfortu využití</w:t>
      </w:r>
      <w:r w:rsidR="000A4AA0" w:rsidRPr="00111F34">
        <w:t xml:space="preserve">, kvality bydlení, možností rekreace </w:t>
      </w:r>
      <w:r w:rsidR="001D696A" w:rsidRPr="00111F34">
        <w:t xml:space="preserve">a prostupnosti území. </w:t>
      </w:r>
    </w:p>
    <w:p w14:paraId="79D0CC3E" w14:textId="51446513" w:rsidR="003B11EA" w:rsidRPr="00111F34" w:rsidRDefault="003B11EA" w:rsidP="003B11EA">
      <w:r w:rsidRPr="00111F34">
        <w:t>Z hlediska možného ovlivnění obyvatelstva imisním působením nových zdrojů</w:t>
      </w:r>
      <w:r w:rsidR="00165684" w:rsidRPr="00111F34">
        <w:t xml:space="preserve"> lze konstatovat, že </w:t>
      </w:r>
      <w:r w:rsidR="001932BC" w:rsidRPr="00111F34">
        <w:t>předkládan</w:t>
      </w:r>
      <w:r w:rsidR="00AA6A19" w:rsidRPr="00111F34">
        <w:t>á</w:t>
      </w:r>
      <w:r w:rsidR="00654469" w:rsidRPr="00111F34">
        <w:t xml:space="preserve"> změn</w:t>
      </w:r>
      <w:r w:rsidR="00AA6A19" w:rsidRPr="00111F34">
        <w:t>a</w:t>
      </w:r>
      <w:r w:rsidR="00654469" w:rsidRPr="00111F34">
        <w:t xml:space="preserve"> územního plánu</w:t>
      </w:r>
      <w:r w:rsidR="005D5AEB" w:rsidRPr="00111F34">
        <w:t xml:space="preserve"> neumisťuje</w:t>
      </w:r>
      <w:r w:rsidRPr="00111F34">
        <w:t xml:space="preserve"> do obytného území města zdroje znečištění ve formě rozsáhlé průmyslové či jiné výroby, jež by mohla významně znečišťo</w:t>
      </w:r>
      <w:r w:rsidR="00165684" w:rsidRPr="00111F34">
        <w:t>vat ovzduší emisemi či zápachem</w:t>
      </w:r>
      <w:r w:rsidRPr="00111F34">
        <w:t>.</w:t>
      </w:r>
      <w:r w:rsidR="00CC458E" w:rsidRPr="00111F34">
        <w:t xml:space="preserve"> Takovéto plochy, které jsou zdrojem emisí, jsou naopak změnou transformovány do rezidenčních ploch.</w:t>
      </w:r>
    </w:p>
    <w:p w14:paraId="07674CA6" w14:textId="4F7CAF24" w:rsidR="003B11EA" w:rsidRPr="00111F34" w:rsidRDefault="003B11EA" w:rsidP="003B11EA">
      <w:r w:rsidRPr="00111F34">
        <w:t xml:space="preserve">Na základě provedeného vyhodnocení vlivů </w:t>
      </w:r>
      <w:r w:rsidR="008705CE" w:rsidRPr="00111F34">
        <w:t>navrhované ÚPD</w:t>
      </w:r>
      <w:r w:rsidR="00652419" w:rsidRPr="00111F34">
        <w:t xml:space="preserve"> </w:t>
      </w:r>
      <w:r w:rsidRPr="00111F34">
        <w:t>na veřejné zdraví byly zjištěny následující možné vlivy posuzované změny na veřejné zdraví a navržena příslušná opatření</w:t>
      </w:r>
      <w:r w:rsidR="002D364E" w:rsidRPr="00111F34">
        <w:t>.</w:t>
      </w:r>
    </w:p>
    <w:p w14:paraId="20F430C2" w14:textId="77777777" w:rsidR="003B11EA" w:rsidRPr="00111F34" w:rsidRDefault="003B11EA" w:rsidP="009449A1">
      <w:pPr>
        <w:pStyle w:val="Tabulkanzev"/>
      </w:pPr>
      <w:bookmarkStart w:id="291" w:name="_Toc496705227"/>
      <w:bookmarkStart w:id="292" w:name="_Ref58505521"/>
      <w:bookmarkStart w:id="293" w:name="_Toc138848177"/>
      <w:r w:rsidRPr="00111F34">
        <w:t>Přehled vlivů na environmentální determinanty tabelárně</w:t>
      </w:r>
      <w:bookmarkEnd w:id="291"/>
      <w:bookmarkEnd w:id="292"/>
      <w:bookmarkEnd w:id="293"/>
    </w:p>
    <w:tbl>
      <w:tblPr>
        <w:tblW w:w="0" w:type="auto"/>
        <w:tblInd w:w="108" w:type="dxa"/>
        <w:tblLayout w:type="fixed"/>
        <w:tblLook w:val="0000" w:firstRow="0" w:lastRow="0" w:firstColumn="0" w:lastColumn="0" w:noHBand="0" w:noVBand="0"/>
      </w:tblPr>
      <w:tblGrid>
        <w:gridCol w:w="2518"/>
        <w:gridCol w:w="2339"/>
        <w:gridCol w:w="2373"/>
        <w:gridCol w:w="2058"/>
      </w:tblGrid>
      <w:tr w:rsidR="008160EF" w:rsidRPr="00111F34" w14:paraId="21A476F2" w14:textId="77777777" w:rsidTr="00BD7256">
        <w:trPr>
          <w:trHeight w:val="1"/>
          <w:tblHeader/>
        </w:trPr>
        <w:tc>
          <w:tcPr>
            <w:tcW w:w="2518" w:type="dxa"/>
            <w:tcBorders>
              <w:top w:val="single" w:sz="2" w:space="0" w:color="000000"/>
              <w:left w:val="single" w:sz="2" w:space="0" w:color="000000"/>
              <w:bottom w:val="single" w:sz="2" w:space="0" w:color="000000"/>
              <w:right w:val="single" w:sz="2" w:space="0" w:color="000000"/>
            </w:tcBorders>
            <w:shd w:val="clear" w:color="auto" w:fill="595959" w:themeFill="text1" w:themeFillTint="A6"/>
          </w:tcPr>
          <w:p w14:paraId="52FF3BA5" w14:textId="77777777" w:rsidR="003B11EA" w:rsidRPr="00111F34" w:rsidRDefault="003B11EA" w:rsidP="000B4E10">
            <w:pPr>
              <w:jc w:val="center"/>
              <w:rPr>
                <w:rFonts w:cs="Arial"/>
                <w:b/>
                <w:color w:val="FFFFFF" w:themeColor="background1"/>
                <w:sz w:val="18"/>
                <w:szCs w:val="18"/>
              </w:rPr>
            </w:pPr>
            <w:r w:rsidRPr="00111F34">
              <w:rPr>
                <w:rFonts w:cs="Arial"/>
                <w:b/>
                <w:bCs/>
                <w:color w:val="FFFFFF" w:themeColor="background1"/>
                <w:sz w:val="18"/>
                <w:szCs w:val="18"/>
              </w:rPr>
              <w:t>Determinanta</w:t>
            </w:r>
          </w:p>
        </w:tc>
        <w:tc>
          <w:tcPr>
            <w:tcW w:w="2339" w:type="dxa"/>
            <w:tcBorders>
              <w:top w:val="single" w:sz="2" w:space="0" w:color="000000"/>
              <w:left w:val="single" w:sz="2" w:space="0" w:color="000000"/>
              <w:bottom w:val="single" w:sz="2" w:space="0" w:color="000000"/>
              <w:right w:val="single" w:sz="2" w:space="0" w:color="000000"/>
            </w:tcBorders>
            <w:shd w:val="clear" w:color="auto" w:fill="595959" w:themeFill="text1" w:themeFillTint="A6"/>
          </w:tcPr>
          <w:p w14:paraId="24A0197C" w14:textId="77777777" w:rsidR="003B11EA" w:rsidRPr="00111F34" w:rsidRDefault="003B11EA" w:rsidP="000B4E10">
            <w:pPr>
              <w:jc w:val="center"/>
              <w:rPr>
                <w:rFonts w:cs="Arial"/>
                <w:b/>
                <w:color w:val="FFFFFF" w:themeColor="background1"/>
                <w:sz w:val="18"/>
                <w:szCs w:val="18"/>
              </w:rPr>
            </w:pPr>
            <w:r w:rsidRPr="00111F34">
              <w:rPr>
                <w:rFonts w:cs="Arial"/>
                <w:b/>
                <w:bCs/>
                <w:color w:val="FFFFFF" w:themeColor="background1"/>
                <w:sz w:val="18"/>
                <w:szCs w:val="18"/>
              </w:rPr>
              <w:t>Pozitivní vliv</w:t>
            </w:r>
          </w:p>
        </w:tc>
        <w:tc>
          <w:tcPr>
            <w:tcW w:w="2373" w:type="dxa"/>
            <w:tcBorders>
              <w:top w:val="single" w:sz="2" w:space="0" w:color="000000"/>
              <w:left w:val="single" w:sz="2" w:space="0" w:color="000000"/>
              <w:bottom w:val="single" w:sz="2" w:space="0" w:color="000000"/>
              <w:right w:val="single" w:sz="2" w:space="0" w:color="000000"/>
            </w:tcBorders>
            <w:shd w:val="clear" w:color="auto" w:fill="595959" w:themeFill="text1" w:themeFillTint="A6"/>
          </w:tcPr>
          <w:p w14:paraId="2CFE7D25" w14:textId="77777777" w:rsidR="003B11EA" w:rsidRPr="00111F34" w:rsidRDefault="003B11EA" w:rsidP="000B4E10">
            <w:pPr>
              <w:jc w:val="center"/>
              <w:rPr>
                <w:rFonts w:cs="Arial"/>
                <w:b/>
                <w:color w:val="FFFFFF" w:themeColor="background1"/>
                <w:sz w:val="18"/>
                <w:szCs w:val="18"/>
              </w:rPr>
            </w:pPr>
            <w:r w:rsidRPr="00111F34">
              <w:rPr>
                <w:rFonts w:cs="Arial"/>
                <w:b/>
                <w:bCs/>
                <w:color w:val="FFFFFF" w:themeColor="background1"/>
                <w:sz w:val="18"/>
                <w:szCs w:val="18"/>
              </w:rPr>
              <w:t>Negativní vliv</w:t>
            </w:r>
          </w:p>
        </w:tc>
        <w:tc>
          <w:tcPr>
            <w:tcW w:w="2058" w:type="dxa"/>
            <w:tcBorders>
              <w:top w:val="single" w:sz="2" w:space="0" w:color="000000"/>
              <w:left w:val="single" w:sz="2" w:space="0" w:color="000000"/>
              <w:bottom w:val="single" w:sz="2" w:space="0" w:color="000000"/>
              <w:right w:val="single" w:sz="2" w:space="0" w:color="000000"/>
            </w:tcBorders>
            <w:shd w:val="clear" w:color="auto" w:fill="595959" w:themeFill="text1" w:themeFillTint="A6"/>
          </w:tcPr>
          <w:p w14:paraId="3A13B8C7" w14:textId="6961A11A" w:rsidR="003B11EA" w:rsidRPr="00111F34" w:rsidRDefault="003B11EA" w:rsidP="000B4E10">
            <w:pPr>
              <w:jc w:val="center"/>
              <w:rPr>
                <w:rFonts w:cs="Arial"/>
                <w:b/>
                <w:color w:val="FFFFFF" w:themeColor="background1"/>
                <w:sz w:val="18"/>
                <w:szCs w:val="18"/>
              </w:rPr>
            </w:pPr>
            <w:r w:rsidRPr="00111F34">
              <w:rPr>
                <w:rFonts w:cs="Arial"/>
                <w:b/>
                <w:bCs/>
                <w:color w:val="FFFFFF" w:themeColor="background1"/>
                <w:sz w:val="18"/>
                <w:szCs w:val="18"/>
              </w:rPr>
              <w:t>Neutrální</w:t>
            </w:r>
          </w:p>
        </w:tc>
      </w:tr>
      <w:tr w:rsidR="003B11EA" w:rsidRPr="00111F34" w14:paraId="7E8140F2" w14:textId="77777777" w:rsidTr="000B4E10">
        <w:trPr>
          <w:trHeight w:val="1"/>
        </w:trPr>
        <w:tc>
          <w:tcPr>
            <w:tcW w:w="2518" w:type="dxa"/>
            <w:tcBorders>
              <w:top w:val="single" w:sz="2" w:space="0" w:color="000000"/>
              <w:left w:val="single" w:sz="2" w:space="0" w:color="000000"/>
              <w:bottom w:val="single" w:sz="2" w:space="0" w:color="000000"/>
              <w:right w:val="single" w:sz="2" w:space="0" w:color="000000"/>
            </w:tcBorders>
            <w:shd w:val="clear" w:color="000000" w:fill="FFFFFF"/>
          </w:tcPr>
          <w:p w14:paraId="3D73F4C9" w14:textId="77777777" w:rsidR="003B11EA" w:rsidRPr="00111F34" w:rsidRDefault="003B11EA" w:rsidP="000B4E10">
            <w:pPr>
              <w:rPr>
                <w:rFonts w:cs="Arial"/>
                <w:sz w:val="18"/>
                <w:szCs w:val="18"/>
              </w:rPr>
            </w:pPr>
            <w:r w:rsidRPr="00111F34">
              <w:rPr>
                <w:rFonts w:cs="Arial"/>
                <w:bCs/>
                <w:sz w:val="18"/>
                <w:szCs w:val="18"/>
              </w:rPr>
              <w:t>Hluk</w:t>
            </w:r>
          </w:p>
        </w:tc>
        <w:tc>
          <w:tcPr>
            <w:tcW w:w="2339" w:type="dxa"/>
            <w:tcBorders>
              <w:top w:val="single" w:sz="2" w:space="0" w:color="000000"/>
              <w:left w:val="single" w:sz="2" w:space="0" w:color="000000"/>
              <w:bottom w:val="single" w:sz="2" w:space="0" w:color="000000"/>
              <w:right w:val="single" w:sz="2" w:space="0" w:color="000000"/>
            </w:tcBorders>
            <w:shd w:val="clear" w:color="000000" w:fill="FFFFFF"/>
          </w:tcPr>
          <w:p w14:paraId="248298D0" w14:textId="07E12E07" w:rsidR="003B11EA" w:rsidRPr="00111F34" w:rsidRDefault="00AB0FEA" w:rsidP="000B4E10">
            <w:pPr>
              <w:jc w:val="center"/>
              <w:rPr>
                <w:rFonts w:cs="Arial"/>
                <w:sz w:val="18"/>
                <w:szCs w:val="18"/>
              </w:rPr>
            </w:pPr>
            <w:r w:rsidRPr="00111F34">
              <w:rPr>
                <w:rFonts w:cs="Arial"/>
                <w:sz w:val="18"/>
                <w:szCs w:val="18"/>
              </w:rPr>
              <w:t>+</w:t>
            </w:r>
          </w:p>
        </w:tc>
        <w:tc>
          <w:tcPr>
            <w:tcW w:w="2373" w:type="dxa"/>
            <w:tcBorders>
              <w:top w:val="single" w:sz="2" w:space="0" w:color="000000"/>
              <w:left w:val="single" w:sz="2" w:space="0" w:color="000000"/>
              <w:bottom w:val="single" w:sz="2" w:space="0" w:color="000000"/>
              <w:right w:val="single" w:sz="2" w:space="0" w:color="000000"/>
            </w:tcBorders>
            <w:shd w:val="clear" w:color="000000" w:fill="FFFFFF"/>
          </w:tcPr>
          <w:p w14:paraId="412D3C94" w14:textId="6A787065" w:rsidR="003B11EA" w:rsidRPr="00111F34" w:rsidRDefault="00CC458E" w:rsidP="000B4E10">
            <w:pPr>
              <w:jc w:val="center"/>
              <w:rPr>
                <w:rFonts w:cs="Arial"/>
                <w:sz w:val="18"/>
                <w:szCs w:val="18"/>
              </w:rPr>
            </w:pPr>
            <w:r w:rsidRPr="00111F34">
              <w:rPr>
                <w:rFonts w:cs="Arial"/>
                <w:sz w:val="18"/>
                <w:szCs w:val="18"/>
              </w:rPr>
              <w:t>-</w:t>
            </w:r>
          </w:p>
        </w:tc>
        <w:tc>
          <w:tcPr>
            <w:tcW w:w="2058" w:type="dxa"/>
            <w:tcBorders>
              <w:top w:val="single" w:sz="2" w:space="0" w:color="000000"/>
              <w:left w:val="single" w:sz="2" w:space="0" w:color="000000"/>
              <w:bottom w:val="single" w:sz="2" w:space="0" w:color="000000"/>
              <w:right w:val="single" w:sz="2" w:space="0" w:color="000000"/>
            </w:tcBorders>
            <w:shd w:val="clear" w:color="000000" w:fill="FFFFFF"/>
          </w:tcPr>
          <w:p w14:paraId="7F79CB82" w14:textId="77777777" w:rsidR="003B11EA" w:rsidRPr="00111F34" w:rsidRDefault="003B11EA" w:rsidP="000B4E10">
            <w:pPr>
              <w:jc w:val="center"/>
              <w:rPr>
                <w:rFonts w:cs="Arial"/>
                <w:sz w:val="18"/>
                <w:szCs w:val="18"/>
              </w:rPr>
            </w:pPr>
          </w:p>
        </w:tc>
      </w:tr>
      <w:tr w:rsidR="003B11EA" w:rsidRPr="00111F34" w14:paraId="31FA90A5" w14:textId="77777777" w:rsidTr="000B4E10">
        <w:trPr>
          <w:trHeight w:val="1"/>
        </w:trPr>
        <w:tc>
          <w:tcPr>
            <w:tcW w:w="2518" w:type="dxa"/>
            <w:tcBorders>
              <w:top w:val="single" w:sz="2" w:space="0" w:color="000000"/>
              <w:left w:val="single" w:sz="2" w:space="0" w:color="000000"/>
              <w:bottom w:val="single" w:sz="2" w:space="0" w:color="000000"/>
              <w:right w:val="single" w:sz="2" w:space="0" w:color="000000"/>
            </w:tcBorders>
            <w:shd w:val="clear" w:color="000000" w:fill="FFFFFF"/>
          </w:tcPr>
          <w:p w14:paraId="3FA57488" w14:textId="77777777" w:rsidR="003B11EA" w:rsidRPr="00111F34" w:rsidRDefault="003B11EA" w:rsidP="000B4E10">
            <w:pPr>
              <w:rPr>
                <w:rFonts w:cs="Arial"/>
                <w:sz w:val="18"/>
                <w:szCs w:val="18"/>
              </w:rPr>
            </w:pPr>
            <w:r w:rsidRPr="00111F34">
              <w:rPr>
                <w:rFonts w:cs="Arial"/>
                <w:bCs/>
                <w:sz w:val="18"/>
                <w:szCs w:val="18"/>
              </w:rPr>
              <w:t>Prach</w:t>
            </w:r>
          </w:p>
        </w:tc>
        <w:tc>
          <w:tcPr>
            <w:tcW w:w="2339" w:type="dxa"/>
            <w:tcBorders>
              <w:top w:val="single" w:sz="2" w:space="0" w:color="000000"/>
              <w:left w:val="single" w:sz="2" w:space="0" w:color="000000"/>
              <w:bottom w:val="single" w:sz="2" w:space="0" w:color="000000"/>
              <w:right w:val="single" w:sz="2" w:space="0" w:color="000000"/>
            </w:tcBorders>
            <w:shd w:val="clear" w:color="000000" w:fill="FFFFFF"/>
          </w:tcPr>
          <w:p w14:paraId="49745F8B" w14:textId="26F69CD7" w:rsidR="003B11EA" w:rsidRPr="00111F34" w:rsidRDefault="00CA3A4F" w:rsidP="000B4E10">
            <w:pPr>
              <w:jc w:val="center"/>
              <w:rPr>
                <w:rFonts w:cs="Arial"/>
                <w:sz w:val="18"/>
                <w:szCs w:val="18"/>
              </w:rPr>
            </w:pPr>
            <w:r w:rsidRPr="00111F34">
              <w:rPr>
                <w:rFonts w:cs="Arial"/>
                <w:sz w:val="18"/>
                <w:szCs w:val="18"/>
              </w:rPr>
              <w:t>+</w:t>
            </w:r>
            <w:r w:rsidR="005D5AEB" w:rsidRPr="00111F34">
              <w:rPr>
                <w:rFonts w:cs="Arial"/>
                <w:sz w:val="18"/>
                <w:szCs w:val="18"/>
              </w:rPr>
              <w:t>+</w:t>
            </w:r>
          </w:p>
        </w:tc>
        <w:tc>
          <w:tcPr>
            <w:tcW w:w="2373" w:type="dxa"/>
            <w:tcBorders>
              <w:top w:val="single" w:sz="2" w:space="0" w:color="000000"/>
              <w:left w:val="single" w:sz="2" w:space="0" w:color="000000"/>
              <w:bottom w:val="single" w:sz="2" w:space="0" w:color="000000"/>
              <w:right w:val="single" w:sz="2" w:space="0" w:color="000000"/>
            </w:tcBorders>
            <w:shd w:val="clear" w:color="000000" w:fill="FFFFFF"/>
          </w:tcPr>
          <w:p w14:paraId="1082450B" w14:textId="116B4671" w:rsidR="003B11EA" w:rsidRPr="00111F34" w:rsidRDefault="003B11EA" w:rsidP="000B4E10">
            <w:pPr>
              <w:jc w:val="center"/>
              <w:rPr>
                <w:rFonts w:cs="Arial"/>
                <w:sz w:val="18"/>
                <w:szCs w:val="18"/>
              </w:rPr>
            </w:pPr>
          </w:p>
        </w:tc>
        <w:tc>
          <w:tcPr>
            <w:tcW w:w="2058" w:type="dxa"/>
            <w:tcBorders>
              <w:top w:val="single" w:sz="2" w:space="0" w:color="000000"/>
              <w:left w:val="single" w:sz="2" w:space="0" w:color="000000"/>
              <w:bottom w:val="single" w:sz="2" w:space="0" w:color="000000"/>
              <w:right w:val="single" w:sz="2" w:space="0" w:color="000000"/>
            </w:tcBorders>
            <w:shd w:val="clear" w:color="000000" w:fill="FFFFFF"/>
          </w:tcPr>
          <w:p w14:paraId="709F7FE6" w14:textId="3C91357F" w:rsidR="003B11EA" w:rsidRPr="00111F34" w:rsidRDefault="003B11EA" w:rsidP="000B4E10">
            <w:pPr>
              <w:jc w:val="center"/>
              <w:rPr>
                <w:rFonts w:cs="Arial"/>
                <w:sz w:val="18"/>
                <w:szCs w:val="18"/>
              </w:rPr>
            </w:pPr>
          </w:p>
        </w:tc>
      </w:tr>
      <w:tr w:rsidR="003B11EA" w:rsidRPr="00111F34" w14:paraId="4C7F3E05" w14:textId="77777777" w:rsidTr="000B4E10">
        <w:trPr>
          <w:trHeight w:val="1"/>
        </w:trPr>
        <w:tc>
          <w:tcPr>
            <w:tcW w:w="2518" w:type="dxa"/>
            <w:tcBorders>
              <w:top w:val="single" w:sz="2" w:space="0" w:color="000000"/>
              <w:left w:val="single" w:sz="2" w:space="0" w:color="000000"/>
              <w:bottom w:val="single" w:sz="2" w:space="0" w:color="000000"/>
              <w:right w:val="single" w:sz="2" w:space="0" w:color="000000"/>
            </w:tcBorders>
            <w:shd w:val="clear" w:color="000000" w:fill="FFFFFF"/>
          </w:tcPr>
          <w:p w14:paraId="748BC79B" w14:textId="77777777" w:rsidR="003B11EA" w:rsidRPr="00111F34" w:rsidRDefault="003B11EA" w:rsidP="000B4E10">
            <w:pPr>
              <w:rPr>
                <w:rFonts w:cs="Arial"/>
                <w:sz w:val="18"/>
                <w:szCs w:val="18"/>
              </w:rPr>
            </w:pPr>
            <w:r w:rsidRPr="00111F34">
              <w:rPr>
                <w:rFonts w:cs="Arial"/>
                <w:bCs/>
                <w:sz w:val="18"/>
                <w:szCs w:val="18"/>
              </w:rPr>
              <w:t>Znečištěné ovzduší</w:t>
            </w:r>
          </w:p>
        </w:tc>
        <w:tc>
          <w:tcPr>
            <w:tcW w:w="2339" w:type="dxa"/>
            <w:tcBorders>
              <w:top w:val="single" w:sz="2" w:space="0" w:color="000000"/>
              <w:left w:val="single" w:sz="2" w:space="0" w:color="000000"/>
              <w:bottom w:val="single" w:sz="2" w:space="0" w:color="000000"/>
              <w:right w:val="single" w:sz="2" w:space="0" w:color="000000"/>
            </w:tcBorders>
            <w:shd w:val="clear" w:color="000000" w:fill="FFFFFF"/>
          </w:tcPr>
          <w:p w14:paraId="317571F5" w14:textId="0BC6BD65" w:rsidR="003B11EA" w:rsidRPr="00111F34" w:rsidRDefault="00AB0FEA" w:rsidP="000B4E10">
            <w:pPr>
              <w:jc w:val="center"/>
              <w:rPr>
                <w:rFonts w:cs="Arial"/>
                <w:sz w:val="18"/>
                <w:szCs w:val="18"/>
              </w:rPr>
            </w:pPr>
            <w:r w:rsidRPr="00111F34">
              <w:rPr>
                <w:rFonts w:cs="Arial"/>
                <w:sz w:val="18"/>
                <w:szCs w:val="18"/>
              </w:rPr>
              <w:t>+</w:t>
            </w:r>
          </w:p>
        </w:tc>
        <w:tc>
          <w:tcPr>
            <w:tcW w:w="2373" w:type="dxa"/>
            <w:tcBorders>
              <w:top w:val="single" w:sz="2" w:space="0" w:color="000000"/>
              <w:left w:val="single" w:sz="2" w:space="0" w:color="000000"/>
              <w:bottom w:val="single" w:sz="2" w:space="0" w:color="000000"/>
              <w:right w:val="single" w:sz="2" w:space="0" w:color="000000"/>
            </w:tcBorders>
            <w:shd w:val="clear" w:color="000000" w:fill="FFFFFF"/>
          </w:tcPr>
          <w:p w14:paraId="01A1862B" w14:textId="5682E899" w:rsidR="003B11EA" w:rsidRPr="00111F34" w:rsidRDefault="003B11EA" w:rsidP="000B4E10">
            <w:pPr>
              <w:jc w:val="center"/>
              <w:rPr>
                <w:rFonts w:cs="Arial"/>
                <w:sz w:val="18"/>
                <w:szCs w:val="18"/>
              </w:rPr>
            </w:pPr>
          </w:p>
        </w:tc>
        <w:tc>
          <w:tcPr>
            <w:tcW w:w="2058" w:type="dxa"/>
            <w:tcBorders>
              <w:top w:val="single" w:sz="2" w:space="0" w:color="000000"/>
              <w:left w:val="single" w:sz="2" w:space="0" w:color="000000"/>
              <w:bottom w:val="single" w:sz="2" w:space="0" w:color="000000"/>
              <w:right w:val="single" w:sz="2" w:space="0" w:color="000000"/>
            </w:tcBorders>
            <w:shd w:val="clear" w:color="000000" w:fill="FFFFFF"/>
          </w:tcPr>
          <w:p w14:paraId="2CA4E202" w14:textId="77777777" w:rsidR="003B11EA" w:rsidRPr="00111F34" w:rsidRDefault="003B11EA" w:rsidP="000B4E10">
            <w:pPr>
              <w:jc w:val="center"/>
              <w:rPr>
                <w:rFonts w:cs="Arial"/>
                <w:sz w:val="18"/>
                <w:szCs w:val="18"/>
              </w:rPr>
            </w:pPr>
          </w:p>
        </w:tc>
      </w:tr>
      <w:tr w:rsidR="003B11EA" w:rsidRPr="00111F34" w14:paraId="70594F76" w14:textId="77777777" w:rsidTr="000B4E10">
        <w:trPr>
          <w:trHeight w:val="1"/>
        </w:trPr>
        <w:tc>
          <w:tcPr>
            <w:tcW w:w="2518" w:type="dxa"/>
            <w:tcBorders>
              <w:top w:val="single" w:sz="2" w:space="0" w:color="000000"/>
              <w:left w:val="single" w:sz="2" w:space="0" w:color="000000"/>
              <w:bottom w:val="single" w:sz="2" w:space="0" w:color="000000"/>
              <w:right w:val="single" w:sz="2" w:space="0" w:color="000000"/>
            </w:tcBorders>
            <w:shd w:val="clear" w:color="000000" w:fill="FFFFFF"/>
          </w:tcPr>
          <w:p w14:paraId="487B1C3F" w14:textId="77777777" w:rsidR="003B11EA" w:rsidRPr="00111F34" w:rsidRDefault="003B11EA" w:rsidP="000B4E10">
            <w:pPr>
              <w:rPr>
                <w:rFonts w:cs="Arial"/>
                <w:sz w:val="18"/>
                <w:szCs w:val="18"/>
              </w:rPr>
            </w:pPr>
            <w:r w:rsidRPr="00111F34">
              <w:rPr>
                <w:rFonts w:cs="Arial"/>
                <w:bCs/>
                <w:sz w:val="18"/>
                <w:szCs w:val="18"/>
              </w:rPr>
              <w:t>Zaplavené území</w:t>
            </w:r>
          </w:p>
        </w:tc>
        <w:tc>
          <w:tcPr>
            <w:tcW w:w="2339" w:type="dxa"/>
            <w:tcBorders>
              <w:top w:val="single" w:sz="2" w:space="0" w:color="000000"/>
              <w:left w:val="single" w:sz="2" w:space="0" w:color="000000"/>
              <w:bottom w:val="single" w:sz="2" w:space="0" w:color="000000"/>
              <w:right w:val="single" w:sz="2" w:space="0" w:color="000000"/>
            </w:tcBorders>
            <w:shd w:val="clear" w:color="000000" w:fill="FFFFFF"/>
          </w:tcPr>
          <w:p w14:paraId="35F7778D" w14:textId="77777777" w:rsidR="003B11EA" w:rsidRPr="00111F34" w:rsidRDefault="003B11EA" w:rsidP="000B4E10">
            <w:pPr>
              <w:jc w:val="center"/>
              <w:rPr>
                <w:rFonts w:cs="Arial"/>
                <w:sz w:val="18"/>
                <w:szCs w:val="18"/>
              </w:rPr>
            </w:pPr>
          </w:p>
        </w:tc>
        <w:tc>
          <w:tcPr>
            <w:tcW w:w="2373" w:type="dxa"/>
            <w:tcBorders>
              <w:top w:val="single" w:sz="2" w:space="0" w:color="000000"/>
              <w:left w:val="single" w:sz="2" w:space="0" w:color="000000"/>
              <w:bottom w:val="single" w:sz="2" w:space="0" w:color="000000"/>
              <w:right w:val="single" w:sz="2" w:space="0" w:color="000000"/>
            </w:tcBorders>
            <w:shd w:val="clear" w:color="000000" w:fill="FFFFFF"/>
          </w:tcPr>
          <w:p w14:paraId="71B22DD1" w14:textId="77777777" w:rsidR="003B11EA" w:rsidRPr="00111F34" w:rsidRDefault="003B11EA" w:rsidP="000B4E10">
            <w:pPr>
              <w:jc w:val="center"/>
              <w:rPr>
                <w:rFonts w:cs="Arial"/>
                <w:sz w:val="18"/>
                <w:szCs w:val="18"/>
              </w:rPr>
            </w:pPr>
          </w:p>
        </w:tc>
        <w:tc>
          <w:tcPr>
            <w:tcW w:w="2058" w:type="dxa"/>
            <w:tcBorders>
              <w:top w:val="single" w:sz="2" w:space="0" w:color="000000"/>
              <w:left w:val="single" w:sz="2" w:space="0" w:color="000000"/>
              <w:bottom w:val="single" w:sz="2" w:space="0" w:color="000000"/>
              <w:right w:val="single" w:sz="2" w:space="0" w:color="000000"/>
            </w:tcBorders>
            <w:shd w:val="clear" w:color="000000" w:fill="FFFFFF"/>
          </w:tcPr>
          <w:p w14:paraId="5B94A3B5" w14:textId="15AB65D7" w:rsidR="003B11EA" w:rsidRPr="00111F34" w:rsidRDefault="001D696A" w:rsidP="000B4E10">
            <w:pPr>
              <w:jc w:val="center"/>
              <w:rPr>
                <w:rFonts w:cs="Arial"/>
                <w:sz w:val="18"/>
                <w:szCs w:val="18"/>
              </w:rPr>
            </w:pPr>
            <w:r w:rsidRPr="00111F34">
              <w:rPr>
                <w:rFonts w:cs="Arial"/>
                <w:sz w:val="18"/>
                <w:szCs w:val="18"/>
              </w:rPr>
              <w:t>0</w:t>
            </w:r>
          </w:p>
        </w:tc>
      </w:tr>
      <w:tr w:rsidR="003B11EA" w:rsidRPr="00111F34" w14:paraId="0A19DF96" w14:textId="77777777" w:rsidTr="000B4E10">
        <w:trPr>
          <w:trHeight w:val="1"/>
        </w:trPr>
        <w:tc>
          <w:tcPr>
            <w:tcW w:w="2518" w:type="dxa"/>
            <w:tcBorders>
              <w:top w:val="single" w:sz="2" w:space="0" w:color="000000"/>
              <w:left w:val="single" w:sz="2" w:space="0" w:color="000000"/>
              <w:bottom w:val="single" w:sz="2" w:space="0" w:color="000000"/>
              <w:right w:val="single" w:sz="2" w:space="0" w:color="000000"/>
            </w:tcBorders>
            <w:shd w:val="clear" w:color="000000" w:fill="FFFFFF"/>
          </w:tcPr>
          <w:p w14:paraId="2D4A539C" w14:textId="77777777" w:rsidR="003B11EA" w:rsidRPr="00111F34" w:rsidRDefault="003B11EA" w:rsidP="000B4E10">
            <w:pPr>
              <w:rPr>
                <w:rFonts w:cs="Arial"/>
                <w:bCs/>
                <w:sz w:val="18"/>
                <w:szCs w:val="18"/>
              </w:rPr>
            </w:pPr>
            <w:r w:rsidRPr="00111F34">
              <w:rPr>
                <w:rFonts w:cs="Arial"/>
                <w:bCs/>
                <w:sz w:val="18"/>
                <w:szCs w:val="18"/>
              </w:rPr>
              <w:t>Infekce</w:t>
            </w:r>
          </w:p>
        </w:tc>
        <w:tc>
          <w:tcPr>
            <w:tcW w:w="2339" w:type="dxa"/>
            <w:tcBorders>
              <w:top w:val="single" w:sz="2" w:space="0" w:color="000000"/>
              <w:left w:val="single" w:sz="2" w:space="0" w:color="000000"/>
              <w:bottom w:val="single" w:sz="2" w:space="0" w:color="000000"/>
              <w:right w:val="single" w:sz="2" w:space="0" w:color="000000"/>
            </w:tcBorders>
            <w:shd w:val="clear" w:color="000000" w:fill="FFFFFF"/>
          </w:tcPr>
          <w:p w14:paraId="17765753" w14:textId="77777777" w:rsidR="003B11EA" w:rsidRPr="00111F34" w:rsidRDefault="003B11EA" w:rsidP="000B4E10">
            <w:pPr>
              <w:jc w:val="center"/>
              <w:rPr>
                <w:rFonts w:cs="Arial"/>
                <w:bCs/>
                <w:sz w:val="18"/>
                <w:szCs w:val="18"/>
              </w:rPr>
            </w:pPr>
          </w:p>
        </w:tc>
        <w:tc>
          <w:tcPr>
            <w:tcW w:w="2373" w:type="dxa"/>
            <w:tcBorders>
              <w:top w:val="single" w:sz="2" w:space="0" w:color="000000"/>
              <w:left w:val="single" w:sz="2" w:space="0" w:color="000000"/>
              <w:bottom w:val="single" w:sz="2" w:space="0" w:color="000000"/>
              <w:right w:val="single" w:sz="2" w:space="0" w:color="000000"/>
            </w:tcBorders>
            <w:shd w:val="clear" w:color="000000" w:fill="FFFFFF"/>
          </w:tcPr>
          <w:p w14:paraId="3200C1DA" w14:textId="77777777" w:rsidR="003B11EA" w:rsidRPr="00111F34" w:rsidRDefault="003B11EA" w:rsidP="000B4E10">
            <w:pPr>
              <w:jc w:val="center"/>
              <w:rPr>
                <w:rFonts w:cs="Arial"/>
                <w:bCs/>
                <w:sz w:val="18"/>
                <w:szCs w:val="18"/>
              </w:rPr>
            </w:pPr>
          </w:p>
        </w:tc>
        <w:tc>
          <w:tcPr>
            <w:tcW w:w="2058" w:type="dxa"/>
            <w:tcBorders>
              <w:top w:val="single" w:sz="2" w:space="0" w:color="000000"/>
              <w:left w:val="single" w:sz="2" w:space="0" w:color="000000"/>
              <w:bottom w:val="single" w:sz="2" w:space="0" w:color="000000"/>
              <w:right w:val="single" w:sz="2" w:space="0" w:color="000000"/>
            </w:tcBorders>
            <w:shd w:val="clear" w:color="000000" w:fill="FFFFFF"/>
          </w:tcPr>
          <w:p w14:paraId="62199299" w14:textId="6B6EA4AC" w:rsidR="003B11EA" w:rsidRPr="00111F34" w:rsidRDefault="001D696A" w:rsidP="000B4E10">
            <w:pPr>
              <w:jc w:val="center"/>
              <w:rPr>
                <w:rFonts w:cs="Arial"/>
                <w:sz w:val="18"/>
                <w:szCs w:val="18"/>
              </w:rPr>
            </w:pPr>
            <w:r w:rsidRPr="00111F34">
              <w:rPr>
                <w:rFonts w:cs="Arial"/>
                <w:sz w:val="18"/>
                <w:szCs w:val="18"/>
              </w:rPr>
              <w:t>0</w:t>
            </w:r>
          </w:p>
        </w:tc>
      </w:tr>
      <w:tr w:rsidR="003B11EA" w:rsidRPr="00111F34" w14:paraId="63F58B4E" w14:textId="77777777" w:rsidTr="000B4E10">
        <w:trPr>
          <w:trHeight w:val="1"/>
        </w:trPr>
        <w:tc>
          <w:tcPr>
            <w:tcW w:w="2518" w:type="dxa"/>
            <w:tcBorders>
              <w:top w:val="single" w:sz="2" w:space="0" w:color="000000"/>
              <w:left w:val="single" w:sz="2" w:space="0" w:color="000000"/>
              <w:bottom w:val="single" w:sz="2" w:space="0" w:color="000000"/>
              <w:right w:val="single" w:sz="2" w:space="0" w:color="000000"/>
            </w:tcBorders>
            <w:shd w:val="clear" w:color="000000" w:fill="FFFFFF"/>
          </w:tcPr>
          <w:p w14:paraId="1DA33577" w14:textId="77777777" w:rsidR="003B11EA" w:rsidRPr="00111F34" w:rsidRDefault="003B11EA" w:rsidP="000B4E10">
            <w:pPr>
              <w:rPr>
                <w:rFonts w:cs="Arial"/>
                <w:bCs/>
                <w:sz w:val="18"/>
                <w:szCs w:val="18"/>
              </w:rPr>
            </w:pPr>
            <w:r w:rsidRPr="00111F34">
              <w:rPr>
                <w:rFonts w:cs="Arial"/>
                <w:bCs/>
                <w:sz w:val="18"/>
                <w:szCs w:val="18"/>
              </w:rPr>
              <w:t>Sociálně patologické jevy</w:t>
            </w:r>
          </w:p>
        </w:tc>
        <w:tc>
          <w:tcPr>
            <w:tcW w:w="2339" w:type="dxa"/>
            <w:tcBorders>
              <w:top w:val="single" w:sz="2" w:space="0" w:color="000000"/>
              <w:left w:val="single" w:sz="2" w:space="0" w:color="000000"/>
              <w:bottom w:val="single" w:sz="2" w:space="0" w:color="000000"/>
              <w:right w:val="single" w:sz="2" w:space="0" w:color="000000"/>
            </w:tcBorders>
            <w:shd w:val="clear" w:color="000000" w:fill="FFFFFF"/>
          </w:tcPr>
          <w:p w14:paraId="1946E402" w14:textId="3F1A9ABC" w:rsidR="003B11EA" w:rsidRPr="00111F34" w:rsidRDefault="003B11EA" w:rsidP="000B4E10">
            <w:pPr>
              <w:jc w:val="center"/>
              <w:rPr>
                <w:rFonts w:cs="Arial"/>
                <w:bCs/>
                <w:sz w:val="18"/>
                <w:szCs w:val="18"/>
              </w:rPr>
            </w:pPr>
          </w:p>
        </w:tc>
        <w:tc>
          <w:tcPr>
            <w:tcW w:w="2373" w:type="dxa"/>
            <w:tcBorders>
              <w:top w:val="single" w:sz="2" w:space="0" w:color="000000"/>
              <w:left w:val="single" w:sz="2" w:space="0" w:color="000000"/>
              <w:bottom w:val="single" w:sz="2" w:space="0" w:color="000000"/>
              <w:right w:val="single" w:sz="2" w:space="0" w:color="000000"/>
            </w:tcBorders>
            <w:shd w:val="clear" w:color="000000" w:fill="FFFFFF"/>
          </w:tcPr>
          <w:p w14:paraId="4FA5E908" w14:textId="0EB043D6" w:rsidR="003B11EA" w:rsidRPr="00111F34" w:rsidRDefault="003B11EA" w:rsidP="000B4E10">
            <w:pPr>
              <w:jc w:val="center"/>
              <w:rPr>
                <w:rFonts w:cs="Arial"/>
                <w:bCs/>
                <w:sz w:val="18"/>
                <w:szCs w:val="18"/>
              </w:rPr>
            </w:pPr>
          </w:p>
        </w:tc>
        <w:tc>
          <w:tcPr>
            <w:tcW w:w="2058" w:type="dxa"/>
            <w:tcBorders>
              <w:top w:val="single" w:sz="2" w:space="0" w:color="000000"/>
              <w:left w:val="single" w:sz="2" w:space="0" w:color="000000"/>
              <w:bottom w:val="single" w:sz="2" w:space="0" w:color="000000"/>
              <w:right w:val="single" w:sz="2" w:space="0" w:color="000000"/>
            </w:tcBorders>
            <w:shd w:val="clear" w:color="000000" w:fill="FFFFFF"/>
          </w:tcPr>
          <w:p w14:paraId="2AE9BC9D" w14:textId="7AAEE9AC" w:rsidR="003B11EA" w:rsidRPr="00111F34" w:rsidRDefault="00381F30" w:rsidP="000B4E10">
            <w:pPr>
              <w:jc w:val="center"/>
              <w:rPr>
                <w:rFonts w:cs="Arial"/>
                <w:sz w:val="18"/>
                <w:szCs w:val="18"/>
              </w:rPr>
            </w:pPr>
            <w:r w:rsidRPr="00111F34">
              <w:rPr>
                <w:rFonts w:cs="Arial"/>
                <w:sz w:val="18"/>
                <w:szCs w:val="18"/>
              </w:rPr>
              <w:t>0</w:t>
            </w:r>
          </w:p>
        </w:tc>
      </w:tr>
      <w:tr w:rsidR="005D5AEB" w:rsidRPr="00111F34" w14:paraId="24A37945" w14:textId="77777777" w:rsidTr="000B4E10">
        <w:trPr>
          <w:trHeight w:val="1"/>
        </w:trPr>
        <w:tc>
          <w:tcPr>
            <w:tcW w:w="2518" w:type="dxa"/>
            <w:tcBorders>
              <w:top w:val="single" w:sz="2" w:space="0" w:color="000000"/>
              <w:left w:val="single" w:sz="2" w:space="0" w:color="000000"/>
              <w:bottom w:val="single" w:sz="2" w:space="0" w:color="000000"/>
              <w:right w:val="single" w:sz="2" w:space="0" w:color="000000"/>
            </w:tcBorders>
            <w:shd w:val="clear" w:color="000000" w:fill="FFFFFF"/>
          </w:tcPr>
          <w:p w14:paraId="00BD7DC9" w14:textId="495296AF" w:rsidR="005D5AEB" w:rsidRPr="00111F34" w:rsidRDefault="005D5AEB" w:rsidP="000B4E10">
            <w:pPr>
              <w:rPr>
                <w:rFonts w:cs="Arial"/>
                <w:bCs/>
                <w:sz w:val="18"/>
                <w:szCs w:val="18"/>
              </w:rPr>
            </w:pPr>
            <w:r w:rsidRPr="00111F34">
              <w:rPr>
                <w:rFonts w:cs="Arial"/>
                <w:bCs/>
                <w:sz w:val="18"/>
                <w:szCs w:val="18"/>
              </w:rPr>
              <w:t>Vzdělanost</w:t>
            </w:r>
          </w:p>
        </w:tc>
        <w:tc>
          <w:tcPr>
            <w:tcW w:w="2339" w:type="dxa"/>
            <w:tcBorders>
              <w:top w:val="single" w:sz="2" w:space="0" w:color="000000"/>
              <w:left w:val="single" w:sz="2" w:space="0" w:color="000000"/>
              <w:bottom w:val="single" w:sz="2" w:space="0" w:color="000000"/>
              <w:right w:val="single" w:sz="2" w:space="0" w:color="000000"/>
            </w:tcBorders>
            <w:shd w:val="clear" w:color="000000" w:fill="FFFFFF"/>
          </w:tcPr>
          <w:p w14:paraId="008F2C5D" w14:textId="4955D1C2" w:rsidR="005D5AEB" w:rsidRPr="00111F34" w:rsidRDefault="005D5AEB" w:rsidP="000B4E10">
            <w:pPr>
              <w:jc w:val="center"/>
              <w:rPr>
                <w:rFonts w:cs="Arial"/>
                <w:bCs/>
                <w:sz w:val="18"/>
                <w:szCs w:val="18"/>
              </w:rPr>
            </w:pPr>
            <w:r w:rsidRPr="00111F34">
              <w:rPr>
                <w:rFonts w:cs="Arial"/>
                <w:bCs/>
                <w:sz w:val="18"/>
                <w:szCs w:val="18"/>
              </w:rPr>
              <w:t>+</w:t>
            </w:r>
          </w:p>
        </w:tc>
        <w:tc>
          <w:tcPr>
            <w:tcW w:w="2373" w:type="dxa"/>
            <w:tcBorders>
              <w:top w:val="single" w:sz="2" w:space="0" w:color="000000"/>
              <w:left w:val="single" w:sz="2" w:space="0" w:color="000000"/>
              <w:bottom w:val="single" w:sz="2" w:space="0" w:color="000000"/>
              <w:right w:val="single" w:sz="2" w:space="0" w:color="000000"/>
            </w:tcBorders>
            <w:shd w:val="clear" w:color="000000" w:fill="FFFFFF"/>
          </w:tcPr>
          <w:p w14:paraId="0FA5A2F0" w14:textId="77777777" w:rsidR="005D5AEB" w:rsidRPr="00111F34" w:rsidRDefault="005D5AEB" w:rsidP="000B4E10">
            <w:pPr>
              <w:jc w:val="center"/>
              <w:rPr>
                <w:rFonts w:cs="Arial"/>
                <w:bCs/>
                <w:sz w:val="18"/>
                <w:szCs w:val="18"/>
              </w:rPr>
            </w:pPr>
          </w:p>
        </w:tc>
        <w:tc>
          <w:tcPr>
            <w:tcW w:w="2058" w:type="dxa"/>
            <w:tcBorders>
              <w:top w:val="single" w:sz="2" w:space="0" w:color="000000"/>
              <w:left w:val="single" w:sz="2" w:space="0" w:color="000000"/>
              <w:bottom w:val="single" w:sz="2" w:space="0" w:color="000000"/>
              <w:right w:val="single" w:sz="2" w:space="0" w:color="000000"/>
            </w:tcBorders>
            <w:shd w:val="clear" w:color="000000" w:fill="FFFFFF"/>
          </w:tcPr>
          <w:p w14:paraId="6068842C" w14:textId="77777777" w:rsidR="005D5AEB" w:rsidRPr="00111F34" w:rsidRDefault="005D5AEB" w:rsidP="000B4E10">
            <w:pPr>
              <w:jc w:val="center"/>
              <w:rPr>
                <w:rFonts w:cs="Arial"/>
                <w:sz w:val="18"/>
                <w:szCs w:val="18"/>
              </w:rPr>
            </w:pPr>
          </w:p>
        </w:tc>
      </w:tr>
      <w:tr w:rsidR="005D5AEB" w:rsidRPr="00111F34" w14:paraId="6372D6BB" w14:textId="77777777" w:rsidTr="000B4E10">
        <w:trPr>
          <w:trHeight w:val="1"/>
        </w:trPr>
        <w:tc>
          <w:tcPr>
            <w:tcW w:w="2518" w:type="dxa"/>
            <w:tcBorders>
              <w:top w:val="single" w:sz="2" w:space="0" w:color="000000"/>
              <w:left w:val="single" w:sz="2" w:space="0" w:color="000000"/>
              <w:bottom w:val="single" w:sz="2" w:space="0" w:color="000000"/>
              <w:right w:val="single" w:sz="2" w:space="0" w:color="000000"/>
            </w:tcBorders>
            <w:shd w:val="clear" w:color="000000" w:fill="FFFFFF"/>
          </w:tcPr>
          <w:p w14:paraId="76CB6B3F" w14:textId="13D1780C" w:rsidR="005D5AEB" w:rsidRPr="00111F34" w:rsidRDefault="005D5AEB" w:rsidP="000B4E10">
            <w:pPr>
              <w:rPr>
                <w:rFonts w:cs="Arial"/>
                <w:bCs/>
                <w:sz w:val="18"/>
                <w:szCs w:val="18"/>
              </w:rPr>
            </w:pPr>
            <w:r w:rsidRPr="00111F34">
              <w:rPr>
                <w:rFonts w:cs="Arial"/>
                <w:bCs/>
                <w:sz w:val="18"/>
                <w:szCs w:val="18"/>
              </w:rPr>
              <w:t>Zaměstnanost</w:t>
            </w:r>
          </w:p>
        </w:tc>
        <w:tc>
          <w:tcPr>
            <w:tcW w:w="2339" w:type="dxa"/>
            <w:tcBorders>
              <w:top w:val="single" w:sz="2" w:space="0" w:color="000000"/>
              <w:left w:val="single" w:sz="2" w:space="0" w:color="000000"/>
              <w:bottom w:val="single" w:sz="2" w:space="0" w:color="000000"/>
              <w:right w:val="single" w:sz="2" w:space="0" w:color="000000"/>
            </w:tcBorders>
            <w:shd w:val="clear" w:color="000000" w:fill="FFFFFF"/>
          </w:tcPr>
          <w:p w14:paraId="74DE5362" w14:textId="0822C4DD" w:rsidR="005D5AEB" w:rsidRPr="00111F34" w:rsidRDefault="005D5AEB" w:rsidP="000B4E10">
            <w:pPr>
              <w:jc w:val="center"/>
              <w:rPr>
                <w:rFonts w:cs="Arial"/>
                <w:bCs/>
                <w:sz w:val="18"/>
                <w:szCs w:val="18"/>
              </w:rPr>
            </w:pPr>
            <w:r w:rsidRPr="00111F34">
              <w:rPr>
                <w:rFonts w:cs="Arial"/>
                <w:bCs/>
                <w:sz w:val="18"/>
                <w:szCs w:val="18"/>
              </w:rPr>
              <w:t>+</w:t>
            </w:r>
          </w:p>
        </w:tc>
        <w:tc>
          <w:tcPr>
            <w:tcW w:w="2373" w:type="dxa"/>
            <w:tcBorders>
              <w:top w:val="single" w:sz="2" w:space="0" w:color="000000"/>
              <w:left w:val="single" w:sz="2" w:space="0" w:color="000000"/>
              <w:bottom w:val="single" w:sz="2" w:space="0" w:color="000000"/>
              <w:right w:val="single" w:sz="2" w:space="0" w:color="000000"/>
            </w:tcBorders>
            <w:shd w:val="clear" w:color="000000" w:fill="FFFFFF"/>
          </w:tcPr>
          <w:p w14:paraId="1031CE6A" w14:textId="77777777" w:rsidR="005D5AEB" w:rsidRPr="00111F34" w:rsidRDefault="005D5AEB" w:rsidP="000B4E10">
            <w:pPr>
              <w:jc w:val="center"/>
              <w:rPr>
                <w:rFonts w:cs="Arial"/>
                <w:bCs/>
                <w:sz w:val="18"/>
                <w:szCs w:val="18"/>
              </w:rPr>
            </w:pPr>
          </w:p>
        </w:tc>
        <w:tc>
          <w:tcPr>
            <w:tcW w:w="2058" w:type="dxa"/>
            <w:tcBorders>
              <w:top w:val="single" w:sz="2" w:space="0" w:color="000000"/>
              <w:left w:val="single" w:sz="2" w:space="0" w:color="000000"/>
              <w:bottom w:val="single" w:sz="2" w:space="0" w:color="000000"/>
              <w:right w:val="single" w:sz="2" w:space="0" w:color="000000"/>
            </w:tcBorders>
            <w:shd w:val="clear" w:color="000000" w:fill="FFFFFF"/>
          </w:tcPr>
          <w:p w14:paraId="61C87D11" w14:textId="77777777" w:rsidR="005D5AEB" w:rsidRPr="00111F34" w:rsidRDefault="005D5AEB" w:rsidP="000B4E10">
            <w:pPr>
              <w:jc w:val="center"/>
              <w:rPr>
                <w:rFonts w:cs="Arial"/>
                <w:sz w:val="18"/>
                <w:szCs w:val="18"/>
              </w:rPr>
            </w:pPr>
          </w:p>
        </w:tc>
      </w:tr>
      <w:tr w:rsidR="005D5AEB" w:rsidRPr="00111F34" w14:paraId="64FF5ECC" w14:textId="77777777" w:rsidTr="000B4E10">
        <w:trPr>
          <w:trHeight w:val="1"/>
        </w:trPr>
        <w:tc>
          <w:tcPr>
            <w:tcW w:w="2518" w:type="dxa"/>
            <w:tcBorders>
              <w:top w:val="single" w:sz="2" w:space="0" w:color="000000"/>
              <w:left w:val="single" w:sz="2" w:space="0" w:color="000000"/>
              <w:bottom w:val="single" w:sz="2" w:space="0" w:color="000000"/>
              <w:right w:val="single" w:sz="2" w:space="0" w:color="000000"/>
            </w:tcBorders>
            <w:shd w:val="clear" w:color="000000" w:fill="FFFFFF"/>
          </w:tcPr>
          <w:p w14:paraId="18897713" w14:textId="4693F71E" w:rsidR="005D5AEB" w:rsidRPr="00111F34" w:rsidRDefault="005D5AEB" w:rsidP="000B4E10">
            <w:pPr>
              <w:rPr>
                <w:rFonts w:cs="Arial"/>
                <w:bCs/>
                <w:sz w:val="18"/>
                <w:szCs w:val="18"/>
              </w:rPr>
            </w:pPr>
            <w:r w:rsidRPr="00111F34">
              <w:rPr>
                <w:rFonts w:cs="Arial"/>
                <w:bCs/>
                <w:sz w:val="18"/>
                <w:szCs w:val="18"/>
              </w:rPr>
              <w:t>Bezpečnost</w:t>
            </w:r>
          </w:p>
        </w:tc>
        <w:tc>
          <w:tcPr>
            <w:tcW w:w="2339" w:type="dxa"/>
            <w:tcBorders>
              <w:top w:val="single" w:sz="2" w:space="0" w:color="000000"/>
              <w:left w:val="single" w:sz="2" w:space="0" w:color="000000"/>
              <w:bottom w:val="single" w:sz="2" w:space="0" w:color="000000"/>
              <w:right w:val="single" w:sz="2" w:space="0" w:color="000000"/>
            </w:tcBorders>
            <w:shd w:val="clear" w:color="000000" w:fill="FFFFFF"/>
          </w:tcPr>
          <w:p w14:paraId="6CA9CF9E" w14:textId="0FF94FBE" w:rsidR="005D5AEB" w:rsidRPr="00111F34" w:rsidRDefault="005D5AEB" w:rsidP="000B4E10">
            <w:pPr>
              <w:jc w:val="center"/>
              <w:rPr>
                <w:rFonts w:cs="Arial"/>
                <w:bCs/>
                <w:sz w:val="18"/>
                <w:szCs w:val="18"/>
              </w:rPr>
            </w:pPr>
            <w:r w:rsidRPr="00111F34">
              <w:rPr>
                <w:rFonts w:cs="Arial"/>
                <w:bCs/>
                <w:sz w:val="18"/>
                <w:szCs w:val="18"/>
              </w:rPr>
              <w:t>+</w:t>
            </w:r>
          </w:p>
        </w:tc>
        <w:tc>
          <w:tcPr>
            <w:tcW w:w="2373" w:type="dxa"/>
            <w:tcBorders>
              <w:top w:val="single" w:sz="2" w:space="0" w:color="000000"/>
              <w:left w:val="single" w:sz="2" w:space="0" w:color="000000"/>
              <w:bottom w:val="single" w:sz="2" w:space="0" w:color="000000"/>
              <w:right w:val="single" w:sz="2" w:space="0" w:color="000000"/>
            </w:tcBorders>
            <w:shd w:val="clear" w:color="000000" w:fill="FFFFFF"/>
          </w:tcPr>
          <w:p w14:paraId="498ED7AF" w14:textId="77777777" w:rsidR="005D5AEB" w:rsidRPr="00111F34" w:rsidRDefault="005D5AEB" w:rsidP="000B4E10">
            <w:pPr>
              <w:jc w:val="center"/>
              <w:rPr>
                <w:rFonts w:cs="Arial"/>
                <w:bCs/>
                <w:sz w:val="18"/>
                <w:szCs w:val="18"/>
              </w:rPr>
            </w:pPr>
          </w:p>
        </w:tc>
        <w:tc>
          <w:tcPr>
            <w:tcW w:w="2058" w:type="dxa"/>
            <w:tcBorders>
              <w:top w:val="single" w:sz="2" w:space="0" w:color="000000"/>
              <w:left w:val="single" w:sz="2" w:space="0" w:color="000000"/>
              <w:bottom w:val="single" w:sz="2" w:space="0" w:color="000000"/>
              <w:right w:val="single" w:sz="2" w:space="0" w:color="000000"/>
            </w:tcBorders>
            <w:shd w:val="clear" w:color="000000" w:fill="FFFFFF"/>
          </w:tcPr>
          <w:p w14:paraId="07F53503" w14:textId="77777777" w:rsidR="005D5AEB" w:rsidRPr="00111F34" w:rsidRDefault="005D5AEB" w:rsidP="000B4E10">
            <w:pPr>
              <w:jc w:val="center"/>
              <w:rPr>
                <w:rFonts w:cs="Arial"/>
                <w:sz w:val="18"/>
                <w:szCs w:val="18"/>
              </w:rPr>
            </w:pPr>
          </w:p>
        </w:tc>
      </w:tr>
    </w:tbl>
    <w:p w14:paraId="2266F8D8" w14:textId="77777777" w:rsidR="00AE7A7D" w:rsidRPr="00111F34" w:rsidRDefault="00AE7A7D" w:rsidP="00AE7A7D">
      <w:pPr>
        <w:pStyle w:val="Podnadpis1"/>
        <w:jc w:val="both"/>
        <w:rPr>
          <w:rFonts w:eastAsia="Arial"/>
          <w:b w:val="0"/>
          <w:i w:val="0"/>
          <w:snapToGrid/>
          <w:color w:val="auto"/>
          <w:szCs w:val="22"/>
          <w:lang w:eastAsia="en-US"/>
        </w:rPr>
      </w:pPr>
      <w:r w:rsidRPr="00111F34">
        <w:rPr>
          <w:rFonts w:eastAsia="Arial"/>
          <w:b w:val="0"/>
          <w:i w:val="0"/>
          <w:snapToGrid/>
          <w:color w:val="auto"/>
          <w:szCs w:val="22"/>
          <w:lang w:eastAsia="en-US"/>
        </w:rPr>
        <w:t>Hodnocení je provedeno podle jednoduché symboliky:</w:t>
      </w:r>
    </w:p>
    <w:p w14:paraId="6365364E" w14:textId="77777777" w:rsidR="00AE7A7D" w:rsidRPr="00111F34" w:rsidRDefault="00AE7A7D" w:rsidP="00AE7A7D">
      <w:pPr>
        <w:spacing w:before="0"/>
        <w:ind w:left="1134" w:hanging="1134"/>
      </w:pPr>
      <w:r w:rsidRPr="00111F34">
        <w:t xml:space="preserve">0 </w:t>
      </w:r>
      <w:r w:rsidRPr="00111F34">
        <w:tab/>
        <w:t>posuzovaná koncepce nemá žádný/ nebo pouze marginální vliv na tuto determinantu veřejného zdraví</w:t>
      </w:r>
    </w:p>
    <w:p w14:paraId="3CE1453F" w14:textId="77777777" w:rsidR="00AE7A7D" w:rsidRPr="00111F34" w:rsidRDefault="00AE7A7D" w:rsidP="00AE7A7D">
      <w:pPr>
        <w:spacing w:before="0"/>
        <w:ind w:left="1134" w:hanging="1134"/>
      </w:pPr>
      <w:r w:rsidRPr="00111F34">
        <w:t>+</w:t>
      </w:r>
      <w:r w:rsidRPr="00111F34">
        <w:tab/>
        <w:t xml:space="preserve"> posuzovaná koncepce generuje potenciální mírně pozitivní ovlivnění této determinanty veřejného zdraví</w:t>
      </w:r>
    </w:p>
    <w:p w14:paraId="292A65D8" w14:textId="77777777" w:rsidR="00AE7A7D" w:rsidRPr="00111F34" w:rsidRDefault="00AE7A7D" w:rsidP="00AE7A7D">
      <w:pPr>
        <w:spacing w:before="0"/>
        <w:ind w:left="1134" w:hanging="1134"/>
      </w:pPr>
      <w:r w:rsidRPr="00111F34">
        <w:t xml:space="preserve">++ </w:t>
      </w:r>
      <w:r w:rsidRPr="00111F34">
        <w:tab/>
        <w:t>posuzovaná koncepce generuje potenciální významně pozitivní ovlivnění této determinanty veřejného zdraví</w:t>
      </w:r>
    </w:p>
    <w:p w14:paraId="5A91CEC8" w14:textId="77777777" w:rsidR="00AE7A7D" w:rsidRPr="00111F34" w:rsidRDefault="00AE7A7D" w:rsidP="00AE7A7D">
      <w:pPr>
        <w:spacing w:before="0"/>
        <w:ind w:left="1134" w:hanging="1134"/>
      </w:pPr>
      <w:r w:rsidRPr="00111F34">
        <w:t xml:space="preserve">+ </w:t>
      </w:r>
      <w:r w:rsidRPr="00111F34">
        <w:tab/>
        <w:t>posuzovaná koncepce generuje potenciální mírně negativní ovlivnění této determinanty veřejného zdraví</w:t>
      </w:r>
    </w:p>
    <w:p w14:paraId="26B6BB27" w14:textId="77777777" w:rsidR="00AE7A7D" w:rsidRPr="00111F34" w:rsidRDefault="00AE7A7D" w:rsidP="00AE7A7D">
      <w:pPr>
        <w:spacing w:before="0"/>
        <w:ind w:left="1134" w:hanging="1134"/>
      </w:pPr>
      <w:r w:rsidRPr="00111F34">
        <w:t>++</w:t>
      </w:r>
      <w:r w:rsidRPr="00111F34">
        <w:tab/>
        <w:t>posuzovaná koncepce generuje potenciální významně negativní ovlivnění této determinanty veřejného zdraví</w:t>
      </w:r>
    </w:p>
    <w:p w14:paraId="63EEDB0C" w14:textId="07FF4D14" w:rsidR="007978A5" w:rsidRPr="00111F34" w:rsidRDefault="003B11EA" w:rsidP="007978A5">
      <w:pPr>
        <w:rPr>
          <w:rFonts w:cs="Arial"/>
          <w:szCs w:val="20"/>
        </w:rPr>
      </w:pPr>
      <w:r w:rsidRPr="00111F34">
        <w:lastRenderedPageBreak/>
        <w:t xml:space="preserve">Nelze očekávat, s ohledem na </w:t>
      </w:r>
      <w:r w:rsidR="00BC12FF" w:rsidRPr="00111F34">
        <w:t xml:space="preserve">charakter a </w:t>
      </w:r>
      <w:r w:rsidRPr="00111F34">
        <w:t xml:space="preserve">rozsah </w:t>
      </w:r>
      <w:r w:rsidR="008705CE" w:rsidRPr="00111F34">
        <w:t>změny</w:t>
      </w:r>
      <w:r w:rsidRPr="00111F34">
        <w:t xml:space="preserve"> územního plánu markantní či měřitelné dopady na sociální pohodu či ekonomický status jednotlivce či rodiny v širším měřítku. </w:t>
      </w:r>
      <w:r w:rsidR="007978A5" w:rsidRPr="00111F34">
        <w:rPr>
          <w:rFonts w:cs="Arial"/>
          <w:szCs w:val="20"/>
        </w:rPr>
        <w:t>Lze odhadnout, že zdraví populace obyvatel Hlavního města Prahy či obyvatel ČR bude dotčeno navrhovanou změnou jen v přilehlých sídelních útvarech.</w:t>
      </w:r>
    </w:p>
    <w:p w14:paraId="45A4C338" w14:textId="4AC9D041" w:rsidR="00A60EA1" w:rsidRPr="00111F34" w:rsidRDefault="00BC12FF" w:rsidP="007978A5">
      <w:pPr>
        <w:rPr>
          <w:rFonts w:cs="Arial"/>
          <w:szCs w:val="20"/>
        </w:rPr>
      </w:pPr>
      <w:r w:rsidRPr="00111F34">
        <w:rPr>
          <w:rFonts w:cs="Arial"/>
          <w:szCs w:val="20"/>
        </w:rPr>
        <w:t>Navrhovan</w:t>
      </w:r>
      <w:r w:rsidR="00AB0FEA" w:rsidRPr="00111F34">
        <w:rPr>
          <w:rFonts w:cs="Arial"/>
          <w:szCs w:val="20"/>
        </w:rPr>
        <w:t xml:space="preserve">ou ÚPD </w:t>
      </w:r>
      <w:r w:rsidR="00A60EA1" w:rsidRPr="00111F34">
        <w:rPr>
          <w:rFonts w:cs="Arial"/>
          <w:szCs w:val="20"/>
        </w:rPr>
        <w:t xml:space="preserve">lze hodnotit, z hlediska vlivů na veřejné zdraví spíše pozitivně. Možná rizika a nebezpečí lze, </w:t>
      </w:r>
      <w:r w:rsidRPr="00111F34">
        <w:rPr>
          <w:rFonts w:cs="Arial"/>
          <w:szCs w:val="20"/>
        </w:rPr>
        <w:t>prostřednictvím opatření při výstavbě</w:t>
      </w:r>
      <w:r w:rsidR="00A60EA1" w:rsidRPr="00111F34">
        <w:rPr>
          <w:rFonts w:cs="Arial"/>
          <w:szCs w:val="20"/>
        </w:rPr>
        <w:t xml:space="preserve"> eliminovat, nebo udržet na přijatelné úrovni, i když je nutno počítat, že půjde o ekonomicky dražší řešení.</w:t>
      </w:r>
    </w:p>
    <w:p w14:paraId="526D6007" w14:textId="796CD7CE" w:rsidR="00794578" w:rsidRPr="00111F34" w:rsidRDefault="00794578" w:rsidP="00A67277">
      <w:pPr>
        <w:pStyle w:val="Nadpis3"/>
      </w:pPr>
      <w:bookmarkStart w:id="294" w:name="_Toc531606275"/>
      <w:bookmarkStart w:id="295" w:name="_Toc29298363"/>
      <w:bookmarkStart w:id="296" w:name="_Toc138848142"/>
      <w:bookmarkEnd w:id="282"/>
      <w:r w:rsidRPr="00111F34">
        <w:t>Kumulativní a synergické vlivy</w:t>
      </w:r>
      <w:bookmarkEnd w:id="294"/>
      <w:bookmarkEnd w:id="295"/>
      <w:bookmarkEnd w:id="296"/>
    </w:p>
    <w:p w14:paraId="5AD6B665" w14:textId="77777777" w:rsidR="00AE7A7D" w:rsidRPr="00111F34" w:rsidRDefault="00AE7A7D" w:rsidP="00AE7A7D">
      <w:r w:rsidRPr="00111F34">
        <w:t>Zdrojem kumulativních a synergických vlivů je prostorová koncentrace navrhovaných aktivit v prostorově omezené části řešeného území. Míra podrobnosti hodnocení jednotlivých vlivů odpovídá míře podrobnosti, v jaké je daná část (jev, záměr) v rámci koncepce definována nebo vymezena. Pro vyhodnocení kumulativních a synergických vlivů byly vzaty v úvahu všechny relevantní plánované záměry v území bezprostředně související s řešenou ÚPD. Identifikace a vyhodnocení míry a dosahu kumulativních a synergických vlivů je provedeno v kapitole A.VI.</w:t>
      </w:r>
    </w:p>
    <w:p w14:paraId="7A20167B" w14:textId="77777777" w:rsidR="00AE7A7D" w:rsidRPr="00111F34" w:rsidRDefault="00AE7A7D" w:rsidP="00AE7A7D">
      <w:r w:rsidRPr="00111F34">
        <w:t xml:space="preserve">Kumulativními a synergickými vlivy lze rozumět účinky vzniklé v důsledku hromadného nebo společného působení. Rozdíl mezi oběma pojmy v oblasti posuzování vlivů na životní prostředí je možno demonstrovat následovně: kumulativní (hromadný vliv) je dán součtem vlivů stejného druhu, např. více menších zdrojů oxidu dusičitého umístěných blízko sebe způsobí významný vliv na ovzduší „nahromaděním“ těchto emisí, přičemž při posuzování jednotlivých zdrojů izolovaně by takový vliv nemusel být shledán. Synergický (společný) vliv vzniká působením vlivů různého druhu a je od těchto vlivů odlišný, např. současné působení vícero zdrojů různých emisí (průmyslové objekty, povrchové doly, automobilová doprava, letecká doprava) může mít za následek např. kombinované vlivy na lidské zdraví, tento druh vlivů je však velmi těžce měřitelný. </w:t>
      </w:r>
    </w:p>
    <w:p w14:paraId="3C0B6C10" w14:textId="07AE4696" w:rsidR="00AE7A7D" w:rsidRPr="00111F34" w:rsidRDefault="00AE7A7D" w:rsidP="00AE7A7D">
      <w:pPr>
        <w:pStyle w:val="seznamsodrkami"/>
        <w:numPr>
          <w:ilvl w:val="0"/>
          <w:numId w:val="0"/>
        </w:numPr>
      </w:pPr>
      <w:r w:rsidRPr="00111F34">
        <w:rPr>
          <w:lang w:val="cs-CZ"/>
        </w:rPr>
        <w:t xml:space="preserve">V hodnocení kumulativních a synergických vlivů je uplatněno všech 6 kroků hodnocení kumulativních a synergických vlivů, tj. </w:t>
      </w:r>
      <w:r w:rsidRPr="00111F34">
        <w:t>1) nejprve řádně zjistit skutkový stav (stav životního prostředí v řešeném území)</w:t>
      </w:r>
      <w:r w:rsidRPr="00111F34">
        <w:rPr>
          <w:lang w:val="cs-CZ"/>
        </w:rPr>
        <w:t xml:space="preserve"> podrobněji viz kapitola A.III. a A.IV.</w:t>
      </w:r>
      <w:r w:rsidR="000A4AA0" w:rsidRPr="00111F34">
        <w:rPr>
          <w:lang w:val="cs-CZ"/>
        </w:rPr>
        <w:t>;</w:t>
      </w:r>
      <w:r w:rsidRPr="00111F34">
        <w:t xml:space="preserve"> 2) vytipovat charakteristiky životního prostředí, které by mohly být kumulativními a synergickými vlivy významně ovlivněny</w:t>
      </w:r>
      <w:r w:rsidRPr="00111F34">
        <w:rPr>
          <w:lang w:val="cs-CZ"/>
        </w:rPr>
        <w:t xml:space="preserve"> podrobněji </w:t>
      </w:r>
      <w:r w:rsidRPr="00111F34">
        <w:t>a vytipovat konkrétní lokality, v nichž by mohly kumulativní a synergické vlivy vznikat a působit</w:t>
      </w:r>
      <w:r w:rsidRPr="00111F34">
        <w:rPr>
          <w:lang w:val="cs-CZ"/>
        </w:rPr>
        <w:t xml:space="preserve"> viz kapitola A.IV. a A.V.</w:t>
      </w:r>
      <w:r w:rsidR="000A4AA0" w:rsidRPr="00111F34">
        <w:rPr>
          <w:lang w:val="cs-CZ"/>
        </w:rPr>
        <w:t>;</w:t>
      </w:r>
      <w:r w:rsidRPr="00111F34">
        <w:t xml:space="preserve"> 3) zohlednit a zhodnotit kumulativní a synergické vlivy při posuzování variant řešení</w:t>
      </w:r>
      <w:r w:rsidRPr="00111F34">
        <w:rPr>
          <w:lang w:val="cs-CZ"/>
        </w:rPr>
        <w:t xml:space="preserve"> viz </w:t>
      </w:r>
      <w:r w:rsidR="00D508C4" w:rsidRPr="00111F34">
        <w:rPr>
          <w:lang w:val="cs-CZ"/>
        </w:rPr>
        <w:t>k</w:t>
      </w:r>
      <w:r w:rsidRPr="00111F34">
        <w:rPr>
          <w:lang w:val="cs-CZ"/>
        </w:rPr>
        <w:t>apitola A.VI. a A.VII.8 a A.VII.9</w:t>
      </w:r>
      <w:r w:rsidR="000A4AA0" w:rsidRPr="00111F34">
        <w:rPr>
          <w:lang w:val="cs-CZ"/>
        </w:rPr>
        <w:t>;</w:t>
      </w:r>
      <w:r w:rsidRPr="00111F34">
        <w:t xml:space="preserve"> 4) popsat použitou metodologii</w:t>
      </w:r>
      <w:r w:rsidRPr="00111F34">
        <w:rPr>
          <w:lang w:val="cs-CZ"/>
        </w:rPr>
        <w:t xml:space="preserve"> viz A.VII.8</w:t>
      </w:r>
      <w:r w:rsidR="000A4AA0" w:rsidRPr="00111F34">
        <w:rPr>
          <w:lang w:val="cs-CZ"/>
        </w:rPr>
        <w:t>;</w:t>
      </w:r>
      <w:r w:rsidRPr="00111F34">
        <w:t xml:space="preserve"> 5) navrhnout kompenzační opatření, která zabrání vzniku nebo minimalizují působení kumulativních a synergických vlivů</w:t>
      </w:r>
      <w:r w:rsidRPr="00111F34">
        <w:rPr>
          <w:lang w:val="cs-CZ"/>
        </w:rPr>
        <w:t xml:space="preserve"> viz A.VI. a A.VIII.</w:t>
      </w:r>
      <w:r w:rsidRPr="00111F34">
        <w:t xml:space="preserve"> </w:t>
      </w:r>
      <w:r w:rsidRPr="00111F34">
        <w:rPr>
          <w:lang w:val="cs-CZ"/>
        </w:rPr>
        <w:t xml:space="preserve">a A.XI. </w:t>
      </w:r>
      <w:r w:rsidRPr="00111F34">
        <w:t>a 6) stanovit pravidla sledování těchto vlivů</w:t>
      </w:r>
      <w:r w:rsidRPr="00111F34">
        <w:rPr>
          <w:lang w:val="cs-CZ"/>
        </w:rPr>
        <w:t xml:space="preserve"> viz A.X</w:t>
      </w:r>
      <w:r w:rsidRPr="00111F34">
        <w:t>.</w:t>
      </w:r>
    </w:p>
    <w:p w14:paraId="1D3D7390" w14:textId="77777777" w:rsidR="00AE7A7D" w:rsidRPr="00111F34" w:rsidRDefault="00AE7A7D">
      <w:pPr>
        <w:pStyle w:val="seznamsodrkami"/>
        <w:numPr>
          <w:ilvl w:val="0"/>
          <w:numId w:val="38"/>
        </w:numPr>
        <w:rPr>
          <w:i/>
          <w:iCs/>
          <w:lang w:val="cs-CZ"/>
        </w:rPr>
      </w:pPr>
      <w:r w:rsidRPr="00111F34">
        <w:rPr>
          <w:i/>
          <w:iCs/>
          <w:lang w:val="cs-CZ"/>
        </w:rPr>
        <w:t xml:space="preserve">Věcná podstata návrhu a oblast spolupůsobení (podrobněji viz kapitola </w:t>
      </w:r>
      <w:proofErr w:type="gramStart"/>
      <w:r w:rsidRPr="00111F34">
        <w:rPr>
          <w:i/>
          <w:iCs/>
          <w:lang w:val="cs-CZ"/>
        </w:rPr>
        <w:t>A.I</w:t>
      </w:r>
      <w:proofErr w:type="gramEnd"/>
      <w:r w:rsidRPr="00111F34">
        <w:rPr>
          <w:i/>
          <w:iCs/>
          <w:lang w:val="cs-CZ"/>
        </w:rPr>
        <w:t xml:space="preserve"> a A.IV):</w:t>
      </w:r>
    </w:p>
    <w:p w14:paraId="13FF3378" w14:textId="77777777" w:rsidR="008443B2" w:rsidRPr="00111F34" w:rsidRDefault="008443B2" w:rsidP="008443B2">
      <w:r w:rsidRPr="00111F34">
        <w:t>Návrh změny vytváří předpoklady realizace připravovaného komplexního rozvoje rezidenčních lokalit Nový Sedlec a Výhledy, stabilizace tramvajové trati a dopravního řešení v koordinaci s ostatními záměry v území. Cílem změny je vzájemně smysluplně provázat území Sedlce a Suchdola a propojit tuto lokalitu i s centrem Prahy.</w:t>
      </w:r>
    </w:p>
    <w:p w14:paraId="40663133" w14:textId="77777777" w:rsidR="008443B2" w:rsidRPr="00111F34" w:rsidRDefault="008443B2" w:rsidP="008443B2">
      <w:r w:rsidRPr="00111F34">
        <w:t>Změna navrhuje zastavitelné plochy v rozsahu 133 083 m</w:t>
      </w:r>
      <w:r w:rsidRPr="00111F34">
        <w:rPr>
          <w:vertAlign w:val="superscript"/>
        </w:rPr>
        <w:t>2</w:t>
      </w:r>
      <w:r w:rsidRPr="00111F34">
        <w:t>. Oproti tomu návrh změny navrhuje plochy nezastavitelné a tímto ruší zastavitelné plochy v rozsahu 31 244 m</w:t>
      </w:r>
      <w:r w:rsidRPr="00111F34">
        <w:rPr>
          <w:vertAlign w:val="superscript"/>
        </w:rPr>
        <w:t>2</w:t>
      </w:r>
      <w:r w:rsidRPr="00111F34">
        <w:t>. Finálně je ve změně navrhován nárůst zastavitelných ploch v rozsahu 101 839 m</w:t>
      </w:r>
      <w:r w:rsidRPr="00111F34">
        <w:rPr>
          <w:vertAlign w:val="superscript"/>
        </w:rPr>
        <w:t>2</w:t>
      </w:r>
      <w:r w:rsidRPr="00111F34">
        <w:t>.</w:t>
      </w:r>
    </w:p>
    <w:p w14:paraId="2B7A4A9E" w14:textId="77777777" w:rsidR="008443B2" w:rsidRPr="00111F34" w:rsidRDefault="008443B2" w:rsidP="008443B2">
      <w:r w:rsidRPr="00111F34">
        <w:t xml:space="preserve">Z věcného hlediska jsou navrhovány tyto základní typy změn: </w:t>
      </w:r>
    </w:p>
    <w:p w14:paraId="0D8D681E" w14:textId="7E66FDD0" w:rsidR="008443B2" w:rsidRPr="00111F34" w:rsidRDefault="00C51945" w:rsidP="008443B2">
      <w:r w:rsidRPr="00111F34">
        <w:t>Podbabská – Kamýcká</w:t>
      </w:r>
    </w:p>
    <w:p w14:paraId="04DFFCC7" w14:textId="77777777" w:rsidR="008443B2" w:rsidRPr="00111F34" w:rsidRDefault="008443B2" w:rsidP="008443B2">
      <w:r w:rsidRPr="00111F34">
        <w:t>Rozšíření ulice Podbabská/Roztocká – navrhováno rozšíření plochy S2 umožňující umístění tramvajové trati při zachování dostatečného prostoru pro pěší, cyklistickou a motorovou dopravu, na úkor ploch VN, IZ, DZ, ZVO, DGP, ZMK</w:t>
      </w:r>
    </w:p>
    <w:p w14:paraId="1FF10269" w14:textId="77777777" w:rsidR="008443B2" w:rsidRPr="00111F34" w:rsidRDefault="008443B2" w:rsidP="008443B2">
      <w:r w:rsidRPr="00111F34">
        <w:t>Nový Sedlec</w:t>
      </w:r>
    </w:p>
    <w:p w14:paraId="7BF63EBF" w14:textId="3F92C49A" w:rsidR="008443B2" w:rsidRPr="00111F34" w:rsidRDefault="008443B2" w:rsidP="008443B2">
      <w:r w:rsidRPr="00111F34">
        <w:t xml:space="preserve">Rozvoj lokality Nový Sedlec v návaznosti na tramvajovou trať – vymezeny plochy OB-F, ZMK, VV, OV-G, OB-D, OB-C, OB-E, OV-E, SV-F, SV-E, DU, SV-G, DH, pevná značka VV, SP, SO 5,6, plovoucí značka VV, vytvářející územní předpoklady pro obytnou </w:t>
      </w:r>
      <w:r w:rsidR="001D749A" w:rsidRPr="00111F34">
        <w:t>čtvrť</w:t>
      </w:r>
      <w:r w:rsidRPr="00111F34">
        <w:t xml:space="preserve"> na místě stávajících brownfields využívající tramvajové spojení s centrem města, bydlení, veřejná a komerční vybavenost pro území Sedlce (obytné soubory na sever od Kamýcké na území bývalé cihelny a mrazíren); plochy VV jsou  určeny pro umístění škol dvou městských částí – Prahy 6 a Suchdola. Kapacity (kód C-F), nově vymezený ÚSES v souladu se ZÚR. Na úkor ploch </w:t>
      </w:r>
      <w:r w:rsidRPr="00111F34">
        <w:lastRenderedPageBreak/>
        <w:t xml:space="preserve">OP/NL, TVV, OP/OB-B, OP/ZMK, NL/OB-B, NL/SV-B, SV, SV-B, NL/OB-B, NL/ZP, ZP, ZMK, VN, DZ, SP, DH, IZ </w:t>
      </w:r>
    </w:p>
    <w:p w14:paraId="30D225F7" w14:textId="77777777" w:rsidR="008443B2" w:rsidRPr="00111F34" w:rsidRDefault="008443B2" w:rsidP="008443B2">
      <w:r w:rsidRPr="00111F34">
        <w:t>Kamýcká</w:t>
      </w:r>
    </w:p>
    <w:p w14:paraId="090742E2" w14:textId="73258FF3" w:rsidR="008443B2" w:rsidRPr="00111F34" w:rsidRDefault="008443B2" w:rsidP="008443B2">
      <w:r w:rsidRPr="00111F34">
        <w:t>Návrh vyústění přivaděče Rybářka</w:t>
      </w:r>
      <w:r w:rsidR="0087025D" w:rsidRPr="00111F34">
        <w:t>,</w:t>
      </w:r>
      <w:r w:rsidRPr="00111F34">
        <w:t xml:space="preserve"> na základě dopravního prověření vedení tramvajové trati – vymezeny plochy OV-B, OV-C, IZ, DU, DH. Návrh umožňuje variantní řešení vyústění přivaděče Rybářka podle aktuálních podkladů, zachovává všesměrné uspořádání a zároveň maximalizuje vzdálenost portálu tunelu Rybářka do stávající obytné zástavby. Návrh umožní mírný posun portálu a trasy tunelu v souladu se ZÚR. Na úkor ploch ZMK, S2, SV-B, OV-B </w:t>
      </w:r>
    </w:p>
    <w:p w14:paraId="769D9CE2" w14:textId="77777777" w:rsidR="008443B2" w:rsidRPr="00111F34" w:rsidRDefault="008443B2" w:rsidP="008443B2">
      <w:r w:rsidRPr="00111F34">
        <w:t>Rozšíření ulice Kamýcká pro doplnění tramvajové trati – navrhováno rozšíření plochy DU. Rozšíření vychází z úpravy uličního profilu na základě dopravního prověření vedení tramvajové trati, která bude vedena po západní straně Kamýcké ulice a v prostoru Brandejsova náměstí se přesune do osy ulice OB. Na úkor plochy IZ.</w:t>
      </w:r>
    </w:p>
    <w:p w14:paraId="17988091" w14:textId="77777777" w:rsidR="008443B2" w:rsidRPr="00111F34" w:rsidRDefault="008443B2" w:rsidP="008443B2">
      <w:r w:rsidRPr="00111F34">
        <w:t>Výhledy</w:t>
      </w:r>
    </w:p>
    <w:p w14:paraId="5088F4E5" w14:textId="77777777" w:rsidR="008443B2" w:rsidRPr="00111F34" w:rsidRDefault="008443B2" w:rsidP="008443B2">
      <w:r w:rsidRPr="00111F34">
        <w:t>Rozvoj jižní části lokality Výhledy v návaznosti na tramvajovou trať – vymezeny plochy OV-D, SP, pevná značka VV. Změna umožňuje umístění obytné zástavby, veřejné vybavenosti, sportovního areálu a objektu IZS v návaznosti na tramvajovou trať, která se z osy Kamýcké ulice přesune na její východní stranu. Návrh umožní omezený počet parkovacích míst v blízkosti zastávky pro obyvatele Starého Suchdola jako součásti parkovací zóny. Na úkor ploch OV-B, OV-C, OB, ZMK, SP</w:t>
      </w:r>
    </w:p>
    <w:p w14:paraId="00529549" w14:textId="77777777" w:rsidR="008443B2" w:rsidRPr="00111F34" w:rsidRDefault="008443B2" w:rsidP="008443B2">
      <w:r w:rsidRPr="00111F34">
        <w:t>Rozvoj severní části lokality Výhledy v návaznosti na smyčku tramvajové trati a terminál příměstské dopravy – vymezeny plochy OV-C, OV-D, OV-E, SV-D, SV-F, SV-E, DU, DH, IZ, ZMK, NL, pevná značka DH, plovoucí značka VV. Změna navazuje na MUK Suchdol Pražského okruhu a umožní obytnou zástavbu a komerční a veřejnou vybavenost, doplňující tramvajovou smyčku a terminál příměstské autobusové dopravy s P+R pro individuální dopravu. Návrh umožní omezený počet parkovacích míst v blízkosti terminálu pro obyvatele Starého Suchdola jako součásti parkovací zóny. Na úkor ploch ZMK, SV, OV-B, OB-A, I.</w:t>
      </w:r>
    </w:p>
    <w:p w14:paraId="55FDFD4B" w14:textId="3360361A" w:rsidR="000C268C" w:rsidRPr="00111F34" w:rsidRDefault="000C268C" w:rsidP="008443B2">
      <w:r w:rsidRPr="00111F34">
        <w:t xml:space="preserve">Návrh změny vytváří předpoklady realizace připravovaného komplexního rozvoje </w:t>
      </w:r>
      <w:r w:rsidR="0087025D" w:rsidRPr="00111F34">
        <w:t>Suchdola</w:t>
      </w:r>
      <w:r w:rsidRPr="00111F34">
        <w:t xml:space="preserve"> a zároveň v případných následných řízeních o umisťování konkrétních záměrů v území umožňuje navázat na stávající okolní zástavbu a strukturu území. Stanovená míra využití území umožňuje respektovat výškovou hladinu okolní zástavby tak, aby nenarušovala pohledové horizonty a další hodnoty území. </w:t>
      </w:r>
    </w:p>
    <w:p w14:paraId="4BDB9FB0" w14:textId="5A66EC4F" w:rsidR="00D541DF" w:rsidRPr="00111F34" w:rsidRDefault="00AE7A7D" w:rsidP="00F645A4">
      <w:pPr>
        <w:rPr>
          <w:rFonts w:cs="Arial"/>
        </w:rPr>
      </w:pPr>
      <w:r w:rsidRPr="00111F34">
        <w:rPr>
          <w:rFonts w:cs="Arial"/>
        </w:rPr>
        <w:t xml:space="preserve">Oblast kumulací je v tomto případě bezprostřední okolí vymezených ploch a vizuálně dotčený krajinný prostor viz </w:t>
      </w:r>
      <w:r w:rsidR="000C4F0C" w:rsidRPr="00111F34">
        <w:rPr>
          <w:rFonts w:cs="Arial"/>
        </w:rPr>
        <w:fldChar w:fldCharType="begin"/>
      </w:r>
      <w:r w:rsidR="000C4F0C" w:rsidRPr="00111F34">
        <w:rPr>
          <w:rFonts w:cs="Arial"/>
        </w:rPr>
        <w:instrText xml:space="preserve"> REF _Ref136340647 \r \h </w:instrText>
      </w:r>
      <w:r w:rsidR="00111F34">
        <w:rPr>
          <w:rFonts w:cs="Arial"/>
        </w:rPr>
        <w:instrText xml:space="preserve"> \* MERGEFORMAT </w:instrText>
      </w:r>
      <w:r w:rsidR="000C4F0C" w:rsidRPr="00111F34">
        <w:rPr>
          <w:rFonts w:cs="Arial"/>
        </w:rPr>
      </w:r>
      <w:r w:rsidR="000C4F0C" w:rsidRPr="00111F34">
        <w:rPr>
          <w:rFonts w:cs="Arial"/>
        </w:rPr>
        <w:fldChar w:fldCharType="separate"/>
      </w:r>
      <w:r w:rsidR="00EF1B4A">
        <w:rPr>
          <w:rFonts w:cs="Arial"/>
        </w:rPr>
        <w:t>Obr. 43</w:t>
      </w:r>
      <w:r w:rsidR="000C4F0C" w:rsidRPr="00111F34">
        <w:rPr>
          <w:rFonts w:cs="Arial"/>
        </w:rPr>
        <w:fldChar w:fldCharType="end"/>
      </w:r>
      <w:r w:rsidRPr="00111F34">
        <w:rPr>
          <w:rFonts w:cs="Arial"/>
        </w:rPr>
        <w:t>.</w:t>
      </w:r>
      <w:r w:rsidRPr="00111F34">
        <w:t xml:space="preserve"> </w:t>
      </w:r>
    </w:p>
    <w:p w14:paraId="60CB972F" w14:textId="380C1153" w:rsidR="00AE7A7D" w:rsidRPr="00111F34" w:rsidRDefault="00AE7A7D">
      <w:pPr>
        <w:pStyle w:val="seznamsodrkami"/>
        <w:numPr>
          <w:ilvl w:val="0"/>
          <w:numId w:val="38"/>
        </w:numPr>
        <w:rPr>
          <w:i/>
          <w:iCs/>
          <w:lang w:val="cs-CZ"/>
        </w:rPr>
      </w:pPr>
      <w:r w:rsidRPr="00111F34">
        <w:rPr>
          <w:i/>
          <w:iCs/>
          <w:lang w:val="cs-CZ"/>
        </w:rPr>
        <w:t>Spolupůsobící skutečnosti:</w:t>
      </w:r>
    </w:p>
    <w:p w14:paraId="6DDCE340" w14:textId="29229CB1" w:rsidR="008336DF" w:rsidRPr="00111F34" w:rsidRDefault="008336DF" w:rsidP="008336DF">
      <w:r w:rsidRPr="00111F34">
        <w:t>Změna je lokálního charakteru, návrh zakládá předpoklady pro realizaci nové polyfunkční čtvrti</w:t>
      </w:r>
      <w:r w:rsidR="00D508C4" w:rsidRPr="00111F34">
        <w:t xml:space="preserve"> na místě stávajícího brownfieldu</w:t>
      </w:r>
      <w:r w:rsidR="00EE35C8" w:rsidRPr="00111F34">
        <w:t>, realizaci nové tramvajové trati a přestupního terminálu PID</w:t>
      </w:r>
      <w:r w:rsidRPr="00111F34">
        <w:t>. Oblast kumulací je v tomto případě bezprostřední okolí vymezených ploch a vizuálně dotčený krajinný prostor.</w:t>
      </w:r>
    </w:p>
    <w:p w14:paraId="42016D8D" w14:textId="38192FB2" w:rsidR="008336DF" w:rsidRPr="00111F34" w:rsidRDefault="008336DF" w:rsidP="008336DF">
      <w:r w:rsidRPr="00111F34">
        <w:t>Změna je koordinována s ohledem na stávající i plánovanou dopravní infrastrukturu nadmístního významu.</w:t>
      </w:r>
    </w:p>
    <w:p w14:paraId="06E20931" w14:textId="70F7CD12" w:rsidR="008336DF" w:rsidRPr="00111F34" w:rsidRDefault="008336DF" w:rsidP="008336DF">
      <w:pPr>
        <w:pStyle w:val="seznamsodrkami"/>
        <w:numPr>
          <w:ilvl w:val="0"/>
          <w:numId w:val="0"/>
        </w:numPr>
        <w:rPr>
          <w:lang w:val="cs-CZ"/>
        </w:rPr>
      </w:pPr>
      <w:r w:rsidRPr="00111F34">
        <w:rPr>
          <w:lang w:val="cs-CZ"/>
        </w:rPr>
        <w:t>Dle analýzy veřejně dostupných zdrojů nejsou v současnosti známy připravované stavební záměry v řešeném nebo souvisejícím území</w:t>
      </w:r>
      <w:r w:rsidR="00D508C4" w:rsidRPr="00111F34">
        <w:rPr>
          <w:lang w:val="cs-CZ"/>
        </w:rPr>
        <w:t>, které by generovaly významné kumulativní nebo synergické vlivy a nebyly s posuzovanou změnou koordinovány</w:t>
      </w:r>
      <w:r w:rsidRPr="00111F34">
        <w:rPr>
          <w:lang w:val="cs-CZ"/>
        </w:rPr>
        <w:t>.</w:t>
      </w:r>
    </w:p>
    <w:p w14:paraId="0CBC60FB" w14:textId="270EC570" w:rsidR="00EE35C8" w:rsidRPr="00111F34" w:rsidRDefault="00EE35C8" w:rsidP="008336DF">
      <w:pPr>
        <w:pStyle w:val="seznamsodrkami"/>
        <w:numPr>
          <w:ilvl w:val="0"/>
          <w:numId w:val="0"/>
        </w:numPr>
        <w:rPr>
          <w:lang w:val="cs-CZ"/>
        </w:rPr>
      </w:pPr>
      <w:r w:rsidRPr="00111F34">
        <w:rPr>
          <w:lang w:val="cs-CZ"/>
        </w:rPr>
        <w:t>Nejvýznamnější připravovanou stavbou v souvisejícím území je SOPK stavba 518 v úseku Ruzyně – Suchdol.</w:t>
      </w:r>
    </w:p>
    <w:p w14:paraId="02E6BE8B" w14:textId="78FD1A6B" w:rsidR="00EE35C8" w:rsidRPr="00111F34" w:rsidRDefault="00EE35C8" w:rsidP="008336DF">
      <w:pPr>
        <w:pStyle w:val="seznamsodrkami"/>
        <w:numPr>
          <w:ilvl w:val="0"/>
          <w:numId w:val="0"/>
        </w:numPr>
        <w:rPr>
          <w:u w:val="single"/>
          <w:lang w:val="cs-CZ"/>
        </w:rPr>
      </w:pPr>
      <w:r w:rsidRPr="00111F34">
        <w:rPr>
          <w:u w:val="single"/>
          <w:lang w:val="cs-CZ"/>
        </w:rPr>
        <w:t>Stavba 518, Silniční okruh kolem Prahy v úseku Ruzyně – Suchdol, včetně přivaděče Rybářka</w:t>
      </w:r>
    </w:p>
    <w:p w14:paraId="636B8838" w14:textId="5CA64B63" w:rsidR="00EE35C8" w:rsidRPr="00111F34" w:rsidRDefault="00EE35C8" w:rsidP="008336DF">
      <w:pPr>
        <w:pStyle w:val="seznamsodrkami"/>
        <w:numPr>
          <w:ilvl w:val="0"/>
          <w:numId w:val="0"/>
        </w:numPr>
      </w:pPr>
      <w:r w:rsidRPr="00111F34">
        <w:t>Stavba „D0 518 Ruzyně – Suchdol“ je součástí Silničního okruhu kolem Prahy. Po svém dokončení bude tento okružní soubor staveb propojovat 9 dálnic a 2 silnice I. třídy směřujících z Prahy do okolních krajů a států. Tato stavba spolu s  navazující stavbou „D0 519 Suchdol – Březiněves“ propojuje dálnice D7 a  D8. Významně zkracuje vzdálenost a čas potřebný k průjezdu ve směru západní Čechy – východní Čechy, resp. západní Čechy – severní Čechy. Zároveň bude mít pozitivní vliv na městský okruh v severozápadním segmentu, který je dnes využívá</w:t>
      </w:r>
      <w:r w:rsidR="00C52CD7" w:rsidRPr="00111F34">
        <w:rPr>
          <w:lang w:val="cs-CZ"/>
        </w:rPr>
        <w:t>n</w:t>
      </w:r>
      <w:r w:rsidRPr="00111F34">
        <w:t xml:space="preserve"> osobní dopravou pro spojení západ – sever. Pražský okruh má celorepublikový dopravní význam. Převádí tranzitní dopravu ze zastavěného území Prahy na novou kapacitní komunikaci vedoucí v maximální možné vzdálenosti od sídel. Na této nové komunikaci dálničního typu budou realizovány stavebně-technická opatření snižující zatížení obyvatelstva nadměrným hlukem a  jinými negativními vlivy silného provozu. V průchodu mezi Starým a Novým Suchdolem je navržen tunel délky 1970 m. Pražský okruh rovněž rozvádí příměstskou dopravu po okraji hlavního města Prahy.</w:t>
      </w:r>
    </w:p>
    <w:p w14:paraId="76A8D9C9" w14:textId="4D7C1B22" w:rsidR="003565A8" w:rsidRPr="00111F34" w:rsidRDefault="003565A8" w:rsidP="008336DF">
      <w:pPr>
        <w:pStyle w:val="seznamsodrkami"/>
        <w:numPr>
          <w:ilvl w:val="0"/>
          <w:numId w:val="0"/>
        </w:numPr>
        <w:rPr>
          <w:lang w:val="cs-CZ"/>
        </w:rPr>
      </w:pPr>
      <w:r w:rsidRPr="00111F34">
        <w:rPr>
          <w:lang w:val="cs-CZ"/>
        </w:rPr>
        <w:lastRenderedPageBreak/>
        <w:t>Z pohledu zde posuzované změny ÚP hl.m. Prahy je klíčový úsek mezi MÚK Výhledy a MÚK Rybářka, včetně přivaděče Rybářka, který napojuje SO</w:t>
      </w:r>
      <w:r w:rsidR="00481A05">
        <w:rPr>
          <w:lang w:val="cs-CZ"/>
        </w:rPr>
        <w:t>K</w:t>
      </w:r>
      <w:r w:rsidRPr="00111F34">
        <w:rPr>
          <w:lang w:val="cs-CZ"/>
        </w:rPr>
        <w:t>P na ulici Kamýcká a dostává se tak do území řešeného změnou Z 3827/00.</w:t>
      </w:r>
    </w:p>
    <w:p w14:paraId="242AB540" w14:textId="63457298" w:rsidR="003565A8" w:rsidRPr="00111F34" w:rsidRDefault="003565A8" w:rsidP="008336DF">
      <w:pPr>
        <w:pStyle w:val="seznamsodrkami"/>
        <w:numPr>
          <w:ilvl w:val="0"/>
          <w:numId w:val="0"/>
        </w:numPr>
        <w:rPr>
          <w:lang w:val="cs-CZ"/>
        </w:rPr>
      </w:pPr>
      <w:r w:rsidRPr="00111F34">
        <w:t>Severozápadně od Výhledu bude s přeložkou silnice II/241 postavena MÚK Suchdol v km 35,8. Za křižovatkou je trasa vedena v tunelu Suchdol délky 1970 m a světlosti 2x17 m, kterým stavba prochází Starým a Novým Suchdolem. V tunelu budou v každém směru vedeny tři jízdní pruhy a jeden odstavný pruh. Tunel bude budován jako hloubený, nejprve bude odtěžen povrch na úroveň stropu, poté budou realizovány hloubené stěny tunely a následně proběhne výstavba stropu tunelu. Tato konstrukce bude zasypána do původní úrovně terénu. Pod takto vytvořenou konstrukcí proběhne čelní odtěžování zeminy v tubusech tunelu. Za tunelem je v km 38,0 navržena další MÚK, a to Rybářka se stejnojmenným přivaděčem. Tvar křižovatky je trubkovitý. Stavba končí v km 38,250 před opěrou mostu přes Vltavu. Přivaděč Rybářka je dlouhý 1860 m a  je projektován v kategorii MS2 9/9/50. Pomocí přivaděče bude Pražský okruh propojen z MÚK Rybářka s ulicí Kamýcká s  napojením na úrovni ulice K  Vinici. Velká část přivaděče je vedena v hloubeném tunelu délky 980 m. V tunelu budou vedeny dva jízdní pruhy se zpevněnou krajnicí a oboustrannými chodníky</w:t>
      </w:r>
    </w:p>
    <w:p w14:paraId="1A603D9C" w14:textId="72A6F7A5" w:rsidR="003565A8" w:rsidRPr="00111F34" w:rsidRDefault="003565A8" w:rsidP="008336DF">
      <w:pPr>
        <w:pStyle w:val="seznamsodrkami"/>
        <w:numPr>
          <w:ilvl w:val="0"/>
          <w:numId w:val="0"/>
        </w:numPr>
        <w:rPr>
          <w:lang w:val="cs-CZ"/>
        </w:rPr>
      </w:pPr>
      <w:r w:rsidRPr="00111F34">
        <w:t xml:space="preserve">Trasa SOKP je vedená výhradně v koridoru schválených </w:t>
      </w:r>
      <w:r w:rsidRPr="00111F34">
        <w:rPr>
          <w:lang w:val="cs-CZ"/>
        </w:rPr>
        <w:t xml:space="preserve">v </w:t>
      </w:r>
      <w:r w:rsidRPr="00111F34">
        <w:t xml:space="preserve">ZUR hl.m. Prahy a Středočeského kraje (2. Aktualizace ZÚR Středočeského kraje nabyla účinnosti dne 4. 9. 2018). Závěr zjišťovacího řízení MŽP byl vydán 18.12.2019. Závěr vyžaduje prověřit možnost zrušení přivaděče Rybářka, snížení nivelety tunelu v Suchdole, snížení nivelety trasy v oblasti Horoměřic, vybudování tunelu Suchdol raženou metodou. </w:t>
      </w:r>
      <w:r w:rsidRPr="00111F34">
        <w:rPr>
          <w:lang w:val="cs-CZ"/>
        </w:rPr>
        <w:t>Předpoklad předložení dokumentace EIA MŽP dle harmonogramu jaro 2023.</w:t>
      </w:r>
    </w:p>
    <w:p w14:paraId="6A06E401" w14:textId="1F5B7D18" w:rsidR="000D7206" w:rsidRPr="00111F34" w:rsidRDefault="000D7206" w:rsidP="008336DF">
      <w:pPr>
        <w:pStyle w:val="seznamsodrkami"/>
        <w:numPr>
          <w:ilvl w:val="0"/>
          <w:numId w:val="0"/>
        </w:numPr>
        <w:rPr>
          <w:lang w:val="cs-CZ"/>
        </w:rPr>
      </w:pPr>
      <w:r w:rsidRPr="00111F34">
        <w:rPr>
          <w:lang w:val="cs-CZ"/>
        </w:rPr>
        <w:t xml:space="preserve">Pro posouzení spolupůsobení vlivů změny Z 3827/00 a připravované stavby SOKP, 518, čerpáme z oznámení záměru </w:t>
      </w:r>
      <w:r w:rsidRPr="00111F34">
        <w:t>SOKP 518 RUZYNĚ – SUCHDO</w:t>
      </w:r>
      <w:r w:rsidRPr="00111F34">
        <w:rPr>
          <w:lang w:val="cs-CZ"/>
        </w:rPr>
        <w:t xml:space="preserve">L (zhotovitel EKOLA group s.r.o., 04/2019. Dostupné z informačního systému EIA, kód záměru MZP486). </w:t>
      </w:r>
    </w:p>
    <w:p w14:paraId="4AFA3850" w14:textId="1F5AF1B7" w:rsidR="00E9795B" w:rsidRPr="00111F34" w:rsidRDefault="003565A8" w:rsidP="008336DF">
      <w:pPr>
        <w:pStyle w:val="seznamsodrkami"/>
        <w:numPr>
          <w:ilvl w:val="0"/>
          <w:numId w:val="0"/>
        </w:numPr>
        <w:rPr>
          <w:lang w:val="cs-CZ"/>
        </w:rPr>
      </w:pPr>
      <w:r w:rsidRPr="00111F34">
        <w:rPr>
          <w:lang w:val="cs-CZ"/>
        </w:rPr>
        <w:t>V souvislosti s</w:t>
      </w:r>
      <w:r w:rsidR="009D338F" w:rsidRPr="00111F34">
        <w:rPr>
          <w:lang w:val="cs-CZ"/>
        </w:rPr>
        <w:t> touto stavbou lze očekávat pozitivní vliv na obyvatelstvo podél ulice Kamýcká v úseku od křižovatky Rybářka/Kamýcká směrem na sever. Poten</w:t>
      </w:r>
      <w:r w:rsidR="00C52CD7" w:rsidRPr="00111F34">
        <w:rPr>
          <w:lang w:val="cs-CZ"/>
        </w:rPr>
        <w:t>c</w:t>
      </w:r>
      <w:r w:rsidR="009D338F" w:rsidRPr="00111F34">
        <w:rPr>
          <w:lang w:val="cs-CZ"/>
        </w:rPr>
        <w:t>iálně negativní vliv je identifikován jižně do křižovatky Kamýcká. Potenciálně významně pozitivní vliv stavby 518 SOKP je potom možné očekávat především z hlediska odlehčení dopravy na Praze 6</w:t>
      </w:r>
      <w:r w:rsidR="00464F7F" w:rsidRPr="00111F34">
        <w:rPr>
          <w:lang w:val="cs-CZ"/>
        </w:rPr>
        <w:t xml:space="preserve">. </w:t>
      </w:r>
    </w:p>
    <w:p w14:paraId="342AF658" w14:textId="06EB673B" w:rsidR="003565A8" w:rsidRPr="00111F34" w:rsidRDefault="00464F7F" w:rsidP="008336DF">
      <w:pPr>
        <w:pStyle w:val="seznamsodrkami"/>
        <w:numPr>
          <w:ilvl w:val="0"/>
          <w:numId w:val="0"/>
        </w:numPr>
        <w:rPr>
          <w:lang w:val="cs-CZ"/>
        </w:rPr>
      </w:pPr>
      <w:r w:rsidRPr="00111F34">
        <w:rPr>
          <w:lang w:val="cs-CZ"/>
        </w:rPr>
        <w:t>Dle hodnocení vlivů na veřejné zdraví</w:t>
      </w:r>
      <w:r w:rsidR="000D7206" w:rsidRPr="00111F34">
        <w:rPr>
          <w:lang w:val="cs-CZ"/>
        </w:rPr>
        <w:t xml:space="preserve"> zpracovaného v rámci oznámení EIA (</w:t>
      </w:r>
      <w:r w:rsidR="000D7206" w:rsidRPr="00111F34">
        <w:t xml:space="preserve">RNDr. Libuše Bartošová EKOLA group s.r.o., </w:t>
      </w:r>
      <w:r w:rsidR="000D7206" w:rsidRPr="00111F34">
        <w:rPr>
          <w:lang w:val="cs-CZ"/>
        </w:rPr>
        <w:t xml:space="preserve">04/2019) </w:t>
      </w:r>
      <w:r w:rsidRPr="00111F34">
        <w:rPr>
          <w:lang w:val="cs-CZ"/>
        </w:rPr>
        <w:t xml:space="preserve">nedojde na území řešeném posuzovanou změnou územního plánu v důsledku realizace SOKP, stavba 518, ke zvýšení zdravotního rizika z expozice znečištění </w:t>
      </w:r>
      <w:r w:rsidR="00C52CD7" w:rsidRPr="00111F34">
        <w:rPr>
          <w:lang w:val="cs-CZ"/>
        </w:rPr>
        <w:t>o</w:t>
      </w:r>
      <w:r w:rsidRPr="00111F34">
        <w:rPr>
          <w:lang w:val="cs-CZ"/>
        </w:rPr>
        <w:t>vzduší.</w:t>
      </w:r>
      <w:r w:rsidR="00C52CD7" w:rsidRPr="00111F34">
        <w:rPr>
          <w:lang w:val="cs-CZ"/>
        </w:rPr>
        <w:t xml:space="preserve"> </w:t>
      </w:r>
      <w:r w:rsidRPr="00111F34">
        <w:rPr>
          <w:lang w:val="cs-CZ"/>
        </w:rPr>
        <w:t>Z hlediska hlukové zátěže, lze podle provedeného hodnocení zdravotních rizik očekávat, že vlivem realizace SOKP, stavba 518, dojde k</w:t>
      </w:r>
      <w:r w:rsidRPr="00111F34">
        <w:t xml:space="preserve">e zlepšení akustické </w:t>
      </w:r>
      <w:r w:rsidR="00C51945" w:rsidRPr="00111F34">
        <w:t>situace,</w:t>
      </w:r>
      <w:r w:rsidRPr="00111F34">
        <w:t xml:space="preserve"> a tedy předpokládanému snížení míry nepříznivých účinků hluku dojde u obyvatel objektů umístěných v blízkosti stávajících komunikací, u kterých dochází vlivem zprovoznění SOKP 518 ke snížení dopravní zátěže, např. ulice Hrdinů, Únětická, Evropská, K </w:t>
      </w:r>
      <w:r w:rsidR="00C51945" w:rsidRPr="00111F34">
        <w:t>Tuchoměřicím</w:t>
      </w:r>
      <w:r w:rsidRPr="00111F34">
        <w:t xml:space="preserve"> a Kamýcká západně od přivaděče Rybářka. Naopak např. u ulic Revoluční, Suchdolská, Kamýcká východně od přivaděče Rybářka lze očekávat zhoršení akustické situace</w:t>
      </w:r>
      <w:r w:rsidR="00C52CD7" w:rsidRPr="00111F34">
        <w:rPr>
          <w:lang w:val="cs-CZ"/>
        </w:rPr>
        <w:t>,</w:t>
      </w:r>
      <w:r w:rsidRPr="00111F34">
        <w:t xml:space="preserve"> a s tím související navýšení míry nepříznivých účinků hluku z dopravy u exponovaných obyvatel.</w:t>
      </w:r>
      <w:r w:rsidRPr="00111F34">
        <w:rPr>
          <w:lang w:val="cs-CZ"/>
        </w:rPr>
        <w:t xml:space="preserve"> Z hlediska narušení faktorů pohody, to lze očekávat v průběhu výstavby SOKP, zejména při realizaci MÚK Suchdol – Výhledy, </w:t>
      </w:r>
      <w:r w:rsidRPr="00111F34">
        <w:t>Dále je trasa vedena Městskou částí Praha – Suchdol tunelem přes zahrádkářskou osadu a zarůstající louky jen s ojedinělými obytnými objekty (č.p. 421 a 759, č.p. 692 a 532). Výstavbou však budou rušeni obyvatelé všech okolních objektů přímo orientovaných do prostoru stavby. Stejně tak objekty v okolí MÚK Rybářka (např. v ul. U Roztockého háje, Nad Mohylou) a při ulici Na Rybářce, ul. Suchdolská, podél nichž je vedena trasa Přivaděče Rybářka, případně také při ul. Kamýcká.</w:t>
      </w:r>
      <w:r w:rsidRPr="00111F34">
        <w:rPr>
          <w:lang w:val="cs-CZ"/>
        </w:rPr>
        <w:t xml:space="preserve"> To bude v navazujících řízeních řešeno volbou technologie a organizace stavby, bez spolupůsobení se změnou Z 3827/00. V období provozu </w:t>
      </w:r>
      <w:r w:rsidR="000D7206" w:rsidRPr="00111F34">
        <w:rPr>
          <w:lang w:val="cs-CZ"/>
        </w:rPr>
        <w:t>lze obyvatele</w:t>
      </w:r>
      <w:r w:rsidR="000D7206" w:rsidRPr="00111F34">
        <w:t xml:space="preserve"> ovlivněné provozem záměru rozdělit na dvě skupiny. První skupinu představuje obyvatelstvo zástavby situované do nejbližšího okolí záměru, kde se míra vlivů bude přímo odvíjet od polohy jednotlivých objektů vůči záměru. Druhou skupinu představuje obyvatelstvo zástavby situované podél stávající silniční sítě, na níž dojde zprovozněním záměru ke změně dopravního zatížení (viz úvod této kapitoly). U veškeré zástavby přímo orientované k hlavní trase SOKP 518, která bude vedena dnes klidovými oblastmi bez výraznějších rušivých vlivů, nastane přivedením vysoce frekventované komunikace významné zhoršení stávajících poměrů s přímým negativním dopadem na ovlivnění faktorů pohody obyvatel. Tyto vlivy však lze ze značné míry eliminovat přijetím adekvátních opatření, které vhodně začlení novou komunikaci do okolní krajiny a změkčí její technicistní a dynamický ráz. Jedná se o vhodné terénní a vegetační úpravy. </w:t>
      </w:r>
      <w:r w:rsidRPr="00111F34">
        <w:t>Ke zlepšení faktorů pohody dojde</w:t>
      </w:r>
      <w:r w:rsidRPr="00111F34">
        <w:rPr>
          <w:lang w:val="cs-CZ"/>
        </w:rPr>
        <w:t xml:space="preserve"> realizací SOKP, stavba 518</w:t>
      </w:r>
      <w:r w:rsidRPr="00111F34">
        <w:t xml:space="preserve"> u obyvatel podél stávající komunikační sítě, na níž po realizaci záměru dojde k významnému snížení dopravní zátěže (rozsáhlé území MČ Praha 6 - např. ul. Evropská, kde jsou s ní obytné objekty či objekty občanské vybavenosti v bezprostředním vizuálním, zvukovém, pachovém a pocitovém kontaktu. V těchto lokalitách bude eliminován také významný dělící charakter těchto komunikací.</w:t>
      </w:r>
      <w:r w:rsidR="000D7206" w:rsidRPr="00111F34">
        <w:rPr>
          <w:lang w:val="cs-CZ"/>
        </w:rPr>
        <w:t xml:space="preserve"> </w:t>
      </w:r>
      <w:r w:rsidR="000D7206" w:rsidRPr="00111F34">
        <w:t xml:space="preserve">Aktivní varianta výrazně přispěje k zajištění fungujícího celoměstského </w:t>
      </w:r>
      <w:r w:rsidR="000D7206" w:rsidRPr="00111F34">
        <w:lastRenderedPageBreak/>
        <w:t>dopravního radiálně</w:t>
      </w:r>
      <w:r w:rsidR="00E9795B" w:rsidRPr="00111F34">
        <w:rPr>
          <w:lang w:val="cs-CZ"/>
        </w:rPr>
        <w:t>-</w:t>
      </w:r>
      <w:r w:rsidR="000D7206" w:rsidRPr="00111F34">
        <w:t>okružního systému</w:t>
      </w:r>
      <w:r w:rsidR="000D7206" w:rsidRPr="00111F34">
        <w:rPr>
          <w:lang w:val="cs-CZ"/>
        </w:rPr>
        <w:t>; z</w:t>
      </w:r>
      <w:r w:rsidR="000D7206" w:rsidRPr="00111F34">
        <w:t>lepšení plynulosti a bezpečnosti provozu na páteřních komunikacích na území Hl. m. Prahy, eliminace přetížení sítě místních komunikací</w:t>
      </w:r>
      <w:r w:rsidR="000D7206" w:rsidRPr="00111F34">
        <w:rPr>
          <w:lang w:val="cs-CZ"/>
        </w:rPr>
        <w:t xml:space="preserve">; </w:t>
      </w:r>
      <w:r w:rsidR="00F94D3C" w:rsidRPr="00111F34">
        <w:t>převedení</w:t>
      </w:r>
      <w:r w:rsidR="000D7206" w:rsidRPr="00111F34">
        <w:t xml:space="preserve"> tranzitní dálkové dopravy, ochrana před nežádoucími průjezdy tranzitu a zbytným dopravním zatížením městské komunikační sítě</w:t>
      </w:r>
      <w:r w:rsidR="000D7206" w:rsidRPr="00111F34">
        <w:rPr>
          <w:lang w:val="cs-CZ"/>
        </w:rPr>
        <w:t>, v</w:t>
      </w:r>
      <w:proofErr w:type="spellStart"/>
      <w:r w:rsidR="000D7206" w:rsidRPr="00111F34">
        <w:t>ytvoření</w:t>
      </w:r>
      <w:proofErr w:type="spellEnd"/>
      <w:r w:rsidR="000D7206" w:rsidRPr="00111F34">
        <w:t xml:space="preserve"> nového kapacitního propojení obou Vltavských břehů mezi mostem přes Vltavu v Holešovicích a v Kralupech nad Vltavou</w:t>
      </w:r>
      <w:r w:rsidR="000D7206" w:rsidRPr="00111F34">
        <w:rPr>
          <w:lang w:val="cs-CZ"/>
        </w:rPr>
        <w:t xml:space="preserve"> a z</w:t>
      </w:r>
      <w:r w:rsidR="000D7206" w:rsidRPr="00111F34">
        <w:t xml:space="preserve">lepšení </w:t>
      </w:r>
      <w:r w:rsidR="000D7206" w:rsidRPr="00111F34">
        <w:rPr>
          <w:lang w:val="cs-CZ"/>
        </w:rPr>
        <w:t>komfortu</w:t>
      </w:r>
      <w:r w:rsidR="000D7206" w:rsidRPr="00111F34">
        <w:t xml:space="preserve"> při průjezdu městem, eliminace kongescí a časových zdržení</w:t>
      </w:r>
      <w:r w:rsidR="00C52CD7" w:rsidRPr="00111F34">
        <w:rPr>
          <w:lang w:val="cs-CZ"/>
        </w:rPr>
        <w:t>,</w:t>
      </w:r>
      <w:r w:rsidR="000D7206" w:rsidRPr="00111F34">
        <w:t xml:space="preserve"> a s tím spojených škod na zdraví a majetku osob.</w:t>
      </w:r>
    </w:p>
    <w:p w14:paraId="1049E43B" w14:textId="2D066AAB" w:rsidR="003565A8" w:rsidRPr="00111F34" w:rsidRDefault="003565A8" w:rsidP="008336DF">
      <w:pPr>
        <w:pStyle w:val="seznamsodrkami"/>
        <w:numPr>
          <w:ilvl w:val="0"/>
          <w:numId w:val="0"/>
        </w:numPr>
        <w:rPr>
          <w:lang w:val="cs-CZ"/>
        </w:rPr>
      </w:pPr>
      <w:r w:rsidRPr="00111F34">
        <w:rPr>
          <w:noProof/>
          <w:lang w:val="cs-CZ"/>
        </w:rPr>
        <w:drawing>
          <wp:inline distT="0" distB="0" distL="0" distR="0" wp14:anchorId="6A36E135" wp14:editId="2D41FE8A">
            <wp:extent cx="6120130" cy="5147945"/>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6120130" cy="5147945"/>
                    </a:xfrm>
                    <a:prstGeom prst="rect">
                      <a:avLst/>
                    </a:prstGeom>
                  </pic:spPr>
                </pic:pic>
              </a:graphicData>
            </a:graphic>
          </wp:inline>
        </w:drawing>
      </w:r>
    </w:p>
    <w:p w14:paraId="0D560DD3" w14:textId="57BC428A" w:rsidR="003565A8" w:rsidRPr="00111F34" w:rsidRDefault="003565A8" w:rsidP="003565A8">
      <w:pPr>
        <w:pStyle w:val="Obrnadpis"/>
      </w:pPr>
      <w:bookmarkStart w:id="297" w:name="_Toc138848231"/>
      <w:r w:rsidRPr="00111F34">
        <w:t>Schéma vedení SOKP, stavba 518 v souvisejícím území – výřez, zdroj: ŘSD, cit. 14.4.2023</w:t>
      </w:r>
      <w:bookmarkEnd w:id="297"/>
    </w:p>
    <w:p w14:paraId="1C61D711" w14:textId="0CC3B353" w:rsidR="003565A8" w:rsidRDefault="00E9795B" w:rsidP="008336DF">
      <w:pPr>
        <w:pStyle w:val="seznamsodrkami"/>
        <w:numPr>
          <w:ilvl w:val="0"/>
          <w:numId w:val="0"/>
        </w:numPr>
        <w:rPr>
          <w:lang w:val="cs-CZ"/>
        </w:rPr>
      </w:pPr>
      <w:r w:rsidRPr="00111F34">
        <w:rPr>
          <w:lang w:val="cs-CZ"/>
        </w:rPr>
        <w:t>Z hlediska spolupůsobení se změnou územního plánu Z 3</w:t>
      </w:r>
      <w:r w:rsidR="0087025D" w:rsidRPr="00111F34">
        <w:rPr>
          <w:lang w:val="cs-CZ"/>
        </w:rPr>
        <w:t>8</w:t>
      </w:r>
      <w:r w:rsidRPr="00111F34">
        <w:rPr>
          <w:lang w:val="cs-CZ"/>
        </w:rPr>
        <w:t xml:space="preserve">27/00 lze očekávat významně pozitivní </w:t>
      </w:r>
      <w:r w:rsidR="009E6461" w:rsidRPr="00111F34">
        <w:rPr>
          <w:lang w:val="cs-CZ"/>
        </w:rPr>
        <w:t xml:space="preserve">synergické </w:t>
      </w:r>
      <w:r w:rsidRPr="00111F34">
        <w:rPr>
          <w:lang w:val="cs-CZ"/>
        </w:rPr>
        <w:t xml:space="preserve">spolupůsobení s nadmístním dopadem v důsledku zlepšení dopravní obsluhy území, odlehčení ulice Kamýcká v úseku </w:t>
      </w:r>
      <w:r w:rsidR="004819BE" w:rsidRPr="00111F34">
        <w:rPr>
          <w:lang w:val="cs-CZ"/>
        </w:rPr>
        <w:t xml:space="preserve">západně </w:t>
      </w:r>
      <w:r w:rsidRPr="00111F34">
        <w:rPr>
          <w:lang w:val="cs-CZ"/>
        </w:rPr>
        <w:t xml:space="preserve">od křižovatky </w:t>
      </w:r>
      <w:r w:rsidR="00100800" w:rsidRPr="00111F34">
        <w:rPr>
          <w:lang w:val="cs-CZ"/>
        </w:rPr>
        <w:t>s přivaděčem Rybářka,</w:t>
      </w:r>
      <w:r w:rsidRPr="00111F34">
        <w:rPr>
          <w:lang w:val="cs-CZ"/>
        </w:rPr>
        <w:t xml:space="preserve"> a to včetně </w:t>
      </w:r>
      <w:r w:rsidR="004819BE" w:rsidRPr="00111F34">
        <w:rPr>
          <w:lang w:val="cs-CZ"/>
        </w:rPr>
        <w:t>s</w:t>
      </w:r>
      <w:r w:rsidRPr="00111F34">
        <w:rPr>
          <w:lang w:val="cs-CZ"/>
        </w:rPr>
        <w:t>nížení hlukové zátěže</w:t>
      </w:r>
      <w:r w:rsidR="004819BE" w:rsidRPr="00111F34">
        <w:rPr>
          <w:lang w:val="cs-CZ"/>
        </w:rPr>
        <w:t>. Naopak</w:t>
      </w:r>
      <w:r w:rsidRPr="00111F34">
        <w:rPr>
          <w:lang w:val="cs-CZ"/>
        </w:rPr>
        <w:t xml:space="preserve"> mírně negativní spolupůsobení</w:t>
      </w:r>
      <w:r w:rsidR="009E6461" w:rsidRPr="00111F34">
        <w:rPr>
          <w:lang w:val="cs-CZ"/>
        </w:rPr>
        <w:t xml:space="preserve"> s kumulativním i synergickým účinkem</w:t>
      </w:r>
      <w:r w:rsidRPr="00111F34">
        <w:rPr>
          <w:lang w:val="cs-CZ"/>
        </w:rPr>
        <w:t xml:space="preserve"> s místním dopadem lze očekávat v prostoru východně od křižovatky </w:t>
      </w:r>
      <w:r w:rsidR="00100800" w:rsidRPr="00111F34">
        <w:rPr>
          <w:lang w:val="cs-CZ"/>
        </w:rPr>
        <w:t>Suchdolská</w:t>
      </w:r>
      <w:r w:rsidR="00C52CD7" w:rsidRPr="00111F34">
        <w:rPr>
          <w:lang w:val="cs-CZ"/>
        </w:rPr>
        <w:t>, resp. Rybářka</w:t>
      </w:r>
      <w:r w:rsidRPr="00111F34">
        <w:rPr>
          <w:lang w:val="cs-CZ"/>
        </w:rPr>
        <w:t>/Kamýcká vůči nejbližším hlukově ch</w:t>
      </w:r>
      <w:r w:rsidR="00100800" w:rsidRPr="00111F34">
        <w:rPr>
          <w:lang w:val="cs-CZ"/>
        </w:rPr>
        <w:t>rá</w:t>
      </w:r>
      <w:r w:rsidRPr="00111F34">
        <w:rPr>
          <w:lang w:val="cs-CZ"/>
        </w:rPr>
        <w:t xml:space="preserve">něným prostorům z hlediska spolupůsobení zvýšeného provozu po ulici Kamýcká v úseku východně od </w:t>
      </w:r>
      <w:r w:rsidR="00100800" w:rsidRPr="00111F34">
        <w:rPr>
          <w:lang w:val="cs-CZ"/>
        </w:rPr>
        <w:t xml:space="preserve">napojení </w:t>
      </w:r>
      <w:r w:rsidRPr="00111F34">
        <w:rPr>
          <w:lang w:val="cs-CZ"/>
        </w:rPr>
        <w:t>přivaděče Rybářka a tram</w:t>
      </w:r>
      <w:r w:rsidR="00100800" w:rsidRPr="00111F34">
        <w:rPr>
          <w:lang w:val="cs-CZ"/>
        </w:rPr>
        <w:t>v</w:t>
      </w:r>
      <w:r w:rsidRPr="00111F34">
        <w:rPr>
          <w:lang w:val="cs-CZ"/>
        </w:rPr>
        <w:t xml:space="preserve">ajové trati, a to jak z hlediska zvýšení hlukové zátěže v území, tak vložení nových zdrojů vyvolané dopravy (rozvoj Nový Sedlec, přivaděč </w:t>
      </w:r>
      <w:r w:rsidR="00C51945" w:rsidRPr="00111F34">
        <w:rPr>
          <w:lang w:val="cs-CZ"/>
        </w:rPr>
        <w:t>Rybářka,</w:t>
      </w:r>
      <w:r w:rsidRPr="00111F34">
        <w:rPr>
          <w:lang w:val="cs-CZ"/>
        </w:rPr>
        <w:t xml:space="preserve"> resp. SOKP</w:t>
      </w:r>
      <w:r w:rsidR="00100800" w:rsidRPr="00111F34">
        <w:rPr>
          <w:lang w:val="cs-CZ"/>
        </w:rPr>
        <w:t>, tramvaj</w:t>
      </w:r>
      <w:r w:rsidRPr="00111F34">
        <w:rPr>
          <w:lang w:val="cs-CZ"/>
        </w:rPr>
        <w:t>).</w:t>
      </w:r>
      <w:r w:rsidR="00C52CD7" w:rsidRPr="00111F34">
        <w:rPr>
          <w:lang w:val="cs-CZ"/>
        </w:rPr>
        <w:t xml:space="preserve"> </w:t>
      </w:r>
      <w:r w:rsidR="00100800" w:rsidRPr="00111F34">
        <w:rPr>
          <w:lang w:val="cs-CZ"/>
        </w:rPr>
        <w:t>Z hlediska stávajícího stavu využití území se jedná o budovu č. p. 34</w:t>
      </w:r>
      <w:r w:rsidR="00C04EE1" w:rsidRPr="00111F34">
        <w:rPr>
          <w:lang w:val="cs-CZ"/>
        </w:rPr>
        <w:t xml:space="preserve"> při ulici Kamýcká</w:t>
      </w:r>
      <w:r w:rsidR="00100800" w:rsidRPr="00111F34">
        <w:rPr>
          <w:lang w:val="cs-CZ"/>
        </w:rPr>
        <w:t>, v k. ú. Sedlec, která je dle KN objektem určeným k bydlením a může být potenciálně dotčena zvýšením hlukové zátěže s kumulativním a synergickým spolupůsobením v důsledku realizace SOKP 518 a změny Z</w:t>
      </w:r>
      <w:r w:rsidR="009E6461" w:rsidRPr="00111F34">
        <w:rPr>
          <w:lang w:val="cs-CZ"/>
        </w:rPr>
        <w:t> </w:t>
      </w:r>
      <w:r w:rsidR="00100800" w:rsidRPr="00111F34">
        <w:rPr>
          <w:lang w:val="cs-CZ"/>
        </w:rPr>
        <w:t>3</w:t>
      </w:r>
      <w:r w:rsidR="009E6461" w:rsidRPr="00111F34">
        <w:rPr>
          <w:lang w:val="cs-CZ"/>
        </w:rPr>
        <w:t xml:space="preserve">827. </w:t>
      </w:r>
      <w:r w:rsidR="004819BE" w:rsidRPr="00111F34">
        <w:rPr>
          <w:lang w:val="cs-CZ"/>
        </w:rPr>
        <w:t xml:space="preserve">V navazujících řízeních tak musí být přijata opatření pro minimalizaci negativních vlivů tak, aby nedošlo k nadlimitnímu zvýšení hlukové zátěže v důsledku realizace přivaděče Rybářka i v kontextu tramvajové trati Podbaba – Suchdol. </w:t>
      </w:r>
    </w:p>
    <w:p w14:paraId="0BEF81FD" w14:textId="77777777" w:rsidR="00585C9B" w:rsidRPr="00111F34" w:rsidRDefault="00585C9B" w:rsidP="008336DF">
      <w:pPr>
        <w:pStyle w:val="seznamsodrkami"/>
        <w:numPr>
          <w:ilvl w:val="0"/>
          <w:numId w:val="0"/>
        </w:numPr>
        <w:rPr>
          <w:lang w:val="cs-CZ"/>
        </w:rPr>
      </w:pPr>
    </w:p>
    <w:p w14:paraId="28874CC2" w14:textId="3DCACA25" w:rsidR="008336DF" w:rsidRPr="00111F34" w:rsidRDefault="008336DF" w:rsidP="008336DF">
      <w:pPr>
        <w:pStyle w:val="seznamsodrkami"/>
        <w:numPr>
          <w:ilvl w:val="0"/>
          <w:numId w:val="0"/>
        </w:numPr>
        <w:rPr>
          <w:u w:val="single"/>
          <w:lang w:val="cs-CZ"/>
        </w:rPr>
      </w:pPr>
      <w:r w:rsidRPr="00111F34">
        <w:rPr>
          <w:u w:val="single"/>
          <w:lang w:val="cs-CZ"/>
        </w:rPr>
        <w:lastRenderedPageBreak/>
        <w:t>Související strategické záměry v území dle platné nebo připravované územně plánovací dokumentace:</w:t>
      </w:r>
    </w:p>
    <w:p w14:paraId="196620F7" w14:textId="77777777" w:rsidR="00F61D24" w:rsidRPr="00111F34" w:rsidRDefault="000A2B7B" w:rsidP="008336DF">
      <w:pPr>
        <w:pStyle w:val="seznamsodrkami"/>
        <w:numPr>
          <w:ilvl w:val="0"/>
          <w:numId w:val="0"/>
        </w:numPr>
        <w:rPr>
          <w:i/>
          <w:iCs/>
          <w:u w:val="single"/>
          <w:lang w:val="cs-CZ"/>
        </w:rPr>
      </w:pPr>
      <w:r w:rsidRPr="00111F34">
        <w:rPr>
          <w:i/>
          <w:iCs/>
          <w:u w:val="single"/>
        </w:rPr>
        <w:t>Probíhající změny platného územního plánu v řešeném území</w:t>
      </w:r>
      <w:r w:rsidR="00F61D24" w:rsidRPr="00111F34">
        <w:rPr>
          <w:i/>
          <w:iCs/>
          <w:u w:val="single"/>
          <w:lang w:val="cs-CZ"/>
        </w:rPr>
        <w:t>:</w:t>
      </w:r>
    </w:p>
    <w:p w14:paraId="6348897B" w14:textId="1362B65A" w:rsidR="00F61D24" w:rsidRPr="00111F34" w:rsidRDefault="000A2B7B" w:rsidP="00F61D24">
      <w:pPr>
        <w:pStyle w:val="Odrky1"/>
      </w:pPr>
      <w:r w:rsidRPr="00111F34">
        <w:t xml:space="preserve">Z3000 Změna funkčního využití ploch ve vazbě na navrhované trasování TT Podbaba — Suchdol </w:t>
      </w:r>
      <w:r w:rsidR="00DC712D" w:rsidRPr="00111F34">
        <w:t>– pořizování změny ukončeno usnesením zastupitelstva Hl. m. Prahy 30/15 ze dne 14.10.2021.</w:t>
      </w:r>
    </w:p>
    <w:p w14:paraId="424D6212" w14:textId="61492EAE" w:rsidR="00DC712D" w:rsidRPr="00111F34" w:rsidRDefault="000A2B7B" w:rsidP="00DC712D">
      <w:pPr>
        <w:pStyle w:val="Odrky1"/>
      </w:pPr>
      <w:r w:rsidRPr="00111F34">
        <w:t xml:space="preserve">Z2851 Obytná </w:t>
      </w:r>
      <w:r w:rsidR="00C51945" w:rsidRPr="00111F34">
        <w:t>zástavba – Přerušení</w:t>
      </w:r>
      <w:r w:rsidR="00DC712D" w:rsidRPr="00111F34">
        <w:t xml:space="preserve"> pořizování </w:t>
      </w:r>
      <w:r w:rsidR="0065661B" w:rsidRPr="00111F34">
        <w:t xml:space="preserve">změny </w:t>
      </w:r>
      <w:r w:rsidR="00DC712D" w:rsidRPr="00111F34">
        <w:t>usnesením Zastupitelstva hl. m. Prahy č. 25/24</w:t>
      </w:r>
      <w:r w:rsidR="0065661B" w:rsidRPr="00111F34">
        <w:t xml:space="preserve"> </w:t>
      </w:r>
      <w:r w:rsidR="00DC712D" w:rsidRPr="00111F34">
        <w:t>ze dne 30. 3. 2017.</w:t>
      </w:r>
    </w:p>
    <w:p w14:paraId="7DA39ED5" w14:textId="49DDAA42" w:rsidR="00D541DF" w:rsidRPr="00111F34" w:rsidRDefault="000A2B7B" w:rsidP="00D541DF">
      <w:pPr>
        <w:pStyle w:val="Odrky1"/>
      </w:pPr>
      <w:r w:rsidRPr="00111F34">
        <w:t>Z2849 Koridor pro tramvajové spojení s centrem v trase podél ulic Podbabská, Roztock</w:t>
      </w:r>
      <w:r w:rsidR="0087025D" w:rsidRPr="00111F34">
        <w:t>á.</w:t>
      </w:r>
      <w:r w:rsidRPr="00111F34">
        <w:t xml:space="preserve"> </w:t>
      </w:r>
      <w:r w:rsidR="00D541DF" w:rsidRPr="00111F34">
        <w:t xml:space="preserve">Schváleno zadání usneseními ZHMP č. 39/9 ze dne 29. 5. 2014 a č. 40/2 ze dne 19. 6. 2014. Stejný předmět řešení jako zde posuzovaná změna. Nejedná se tedy o kumulaci vlivů ale o územní překryv. </w:t>
      </w:r>
    </w:p>
    <w:p w14:paraId="33BB6DDB" w14:textId="46735F0A" w:rsidR="00F61D24" w:rsidRPr="00111F34" w:rsidRDefault="00F61D24" w:rsidP="00F61D24">
      <w:r w:rsidRPr="00111F34">
        <w:t>Posuzovaná změna územního plánu Z3827/00 Nový Sedlec je zpracována s cílem koordinace řešení výše uvedených změn územního plánu v řešeném území tak</w:t>
      </w:r>
      <w:r w:rsidR="003F2BC6">
        <w:t>,</w:t>
      </w:r>
      <w:r w:rsidRPr="00111F34">
        <w:t xml:space="preserve"> aby došlo ke sjednocení koncepce řešení a koordinaci jednotlivých záměrů v území. Nejedná se tedy o vzájemnou kumulaci vlivů a</w:t>
      </w:r>
      <w:r w:rsidR="007C543A" w:rsidRPr="00111F34">
        <w:t>le</w:t>
      </w:r>
      <w:r w:rsidRPr="00111F34">
        <w:t xml:space="preserve"> o územní překryv. </w:t>
      </w:r>
    </w:p>
    <w:p w14:paraId="436E4BB3" w14:textId="77777777" w:rsidR="00F61D24" w:rsidRPr="00111F34" w:rsidRDefault="000A2B7B" w:rsidP="008336DF">
      <w:pPr>
        <w:pStyle w:val="seznamsodrkami"/>
        <w:numPr>
          <w:ilvl w:val="0"/>
          <w:numId w:val="0"/>
        </w:numPr>
        <w:rPr>
          <w:i/>
          <w:iCs/>
          <w:u w:val="single"/>
          <w:lang w:val="cs-CZ"/>
        </w:rPr>
      </w:pPr>
      <w:r w:rsidRPr="00111F34">
        <w:rPr>
          <w:i/>
          <w:iCs/>
          <w:u w:val="single"/>
        </w:rPr>
        <w:t>Probíhající změny platného územního plánu v širším řešeném území</w:t>
      </w:r>
      <w:r w:rsidR="00F61D24" w:rsidRPr="00111F34">
        <w:rPr>
          <w:i/>
          <w:iCs/>
          <w:u w:val="single"/>
          <w:lang w:val="cs-CZ"/>
        </w:rPr>
        <w:t>:</w:t>
      </w:r>
    </w:p>
    <w:p w14:paraId="701E70A3" w14:textId="60B9AB0D" w:rsidR="00D541DF" w:rsidRPr="00111F34" w:rsidRDefault="000A2B7B" w:rsidP="00D541DF">
      <w:pPr>
        <w:pStyle w:val="Odrky1"/>
      </w:pPr>
      <w:r w:rsidRPr="00111F34">
        <w:t xml:space="preserve">Z3328 Změna funkčního využití ploch, transformace na obytné </w:t>
      </w:r>
      <w:r w:rsidR="00C51945" w:rsidRPr="00111F34">
        <w:t xml:space="preserve">centrum – </w:t>
      </w:r>
      <w:proofErr w:type="spellStart"/>
      <w:r w:rsidR="00C51945" w:rsidRPr="00111F34">
        <w:t>Sofil</w:t>
      </w:r>
      <w:proofErr w:type="spellEnd"/>
      <w:r w:rsidR="00182994" w:rsidRPr="00111F34">
        <w:t xml:space="preserve"> – bez vazby na řešené území a posuzovanou změnu územního plánu</w:t>
      </w:r>
      <w:r w:rsidR="00DC712D" w:rsidRPr="00111F34">
        <w:t>.</w:t>
      </w:r>
      <w:r w:rsidRPr="00111F34">
        <w:t xml:space="preserve"> </w:t>
      </w:r>
      <w:r w:rsidR="00182994" w:rsidRPr="00111F34">
        <w:t>Veřejné projednání změny proběhlo 12.6.2020. Změna dosud nebyla vydána (</w:t>
      </w:r>
      <w:r w:rsidR="0065661B" w:rsidRPr="00111F34">
        <w:t xml:space="preserve">dle webu OUR MHLMP ke dni </w:t>
      </w:r>
      <w:r w:rsidR="00182994" w:rsidRPr="00111F34">
        <w:t>6.6.2023)</w:t>
      </w:r>
      <w:r w:rsidR="0065661B" w:rsidRPr="00111F34">
        <w:t>.</w:t>
      </w:r>
      <w:r w:rsidR="00D541DF" w:rsidRPr="00111F34">
        <w:t xml:space="preserve"> V rámci vyhodnocení vlivů na udržitelný rozvoj území zohledněno jako uvažované rozvojové záměry a strategické rozhodnutí při vyhodnocení kumulativních a synergických vlivů. </w:t>
      </w:r>
    </w:p>
    <w:p w14:paraId="655F872B" w14:textId="25C46FDC" w:rsidR="0065661B" w:rsidRPr="00111F34" w:rsidRDefault="0065661B" w:rsidP="009B4A0C">
      <w:pPr>
        <w:pStyle w:val="Odrky1"/>
      </w:pPr>
      <w:r w:rsidRPr="00111F34">
        <w:t>Z2846 Výstavba mateřské školy v severní části území, na zbylém výstavba rodinných domů – změna před vydáním, proběhlo VVURÚ s konstatováním, že změna nemá negativní vliv na životní prostředí ani ostatní pilíře udržitelného rozvoje. Veřejné projednání změny 22.9.2022. Změna dosud nebyla vydána (dle webu OUR MHLMP ke dni 6.6.2023).</w:t>
      </w:r>
      <w:r w:rsidR="00D541DF" w:rsidRPr="00111F34">
        <w:t xml:space="preserve"> </w:t>
      </w:r>
      <w:r w:rsidRPr="00111F34">
        <w:t xml:space="preserve">V rámci vyhodnocení vlivů na udržitelný rozvoj území zohledněno jako uvažované rozvojové záměry a strategické rozhodnutí při vyhodnocení kumulativních a synergických vlivů. </w:t>
      </w:r>
    </w:p>
    <w:p w14:paraId="3D43315F" w14:textId="6D6565B5" w:rsidR="00F61D24" w:rsidRPr="00111F34" w:rsidRDefault="000A2B7B" w:rsidP="00182994">
      <w:pPr>
        <w:pStyle w:val="Odrky1"/>
      </w:pPr>
      <w:r w:rsidRPr="00111F34">
        <w:t>Z3287 Změna funkčního využití ploch, rekonverze stávajícího skladového areálu na obytnou</w:t>
      </w:r>
      <w:r w:rsidR="0087025D" w:rsidRPr="00111F34">
        <w:t xml:space="preserve"> </w:t>
      </w:r>
      <w:r w:rsidR="00C51945" w:rsidRPr="00111F34">
        <w:t>zónu – pořizování</w:t>
      </w:r>
      <w:r w:rsidR="00182994" w:rsidRPr="00111F34">
        <w:t xml:space="preserve"> změny Z 3287/18 bylo ukončeno usnesením č. 18/51 Zastupitelstva hl. m. Prahy ze dne 2. 7. 2020</w:t>
      </w:r>
      <w:r w:rsidR="00DC712D" w:rsidRPr="00111F34">
        <w:t>.</w:t>
      </w:r>
      <w:r w:rsidRPr="00111F34">
        <w:t xml:space="preserve"> </w:t>
      </w:r>
    </w:p>
    <w:p w14:paraId="27B9C2A3" w14:textId="75D9D7A8" w:rsidR="000A2B7B" w:rsidRPr="00111F34" w:rsidRDefault="000A2B7B" w:rsidP="009B4A0C">
      <w:pPr>
        <w:pStyle w:val="Odrky1"/>
      </w:pPr>
      <w:r w:rsidRPr="00111F34">
        <w:t xml:space="preserve">Z3306 Změna funkčního využití ploch, realizace obytné </w:t>
      </w:r>
      <w:r w:rsidR="00C51945" w:rsidRPr="00111F34">
        <w:t>zástavby – pořizování</w:t>
      </w:r>
      <w:r w:rsidR="00182994" w:rsidRPr="00111F34">
        <w:t xml:space="preserve"> změny Z 3306/18 bylo ukončeno usnesením č. 4/13 Zastupitelstva hl. m. Prahy ze dne 25. 5. 2023.</w:t>
      </w:r>
    </w:p>
    <w:p w14:paraId="59ED9C87" w14:textId="341CD761" w:rsidR="00F61D24" w:rsidRPr="00111F34" w:rsidRDefault="00F61D24" w:rsidP="00F61D24">
      <w:pPr>
        <w:pStyle w:val="Odrky1"/>
      </w:pPr>
      <w:r w:rsidRPr="00111F34">
        <w:t>Z2784/00 Změna funkčního využití ploch, jejíž předmětem je zanesení staveb č. 518 a 519 SOKP (Pražský silniční okruh) do územního plánu dle projektové dokumentace k územnímu řízení.</w:t>
      </w:r>
    </w:p>
    <w:p w14:paraId="5396B962" w14:textId="69B11D62" w:rsidR="00FB743F" w:rsidRPr="00111F34" w:rsidRDefault="00F61D24" w:rsidP="00FB743F">
      <w:r w:rsidRPr="00111F34">
        <w:t>Výše uvedené změny byly zohledněny při zpracování podkladové studie i výsledného návrhu změny Z </w:t>
      </w:r>
      <w:r w:rsidR="008469E1">
        <w:t>3827</w:t>
      </w:r>
      <w:r w:rsidRPr="00111F34">
        <w:t xml:space="preserve">/00. </w:t>
      </w:r>
      <w:r w:rsidR="00FB743F" w:rsidRPr="00111F34">
        <w:t>Zapracované dopravní vstupy zohledňují nejenom rozvoj spádového (řešeného) území, ale také přilehlé záměry v oblasti Sedlce a Suchdola (zejména projekty „</w:t>
      </w:r>
      <w:proofErr w:type="spellStart"/>
      <w:r w:rsidR="00FB743F" w:rsidRPr="00111F34">
        <w:t>Sofil</w:t>
      </w:r>
      <w:proofErr w:type="spellEnd"/>
      <w:r w:rsidR="00FB743F" w:rsidRPr="00111F34">
        <w:t>“, „</w:t>
      </w:r>
      <w:proofErr w:type="spellStart"/>
      <w:r w:rsidR="00FB743F" w:rsidRPr="00111F34">
        <w:t>Stavomontáže</w:t>
      </w:r>
      <w:proofErr w:type="spellEnd"/>
      <w:r w:rsidR="00FB743F" w:rsidRPr="00111F34">
        <w:t>“ a „EL-TI“, rozvojové území Výhledy apod. – tzv. širší řešené území). Obdobně pak je uvažován rovněž dlouhodobý rozvoj severozápadního segmentu metropolitní oblasti na území Středočeského kraje; např. rozvoj příměstských oblastí Roztok, Horoměřic, Statenic a dalších, které budou ve výsledku využívat stejnou komunikační síť.</w:t>
      </w:r>
      <w:r w:rsidRPr="00111F34">
        <w:t xml:space="preserve"> Výše uvedené změny v souvisejícím území jsou tak zapracovány do koncepčního řešení posuzované změny územního plánu. </w:t>
      </w:r>
      <w:bookmarkStart w:id="298" w:name="_Hlk137118774"/>
      <w:r w:rsidRPr="00111F34">
        <w:t xml:space="preserve">V rámci vyhodnocení vlivů na udržitelný rozvoj území jsou potom zohledněny jako uvažované rozvojové záměry a strategické rozhodnutí při vyhodnocení kumulativních a synergických vlivů. </w:t>
      </w:r>
    </w:p>
    <w:bookmarkEnd w:id="298"/>
    <w:p w14:paraId="2AB43BE4" w14:textId="77777777" w:rsidR="00AE7A7D" w:rsidRPr="00111F34" w:rsidRDefault="00AE7A7D">
      <w:pPr>
        <w:pStyle w:val="seznamsodrkami"/>
        <w:numPr>
          <w:ilvl w:val="0"/>
          <w:numId w:val="38"/>
        </w:numPr>
        <w:rPr>
          <w:i/>
          <w:iCs/>
          <w:lang w:val="cs-CZ"/>
        </w:rPr>
      </w:pPr>
      <w:r w:rsidRPr="00111F34">
        <w:rPr>
          <w:i/>
          <w:iCs/>
          <w:lang w:val="cs-CZ"/>
        </w:rPr>
        <w:t>Metodika hodnocení spolupůsobení kumulativních a synergických vlivů (podrobněji viz metodická východiska v úvodu tohoto dokumentu a kapitola A.VI)</w:t>
      </w:r>
    </w:p>
    <w:p w14:paraId="5F6A5937" w14:textId="77777777" w:rsidR="00AE7A7D" w:rsidRPr="00111F34" w:rsidRDefault="00AE7A7D" w:rsidP="00AE7A7D">
      <w:r w:rsidRPr="00111F34">
        <w:t>Hodnocení kumulativních a synergických vlivů je provedeno jako spolupůsobení vymezených rozvojových lokalit a koridorů v kontextu stávajícího stavu (stávajících vymezených ploch a koridorů a jejich funkčního využití) a ostatních souvisejících navrhovaných výroků ÚPD a stávajících i uvažovaných záměrů a strategických rozhodnutí v souvisejícím území, které je možné identifikovat z veřejně dostupných zdrojů (např. dle IS EIA).</w:t>
      </w:r>
    </w:p>
    <w:p w14:paraId="0DED8673" w14:textId="28D2F065" w:rsidR="00AE7A7D" w:rsidRPr="00111F34" w:rsidRDefault="00AE7A7D" w:rsidP="00AE7A7D">
      <w:r w:rsidRPr="00111F34">
        <w:t>Je nutné si uvědomit, že předkládané posouzení vlivů na životní prostředí, resp. udržitelný rozvoj území je již svou povahou kumulativní a synergické. Nejsou hodnoceny jednotlivé záměry (navrhované plochy a koridory a podmínky jejich využití) izolovaně, ale vždy jejich spolupůsobení v kontextu území, do kterého jsou zasazovány a možností jeho využití – stávajících i nově navrhovaných</w:t>
      </w:r>
      <w:r w:rsidR="004819BE" w:rsidRPr="00111F34">
        <w:t>, jeho stavu a vývojových trendů</w:t>
      </w:r>
      <w:r w:rsidRPr="00111F34">
        <w:t xml:space="preserve"> se zohledněním širších vztahů v území. Za tzv. hodnocení kumulativních a synergických vlivů je možné považovat i dílčí vyhodnocení jednotlivých navrhovaných změn využití území (rozvojových lokalit) v kontextu všech posuzovaných složek/charakteristik životního prostředí a udržitelného rozvoje. </w:t>
      </w:r>
    </w:p>
    <w:p w14:paraId="6C4B99BB" w14:textId="1AF55C5D" w:rsidR="00AE7A7D" w:rsidRPr="00111F34" w:rsidRDefault="00AE7A7D" w:rsidP="00AE7A7D">
      <w:r w:rsidRPr="00111F34">
        <w:lastRenderedPageBreak/>
        <w:t xml:space="preserve">V rámci analýzy území je tak charakterizována oblast působení kumulativních, resp. synergických vlivů (graficky znázorněné na </w:t>
      </w:r>
      <w:r w:rsidR="000C4F0C" w:rsidRPr="00111F34">
        <w:fldChar w:fldCharType="begin"/>
      </w:r>
      <w:r w:rsidR="000C4F0C" w:rsidRPr="00111F34">
        <w:instrText xml:space="preserve"> REF _Ref136340685 \r \h </w:instrText>
      </w:r>
      <w:r w:rsidR="00111F34">
        <w:instrText xml:space="preserve"> \* MERGEFORMAT </w:instrText>
      </w:r>
      <w:r w:rsidR="000C4F0C" w:rsidRPr="00111F34">
        <w:fldChar w:fldCharType="separate"/>
      </w:r>
      <w:r w:rsidR="00EF1B4A">
        <w:t>Obr. 43</w:t>
      </w:r>
      <w:r w:rsidR="000C4F0C" w:rsidRPr="00111F34">
        <w:fldChar w:fldCharType="end"/>
      </w:r>
      <w:r w:rsidRPr="00111F34">
        <w:t>) a hlavní spolupůsobící skutečnosti (tj. stávající stav území, jeho navrhované využití, resp. existující záměry v území s územní či funkční souvislostí vůči posuzovanému výroku.</w:t>
      </w:r>
    </w:p>
    <w:p w14:paraId="2B557E5D" w14:textId="77777777" w:rsidR="00AE7A7D" w:rsidRPr="00111F34" w:rsidRDefault="00AE7A7D" w:rsidP="00AE7A7D">
      <w:r w:rsidRPr="00111F34">
        <w:t>Následně je v případech, kdy jsou synergické, resp. kumulativní vlivy identifikovány, vyhodnocena míra a směr spolupůsobení a rozsah vlivu vůči jednotlivým sledovaným kritériím.</w:t>
      </w:r>
    </w:p>
    <w:p w14:paraId="09DD9120" w14:textId="77777777" w:rsidR="00AE7A7D" w:rsidRPr="00111F34" w:rsidRDefault="00AE7A7D" w:rsidP="00AE7A7D">
      <w:r w:rsidRPr="00111F34">
        <w:t>Přehledně jsou kumulativní a synergické vlivy znázorněny pomocí grafické stupnice a komentovány v hodnotících tabulkách v kapitole A. VI a D.I.1.1.</w:t>
      </w:r>
    </w:p>
    <w:p w14:paraId="14153C37" w14:textId="77777777" w:rsidR="00AE7A7D" w:rsidRPr="00111F34" w:rsidRDefault="00AE7A7D">
      <w:pPr>
        <w:pStyle w:val="seznamsodrkami"/>
        <w:numPr>
          <w:ilvl w:val="0"/>
          <w:numId w:val="38"/>
        </w:numPr>
        <w:rPr>
          <w:i/>
          <w:iCs/>
          <w:lang w:val="cs-CZ"/>
        </w:rPr>
      </w:pPr>
      <w:r w:rsidRPr="00111F34">
        <w:rPr>
          <w:i/>
          <w:iCs/>
          <w:lang w:val="cs-CZ"/>
        </w:rPr>
        <w:t>Zjištěné spolupůsobení vlivů (podrobněji viz kapitola A.VI):</w:t>
      </w:r>
    </w:p>
    <w:p w14:paraId="50EE47D7" w14:textId="0991246B" w:rsidR="008336DF" w:rsidRPr="00111F34" w:rsidRDefault="00CA1369" w:rsidP="008336DF">
      <w:r w:rsidRPr="00111F34">
        <w:t>V rámci vyhodnocení byly identifikovány následující kumulativní</w:t>
      </w:r>
      <w:r w:rsidR="00867050" w:rsidRPr="00111F34">
        <w:t>,</w:t>
      </w:r>
      <w:r w:rsidRPr="00111F34">
        <w:t xml:space="preserve"> resp. synergické vlivy:</w:t>
      </w:r>
    </w:p>
    <w:p w14:paraId="2D914B20" w14:textId="77777777" w:rsidR="00867050" w:rsidRPr="00111F34" w:rsidRDefault="00CA1369" w:rsidP="00867050">
      <w:r w:rsidRPr="00111F34">
        <w:t xml:space="preserve">Obyvatelstvo a veřejné zdraví – referenční cíl 1.1 zlepšit kvalitu života obyvatel sídel a sociální determinanty lidského zdraví – mírně pozitivní nepřímé spolupůsobení z hlediska synergického spolupůsobení transformace území v širším kontextu (rozvoj bydlení a transformace brownfields). na úrovni dotčených čtvrtí, a s tím související přerozdělení dopravních zátěží, spolu s revitalizací veřejných prostranství vůči kvalitě bydlení a života v řešeném území. </w:t>
      </w:r>
      <w:r w:rsidR="00867050" w:rsidRPr="00111F34">
        <w:t xml:space="preserve">Identifikován mírně pozitivní vliv z hlediska synergického spolupůsobení realizace dopravních staveb v širším kontextu (včetně výstavby SOKP) na úrovni celé čtvrti, resp. aglomerace a přerozdělení dopravních zátěží, spolu s revitalizací veřejných prostranství v území vůči hlukové a imisní zátěži z dopravy. </w:t>
      </w:r>
    </w:p>
    <w:p w14:paraId="33DED041" w14:textId="6419DD90" w:rsidR="00CA1369" w:rsidRPr="00111F34" w:rsidRDefault="00CA1369" w:rsidP="00CA1369">
      <w:r w:rsidRPr="00111F34">
        <w:t xml:space="preserve">Voda – referenční cíl 4.1 posilovat retenční funkci krajiny a zlepšovat ekol. funkce vodních útvarů podzemních a povrchových </w:t>
      </w:r>
      <w:r w:rsidR="00C51945" w:rsidRPr="00111F34">
        <w:t>vod – mírně</w:t>
      </w:r>
      <w:r w:rsidRPr="00111F34">
        <w:t xml:space="preserve"> negativní až marginální spolupůsobení z hlediska zvýšení podílu zastavitelných ploch především v oblasti Výhledů, kde dojde k zastavění dosud volných ploch, a tím i omezení retenční schopnosti území. V oblasti Nového Sedlce, resp. ploch pro umístění tramvajové trati spíše marginální rozsah spolupůsobení rozšíření zastavitelných ploch v již převážně zastavěném území, resp. území transformačních ploch. Bude řešeno v navazujících řízeních v rámci odkanalizování a hospodaření s dešťovými vodami. Územní plán obsahuje obecné požadavky na odkanalizování území a modrozelenou infrastrukturu. </w:t>
      </w:r>
    </w:p>
    <w:p w14:paraId="05E80D9B" w14:textId="2AB2D30D" w:rsidR="00CA1369" w:rsidRPr="00111F34" w:rsidRDefault="00C51945" w:rsidP="00CA1369">
      <w:r w:rsidRPr="00111F34">
        <w:t>Ovzduší – referenční</w:t>
      </w:r>
      <w:r w:rsidR="00CA1369" w:rsidRPr="00111F34">
        <w:t xml:space="preserve"> cíl 5.1 snižovat znečištění ovzduší s důrazem na NO</w:t>
      </w:r>
      <w:r w:rsidR="00CA1369" w:rsidRPr="00760A82">
        <w:rPr>
          <w:vertAlign w:val="subscript"/>
        </w:rPr>
        <w:t>x</w:t>
      </w:r>
      <w:r w:rsidR="00CA1369" w:rsidRPr="00111F34">
        <w:t>, B(a)P a PM</w:t>
      </w:r>
      <w:r w:rsidR="00CA1369" w:rsidRPr="00760A82">
        <w:rPr>
          <w:vertAlign w:val="subscript"/>
        </w:rPr>
        <w:t>10</w:t>
      </w:r>
      <w:r w:rsidR="00CA1369" w:rsidRPr="00111F34">
        <w:t xml:space="preserve"> – mírně pozitivní spolupůsobení s lokálním dopadem a dlouhodobým působením z hlediska dobudování dopravního systému nadmístního významu, jak na úrovni SOKP, tak i vybavení území kapacitní bezemisní MHD a P+R se zprostředkovaně pozitivním vlivem na snížení emisí z dopravy a přerozdělení dopravních zátěží. </w:t>
      </w:r>
    </w:p>
    <w:p w14:paraId="21F8165B" w14:textId="7A436B99" w:rsidR="004556AA" w:rsidRPr="00111F34" w:rsidRDefault="00C51945" w:rsidP="00CA1369">
      <w:r w:rsidRPr="00111F34">
        <w:t>Klima – referenční</w:t>
      </w:r>
      <w:r w:rsidR="004556AA" w:rsidRPr="00111F34">
        <w:t xml:space="preserve"> cíl 5.2 pomocí územně plánovacích opatření snižovat působení tepelného ostrova města – mírně negativní až marginální spolupůsobení z hlediska zvýšení podílu zastavitelných ploch především v oblasti Výhledů, kde dojde k zastavění dosud volných ploch, a tím i omezení retenční schopnosti území a zvýšení teplot povrchů. V oblasti Nového Sedlce, resp. ploch pro umístění tramvajové trati marginální rozsah spolupůsobení v důsledku rozšíření zastavitelných ploch v již převážně zastavěném území, resp. území transformačních ploch, kdy zároveň bude spolupůsobit i transformace území z výrobních a dopravních ploch (dnes charakteru brownfields) do ploch s převážně rezidenční funkcí a předpokladem vyššího zastoupení zeleně. </w:t>
      </w:r>
      <w:r w:rsidR="00FA67CE" w:rsidRPr="00111F34">
        <w:t>Pozitivně spolupůsobit bude dobudování dopravního systému včetně záchytného parkoviště, terminálu Výhledy a SOKP na relativní snížení produkce CO</w:t>
      </w:r>
      <w:r w:rsidR="00FA67CE" w:rsidRPr="00111F34">
        <w:rPr>
          <w:vertAlign w:val="subscript"/>
        </w:rPr>
        <w:t>2</w:t>
      </w:r>
      <w:r w:rsidR="00FA67CE" w:rsidRPr="00111F34">
        <w:t>.</w:t>
      </w:r>
    </w:p>
    <w:p w14:paraId="13EACFA1" w14:textId="04932BE0" w:rsidR="004819BE" w:rsidRPr="00111F34" w:rsidRDefault="00CA1369" w:rsidP="004819BE">
      <w:pPr>
        <w:pStyle w:val="seznamsodrkami"/>
        <w:numPr>
          <w:ilvl w:val="0"/>
          <w:numId w:val="0"/>
        </w:numPr>
        <w:rPr>
          <w:lang w:val="cs-CZ"/>
        </w:rPr>
      </w:pPr>
      <w:r w:rsidRPr="00111F34">
        <w:t xml:space="preserve">Hluková zátěž – referenční cíl 6.1 snižovat expozici hluku prostředky územního plánování – identifikován potenciálně mírně negativní vliv s dopadem do bezprostředního okolí řešených ploch v místech dopravního napojení se synergickým spolupůsobením v důsledku vložení nového zdroje hlukové zátěže do území. Mírně negativní spolupůsobení bylo identifikováno z hlediska vložení nových zdrojů vyvolané dopravy do území s ohledem na navrhované zintenzivnění území, na druhou stranu se jedná o území s výjimečnou dopravní dostupností hromadnou dopravou, a tím i prevenci suburbanizace s jí vyvolanými dopravními vztahy kde spolupůsobí především </w:t>
      </w:r>
      <w:r w:rsidR="00D47D6C" w:rsidRPr="00111F34">
        <w:t>dobudování dopravního systému na úrovni aglomerace</w:t>
      </w:r>
      <w:r w:rsidRPr="00111F34">
        <w:t>.</w:t>
      </w:r>
      <w:r w:rsidR="004819BE" w:rsidRPr="00111F34">
        <w:t xml:space="preserve"> </w:t>
      </w:r>
      <w:r w:rsidR="004819BE" w:rsidRPr="00111F34">
        <w:rPr>
          <w:lang w:val="cs-CZ"/>
        </w:rPr>
        <w:t>Z hlediska spolupůsobení se změnou územního plánu Z 3827/00 lze očekávat</w:t>
      </w:r>
      <w:r w:rsidR="00F37BFB" w:rsidRPr="00111F34">
        <w:rPr>
          <w:lang w:val="cs-CZ"/>
        </w:rPr>
        <w:t xml:space="preserve"> mírně</w:t>
      </w:r>
      <w:r w:rsidR="004819BE" w:rsidRPr="00111F34">
        <w:rPr>
          <w:lang w:val="cs-CZ"/>
        </w:rPr>
        <w:t xml:space="preserve"> pozitivní synergické spolupůsobení s nadmístním dopadem v důsledku zlepšení dopravní obsluhy území, odlehčení ulice Kamýcká v úseku západně od křižovatky s přivaděčem Rybářka, a to včetně snížení hlukové zátěže. Naopak mírně negativní spolupůsobení s kumulativním i synergickým účinkem s místním dopadem lze očekávat v prostoru východně od křižovatky Suchdolská, resp. Rybářka/Kamýcká vůči nejbližším hlukově chráněným prostorům z hlediska spolupůsobení zvýšeného provozu po ulici Kamýcká v úseku východně od napojení přivaděče Rybářka a tramvajové trati, a to jak z hlediska zvýšení hlukové zátěže v území, tak vložení nových zdrojů vyvolané dopravy (rozvoj Nový Sedlec, přivaděč </w:t>
      </w:r>
      <w:r w:rsidR="00C51945" w:rsidRPr="00111F34">
        <w:rPr>
          <w:lang w:val="cs-CZ"/>
        </w:rPr>
        <w:t>Rybářka,</w:t>
      </w:r>
      <w:r w:rsidR="004819BE" w:rsidRPr="00111F34">
        <w:rPr>
          <w:lang w:val="cs-CZ"/>
        </w:rPr>
        <w:t xml:space="preserve"> resp. SOKP, tramvaj). Z hlediska stávajícího stavu využití území se jedná o budovu č. p. 34 při ulici Kamýcká, v k. ú. Sedlec, která je dle KN objektem určeným k bydlením a může být potenciálně dotčena zvýšením hlukové zátěže s kumulativním a synergickým spolupůsobením v důsledku realizace SOKP </w:t>
      </w:r>
      <w:r w:rsidR="004819BE" w:rsidRPr="00111F34">
        <w:rPr>
          <w:lang w:val="cs-CZ"/>
        </w:rPr>
        <w:lastRenderedPageBreak/>
        <w:t xml:space="preserve">518 a změny Z 3827. V navazujících řízeních tak musí být přijata opatření pro minimalizaci negativních vlivů tak, aby nedošlo k nadlimitnímu zvýšení hlukové zátěže v důsledku realizace přivaděče Rybářka i v kontextu tramvajové trati Podbaba – Suchdol. </w:t>
      </w:r>
    </w:p>
    <w:p w14:paraId="554C8AE9" w14:textId="77777777" w:rsidR="00CA1369" w:rsidRPr="00111F34" w:rsidRDefault="00CA1369" w:rsidP="00CA1369">
      <w:r w:rsidRPr="00111F34">
        <w:t>Sídla a urbanizace- referenční cíl 7.2 snižovat zatížení dopravní sítě v sídlech zejména tranzitní a nákladní silniční dopravou - Z hlediska kumulativních a synergických vlivů lze uvažovat významně pozitivní spolupůsobení s ostatními uvažovanými záměry v území, a to především v dlouhodobém časovém horizontu, především z hlediska zlepšení dopravní obsluhy území, přerozdělení zátěží směrem na SOKP, zklidnění ulice Kamýcká a vytvoření územních předpokladů pro obsluhu bezemisní veřejnou hromadnou dopravou a záchyt dopravy ze Středočeského kraje. Z toho vyplývá pozitivní spolupůsobení na lokální úrovni z hlediska kvality bydlení.</w:t>
      </w:r>
    </w:p>
    <w:p w14:paraId="7479F22B" w14:textId="7A76F078" w:rsidR="00CA1369" w:rsidRDefault="00CA1369" w:rsidP="00CA1369">
      <w:r w:rsidRPr="00111F34">
        <w:t>Krajina – referenční cíl 9.1 chránit krajinný ráz – Mírně negativní až marginální spolupůsobení s místním dopadem z hlediska synergického spolupůsobení vložení nové dopravní stavby do území ve vizuálním kontaktu s estetickými dominantami území a při spolupůsobení již existujících impaktů v podobě ostatních dopravních staveb</w:t>
      </w:r>
      <w:r w:rsidR="00F37BFB" w:rsidRPr="00111F34">
        <w:t xml:space="preserve"> a využití území</w:t>
      </w:r>
      <w:r w:rsidRPr="00111F34">
        <w:t xml:space="preserve">. </w:t>
      </w:r>
    </w:p>
    <w:p w14:paraId="41DBA2CF" w14:textId="0B05BAB7" w:rsidR="0046206D" w:rsidRPr="00111F34" w:rsidRDefault="0046206D" w:rsidP="00CA1369">
      <w:r w:rsidRPr="0046206D">
        <w:t xml:space="preserve">Vyhodnocení vlivů dle § 45i ZOPK na EVL Kaňon Vltavy u Sedlce – kumulativní a synergické </w:t>
      </w:r>
      <w:r w:rsidR="00F94D3C" w:rsidRPr="0046206D">
        <w:t>vlivy – Z</w:t>
      </w:r>
      <w:r w:rsidRPr="0046206D">
        <w:t xml:space="preserve"> hlediska možných kumulativních vlivů jsou přímé vlivy z pohledu fyzických zásahů </w:t>
      </w:r>
      <w:r w:rsidR="00F94D3C" w:rsidRPr="0046206D">
        <w:t>záměry,</w:t>
      </w:r>
      <w:r w:rsidRPr="0046206D">
        <w:t xml:space="preserve"> a tedy narušení EVL Kaňon Vltavy u Sedlce prakticky vyloučeny, neboť EVL se rozkládá na exponovaných svazích údolí Vltavy, tedy v polohách v zásadě nevhodných pro většinu rozvojových aktivit. Vzhledem k tomu, že údolí Vltavy představuje významný dopravní koridor, dochází zde však z důvodu zajištění bezpečnosti k různým činnostem charakteru údržby, jako je zajišťování skalních svahů nad železniční tratí či komunikacemi, v rámci sanačních prací na svazích také k vyřezávání náletových dřevin apod. Tyto činnosti mohou tedy mít na předmětnou EVL jak vliv pozitivní, tak i vliv negativní. Z pohledu objektivního vyhodnocení kumulativních a synergických vlivů je tedy nutno uvažovat o záměrech a jejich vlivech i na ostatních části EVL Kaňon Vltavy u Sedlce, neboť ta jako celek, tvoří 8 disjunktních segmentů. V případě nejvýznamnějšího záměru v této části města, dlouhodobě sledovaného Pražského okruhu (stavba „D0 518 </w:t>
      </w:r>
      <w:r w:rsidR="00F94D3C" w:rsidRPr="0046206D">
        <w:t>Ruzyně – Suchdol</w:t>
      </w:r>
      <w:r w:rsidRPr="0046206D">
        <w:t>“) je však EVL vymezena tak, že trasa SOKP na obou březích, v prostoru obou svahů údolí, kudy bude v rámci přemostění toku Vltavy procházet, do EVL nezasahuje (EVL je vymezena tak, že je v koridoru trasy okruhu oddělena hiátem). Vliv tohoto záměru (</w:t>
      </w:r>
      <w:r w:rsidR="00F94D3C" w:rsidRPr="0046206D">
        <w:t>MZP486 – SOKP</w:t>
      </w:r>
      <w:r w:rsidRPr="0046206D">
        <w:t xml:space="preserve"> 518 </w:t>
      </w:r>
      <w:r w:rsidR="00F94D3C" w:rsidRPr="0046206D">
        <w:t>Ruzyně – Suchdol</w:t>
      </w:r>
      <w:r w:rsidRPr="0046206D">
        <w:t xml:space="preserve">, </w:t>
      </w:r>
      <w:r w:rsidR="00F94D3C" w:rsidRPr="0046206D">
        <w:t>MZP488 – SOKP</w:t>
      </w:r>
      <w:r w:rsidRPr="0046206D">
        <w:t xml:space="preserve"> 519 </w:t>
      </w:r>
      <w:r w:rsidR="00F94D3C" w:rsidRPr="0046206D">
        <w:t>Suchdol – Březiněves</w:t>
      </w:r>
      <w:r w:rsidRPr="0046206D">
        <w:t>) na předmětnou EVL byl v rámci hodnocení dle § 45i (MUDRA, 2019) vyhodnocen jako mírně negativní (-1). Lze tedy konstatovat, že ze samotného vymezení a prostorového rozmístění rozvojových ploch změny Z 3827/00, ani v kontextu s aktivitami, jež plynou z platného ÚP hl. m. Prahy, jeho změn a spolupůsobení již realizovaných záměrů a aktivit v okolí, explicitně nevyplývá nějaké riziko významně negativních kumulativních vlivů.</w:t>
      </w:r>
    </w:p>
    <w:p w14:paraId="55A8D7FE" w14:textId="448D3947" w:rsidR="00AE7A7D" w:rsidRPr="00111F34" w:rsidRDefault="00AE7A7D">
      <w:pPr>
        <w:pStyle w:val="seznamsodrkami"/>
        <w:numPr>
          <w:ilvl w:val="0"/>
          <w:numId w:val="38"/>
        </w:numPr>
        <w:rPr>
          <w:i/>
          <w:iCs/>
          <w:lang w:val="cs-CZ"/>
        </w:rPr>
      </w:pPr>
      <w:r w:rsidRPr="00111F34">
        <w:rPr>
          <w:i/>
          <w:iCs/>
          <w:lang w:val="cs-CZ"/>
        </w:rPr>
        <w:t>Navržené kompenzační a zmírňující opatření z hlediska kumulativních a synergických vlivů (podrobněji viz kapitoly A.VI. a A.XI):</w:t>
      </w:r>
    </w:p>
    <w:p w14:paraId="49730C01" w14:textId="77777777" w:rsidR="00AE7A7D" w:rsidRPr="00111F34" w:rsidRDefault="00AE7A7D" w:rsidP="00AE7A7D">
      <w:pPr>
        <w:pStyle w:val="seznamsodrkami"/>
        <w:numPr>
          <w:ilvl w:val="0"/>
          <w:numId w:val="0"/>
        </w:numPr>
        <w:rPr>
          <w:lang w:val="cs-CZ"/>
        </w:rPr>
      </w:pPr>
      <w:r w:rsidRPr="00111F34">
        <w:rPr>
          <w:lang w:val="cs-CZ"/>
        </w:rPr>
        <w:t xml:space="preserve">Vzhledem k tomu, že nebyly identifikovány podstatné kumulativní a synergické vlivy v souvislosti s implementací zde posuzované změny územního plánu, nejsou navrhována ani kompenzační opatření, resp. zmírňující opatření zaměřená specificky na hodnocení synergických a kumulativních vlivů. </w:t>
      </w:r>
    </w:p>
    <w:p w14:paraId="5DA06F4F" w14:textId="77777777" w:rsidR="00AE7A7D" w:rsidRPr="00111F34" w:rsidRDefault="00AE7A7D">
      <w:pPr>
        <w:pStyle w:val="seznamsodrkami"/>
        <w:numPr>
          <w:ilvl w:val="0"/>
          <w:numId w:val="38"/>
        </w:numPr>
        <w:rPr>
          <w:i/>
          <w:iCs/>
          <w:lang w:val="cs-CZ"/>
        </w:rPr>
      </w:pPr>
      <w:r w:rsidRPr="00111F34">
        <w:rPr>
          <w:i/>
          <w:iCs/>
          <w:lang w:val="cs-CZ"/>
        </w:rPr>
        <w:t>Navržený monitoring z hlediska kumulativních a synergických vlivů (podrobněji viz kapitola A.VI. a A.X):</w:t>
      </w:r>
    </w:p>
    <w:p w14:paraId="6EDB0795" w14:textId="08DE18EB" w:rsidR="00AE7A7D" w:rsidRPr="00111F34" w:rsidRDefault="00AE7A7D" w:rsidP="00AE7A7D">
      <w:pPr>
        <w:pStyle w:val="seznamsodrkami"/>
        <w:numPr>
          <w:ilvl w:val="0"/>
          <w:numId w:val="0"/>
        </w:numPr>
        <w:rPr>
          <w:lang w:val="cs-CZ"/>
        </w:rPr>
      </w:pPr>
      <w:r w:rsidRPr="00111F34">
        <w:rPr>
          <w:lang w:val="cs-CZ"/>
        </w:rPr>
        <w:t xml:space="preserve">Vzhledem k tomu, že nebyly identifikovány podstatné kumulativní a synergické vlivy v souvislosti s implementací zde posuzované změny územního plánu, nejsou navrhovány ani monitorovací ukazatele zaměřené specificky na hodnocení synergických a kumulativních vlivů. Tyto vlivy budou </w:t>
      </w:r>
      <w:r w:rsidR="00F37BFB" w:rsidRPr="00111F34">
        <w:rPr>
          <w:lang w:val="cs-CZ"/>
        </w:rPr>
        <w:t>z</w:t>
      </w:r>
      <w:r w:rsidRPr="00111F34">
        <w:rPr>
          <w:lang w:val="cs-CZ"/>
        </w:rPr>
        <w:t xml:space="preserve">ahrnuty v monitorovacích ukazatelích v oblasti hluku a </w:t>
      </w:r>
      <w:r w:rsidR="000C268C" w:rsidRPr="00111F34">
        <w:rPr>
          <w:lang w:val="cs-CZ"/>
        </w:rPr>
        <w:t>podílu zeleně</w:t>
      </w:r>
      <w:r w:rsidRPr="00111F34">
        <w:rPr>
          <w:lang w:val="cs-CZ"/>
        </w:rPr>
        <w:t xml:space="preserve">. </w:t>
      </w:r>
    </w:p>
    <w:p w14:paraId="63BECFD2" w14:textId="77777777" w:rsidR="00AE7A7D" w:rsidRPr="00111F34" w:rsidRDefault="00AE7A7D" w:rsidP="00AE7A7D">
      <w:pPr>
        <w:pStyle w:val="Podnadpis1"/>
      </w:pPr>
      <w:r w:rsidRPr="00111F34">
        <w:t>Shrnutí</w:t>
      </w:r>
    </w:p>
    <w:p w14:paraId="40D4BD5F" w14:textId="77777777" w:rsidR="000C268C" w:rsidRPr="00111F34" w:rsidRDefault="000C268C" w:rsidP="000C268C">
      <w:r w:rsidRPr="00111F34">
        <w:t>Spolupůsobit bude v okolí řešených ploch zlepšení dopravní situace v důsledku zkapacitnění dopravního systému jako celku, a to v kontextu vložení nových zdrojů vyvolané dopravy a ve vizuálně dotčeném krajinném prostoru nová výstavba, vytvoření uliční čáry a realizace veřejných prostranství.</w:t>
      </w:r>
    </w:p>
    <w:p w14:paraId="43581AC0" w14:textId="37573CD0" w:rsidR="000C268C" w:rsidRPr="00111F34" w:rsidRDefault="007A667E" w:rsidP="007A667E">
      <w:pPr>
        <w:pStyle w:val="seznamsodrkami"/>
        <w:numPr>
          <w:ilvl w:val="0"/>
          <w:numId w:val="0"/>
        </w:numPr>
      </w:pPr>
      <w:r w:rsidRPr="00111F34">
        <w:rPr>
          <w:lang w:val="cs-CZ"/>
        </w:rPr>
        <w:t xml:space="preserve">Dle analýzy veřejně dostupných zdrojů nejsou v současnosti známy připravované stavební záměry v řešeném nebo souvisejícím území, které by generovaly významné kumulativní nebo synergické vlivy a nebyly s posuzovanou změnou koordinovány. </w:t>
      </w:r>
      <w:r w:rsidR="000C268C" w:rsidRPr="00111F34">
        <w:t xml:space="preserve">Klíčová pro posouzení kumulativních a synergických vlivů je tak především </w:t>
      </w:r>
      <w:r w:rsidR="00867050" w:rsidRPr="00111F34">
        <w:rPr>
          <w:lang w:val="cs-CZ"/>
        </w:rPr>
        <w:t>dostavba pražského okruhu</w:t>
      </w:r>
      <w:r w:rsidR="000C268C" w:rsidRPr="00111F34">
        <w:t>.</w:t>
      </w:r>
    </w:p>
    <w:p w14:paraId="1F4600A1" w14:textId="5B410AD2" w:rsidR="00867050" w:rsidRPr="00111F34" w:rsidRDefault="00867050" w:rsidP="00867050">
      <w:r w:rsidRPr="00111F34">
        <w:t>Změna je převážně lokálního charakteru, návrh zakládá předpoklady pro zlepšení dopravní obsluhy a vytvoření funkčních rezidenčních čtvrtí s občanskou vybaveností, veřejnými prostranstvími v</w:t>
      </w:r>
      <w:r w:rsidR="00F37BFB" w:rsidRPr="00111F34">
        <w:t> </w:t>
      </w:r>
      <w:r w:rsidRPr="00111F34">
        <w:t>zeleni</w:t>
      </w:r>
      <w:r w:rsidR="00F37BFB" w:rsidRPr="00111F34">
        <w:t xml:space="preserve"> a </w:t>
      </w:r>
      <w:r w:rsidR="00F37BFB" w:rsidRPr="00111F34">
        <w:lastRenderedPageBreak/>
        <w:t>přístupným rekreačním a krajinným zázemím</w:t>
      </w:r>
      <w:r w:rsidRPr="00111F34">
        <w:t xml:space="preserve">. Oblast kumulací je v tomto případě bezprostřední okolí vymezených ploch a vizuálně dotčený krajinný prostor s omezenou viditelností především na krátké vzdálenosti do prostoru okolních ulic, resp. vyvýšenin v závislosti na aktuální zastavěnosti území. Zprostředkovaný vliv nadmístního významu v kontextu nadřazené dopravní infrastruktury a vybavení území kapacitní bezemisní VHD a záchytnými plochami pro dopravu </w:t>
      </w:r>
      <w:r w:rsidR="00F37BFB" w:rsidRPr="00111F34">
        <w:t>z okolí aglomerace</w:t>
      </w:r>
      <w:r w:rsidRPr="00111F34">
        <w:t>.</w:t>
      </w:r>
    </w:p>
    <w:p w14:paraId="2606FD36" w14:textId="1847FDE7" w:rsidR="000C268C" w:rsidRPr="00111F34" w:rsidRDefault="000C268C" w:rsidP="000C268C">
      <w:r w:rsidRPr="00111F34">
        <w:t xml:space="preserve">Z hlediska kumulativních a synergických vlivů lze uvažovat převážně pozitivní spolupůsobení s ostatními uvažovanými záměry, resp. strategickými rozhodnutími v území, a to především v dlouhodobém časovém horizontu, především z hlediska využití dnes nevyužitého území pro vytvoření subcentra, zvýšení nabídky kvalitního bydlení i veřejné vybavenosti v kontextu zlepšení komfortu využití veřejné hromadné dopravy a přestupních vazeb, zlepšení </w:t>
      </w:r>
      <w:r w:rsidR="007A667E" w:rsidRPr="00111F34">
        <w:t>prostupnosti</w:t>
      </w:r>
      <w:r w:rsidRPr="00111F34">
        <w:t xml:space="preserve"> území a vytvoření územních předpokladů pro obsluhu nemotorovou dopravou.</w:t>
      </w:r>
    </w:p>
    <w:p w14:paraId="752CC2B3" w14:textId="1CE44A95" w:rsidR="000C268C" w:rsidRPr="00111F34" w:rsidRDefault="000C268C" w:rsidP="000C268C">
      <w:r w:rsidRPr="00111F34">
        <w:t xml:space="preserve">Mírně negativní spolupůsobení se synergickým efektem lze očekávat z hlediska omezení retenční schopnosti území v kontextu jeho stávajícího stavu a posuzované změny dávající rámec zastavění území kompaktní městskou zástavbou s nízkým koeficientem zeleně. </w:t>
      </w:r>
    </w:p>
    <w:p w14:paraId="5136552C" w14:textId="22F27ED3" w:rsidR="000C268C" w:rsidRPr="00111F34" w:rsidRDefault="000C268C" w:rsidP="000C268C">
      <w:r w:rsidRPr="00111F34">
        <w:t>Mírně pozitivní spolupůsobení zvýšení nabídky smíšených ploch zahrnujících i bydlení spolu se zlepšením dopravní obsluhy území v kontextu ostatních souvisejících strategických rozhodnutí. Identifikován mírně pozitivní vliv z hlediska synergického spolupůsobení realizace dopravních staveb v širším kontextu na úrovni dotčených čtvrtí, a s tím související přerozdělení dopravních zátěží, spolu s revitalizací veřejných prostranství v území vůči hlukové a imisní zátěži z dopravy a kvalitě bydlení a života v širší aglomeraci.</w:t>
      </w:r>
    </w:p>
    <w:p w14:paraId="704E6107" w14:textId="5EA72191" w:rsidR="00F37BFB" w:rsidRPr="00111F34" w:rsidRDefault="00F37BFB" w:rsidP="000C268C">
      <w:r w:rsidRPr="00111F34">
        <w:t xml:space="preserve">Naopak mírně negativní spolupůsobení s kumulativním i synergickým účinkem s místním dopadem lze očekávat v prostoru východně od křižovatky Suchdolská, resp. Rybářka/Kamýcká vůči nejbližším hlukově chráněným prostorům z hlediska spolupůsobení zvýšeného provozu po ulici Kamýcká v úseku východně od napojení přivaděče Rybářka a tramvajové trati, a to jak z hlediska zvýšení hlukové zátěže v území, tak vložení nových zdrojů vyvolané dopravy (rozvoj Nový Sedlec, přivaděč </w:t>
      </w:r>
      <w:r w:rsidR="00C51945" w:rsidRPr="00111F34">
        <w:t>Rybářka,</w:t>
      </w:r>
      <w:r w:rsidRPr="00111F34">
        <w:t xml:space="preserve"> resp. SOKP, tramvaj).</w:t>
      </w:r>
    </w:p>
    <w:p w14:paraId="3C4D8793" w14:textId="77777777" w:rsidR="00AE7A7D" w:rsidRPr="00111F34" w:rsidRDefault="00AE7A7D" w:rsidP="00AE7A7D">
      <w:pPr>
        <w:pStyle w:val="Podnadpis1"/>
      </w:pPr>
      <w:r w:rsidRPr="00111F34">
        <w:t>Závěr</w:t>
      </w:r>
    </w:p>
    <w:p w14:paraId="0556E74D" w14:textId="6338B326" w:rsidR="00AE7A7D" w:rsidRPr="00111F34" w:rsidRDefault="00AE7A7D" w:rsidP="00AE7A7D">
      <w:r w:rsidRPr="00111F34">
        <w:t>Celkově bude převažovat mírně pozitivní spolupůsobení zlepšení dopravní obsluhy území v kontextu ostatních souvisejících strategických rozhodnutí. Identifikován mírně pozitivní vliv z hlediska synergického spolupůsobení realizace dopravních staveb v širším kontextu (</w:t>
      </w:r>
      <w:r w:rsidR="00F37BFB" w:rsidRPr="00111F34">
        <w:t>SOKP</w:t>
      </w:r>
      <w:r w:rsidRPr="00111F34">
        <w:t>) na úrovni dotčených čtvrtí, a s tím související přerozdělení dopravních zátěží, spolu s</w:t>
      </w:r>
      <w:r w:rsidR="007A667E" w:rsidRPr="00111F34">
        <w:t> </w:t>
      </w:r>
      <w:r w:rsidRPr="00111F34">
        <w:t>revitalizací</w:t>
      </w:r>
      <w:r w:rsidR="007A667E" w:rsidRPr="00111F34">
        <w:t xml:space="preserve"> a zlepšením stavu a kvality</w:t>
      </w:r>
      <w:r w:rsidRPr="00111F34">
        <w:t xml:space="preserve"> veřejných prostranství v území vůči hlukové a imisní zátěži z dopravy a kvalitě bydlení a života v širší aglomeraci.</w:t>
      </w:r>
    </w:p>
    <w:p w14:paraId="71F420BA" w14:textId="77777777" w:rsidR="00AE7A7D" w:rsidRPr="00111F34" w:rsidRDefault="00AE7A7D" w:rsidP="00AE7A7D">
      <w:r w:rsidRPr="00111F34">
        <w:t>Potenciální negativní vliv se synergickým působením ostatních strategických rozhodnutí v území na retenční schopnost území bude mít v kontextu stávající zastavěnosti města a existujících podzemních prostor v území spíše marginální charakter.</w:t>
      </w:r>
    </w:p>
    <w:p w14:paraId="3D9882C5" w14:textId="0D0610B3" w:rsidR="00AE7A7D" w:rsidRPr="00111F34" w:rsidRDefault="00AE7A7D" w:rsidP="00AE7A7D">
      <w:r w:rsidRPr="00111F34">
        <w:rPr>
          <w:rFonts w:cs="Arial"/>
        </w:rPr>
        <w:t>Vzhledem k výše uvedenému lze konstatovat, že z hlediska kumulativního a synergického působení nemají posuzované úpravy územně plánovací dokumentace potenciálně významné negativní vlivy</w:t>
      </w:r>
      <w:r w:rsidR="00F37BFB" w:rsidRPr="00111F34">
        <w:rPr>
          <w:rFonts w:cs="Arial"/>
        </w:rPr>
        <w:t xml:space="preserve"> s kumulativním ani synergický působením</w:t>
      </w:r>
      <w:r w:rsidRPr="00111F34">
        <w:rPr>
          <w:rFonts w:cs="Arial"/>
        </w:rPr>
        <w:t xml:space="preserve"> na životní prostředí.</w:t>
      </w:r>
    </w:p>
    <w:p w14:paraId="72E2718C" w14:textId="77777777" w:rsidR="00794578" w:rsidRPr="00111F34" w:rsidRDefault="00794578" w:rsidP="00A67277">
      <w:pPr>
        <w:pStyle w:val="Nadpis3"/>
      </w:pPr>
      <w:bookmarkStart w:id="299" w:name="_Toc531606276"/>
      <w:bookmarkStart w:id="300" w:name="_Toc29298364"/>
      <w:bookmarkStart w:id="301" w:name="_Toc138848143"/>
      <w:r w:rsidRPr="00111F34">
        <w:t>Vzájemné porovnání variant – shrnutí</w:t>
      </w:r>
      <w:bookmarkEnd w:id="299"/>
      <w:bookmarkEnd w:id="300"/>
      <w:bookmarkEnd w:id="301"/>
    </w:p>
    <w:p w14:paraId="5E22A3ED" w14:textId="2F23211D" w:rsidR="001D50D4" w:rsidRPr="00111F34" w:rsidRDefault="001D50D4" w:rsidP="001D50D4">
      <w:bookmarkStart w:id="302" w:name="_Toc531606277"/>
      <w:bookmarkStart w:id="303" w:name="_Toc29298365"/>
      <w:bookmarkStart w:id="304" w:name="_Toc222711987"/>
      <w:bookmarkEnd w:id="32"/>
      <w:r w:rsidRPr="00111F34">
        <w:t>Jedná se o návrh změny územního plánu, který byl zpracován invariantně. Lze tedy srovnávat variantu nulovou, tj. stav vycházející ze současné situace v území, variantu platného územního plánu</w:t>
      </w:r>
      <w:r w:rsidR="00983865" w:rsidRPr="00111F34">
        <w:t xml:space="preserve"> a variantu aktivní představovanou zde posuzovanou změnou.</w:t>
      </w:r>
    </w:p>
    <w:p w14:paraId="71F7B261" w14:textId="77777777" w:rsidR="001D50D4" w:rsidRPr="00111F34" w:rsidRDefault="001D50D4" w:rsidP="001D50D4">
      <w:r w:rsidRPr="00111F34">
        <w:t xml:space="preserve">Návrh změny územního plánu je řešen invariantně, plochy jsou navrženy v poloze dané zadáním a vymezením řešeného území, přičemž lze konstatovat, že se jedná o vhodně navrženou lokalizaci především z hlediska stávajícího charakteru řešeného území, návaznosti na okolí, možnosti dopravního napojení a stávajících limitů a zátěží. </w:t>
      </w:r>
    </w:p>
    <w:p w14:paraId="46833A09" w14:textId="77777777" w:rsidR="001D50D4" w:rsidRPr="00111F34" w:rsidRDefault="001D50D4" w:rsidP="001D50D4">
      <w:r w:rsidRPr="00111F34">
        <w:t xml:space="preserve">Z vyhodnocení vlivů posuzované změny územního plánu na udržitelný rozvoj území nevyplynula potřeba variantního řešení předkládané ÚPD, nebyla navržena žádná prostorová opatření pro zmírnění negativních vlivů. </w:t>
      </w:r>
    </w:p>
    <w:p w14:paraId="33563C6B" w14:textId="77777777" w:rsidR="001D50D4" w:rsidRPr="00111F34" w:rsidRDefault="001D50D4" w:rsidP="001D50D4">
      <w:r w:rsidRPr="00111F34">
        <w:t xml:space="preserve">Níže uvádíme přehledné srovnání pořadí uvažovaných dle jednoduché symboliky (stanovení pořadí variant 1 až 3, resp. 0, kde nedochází k žádnému vlivu na sledované složky a témata životního prostředí): </w:t>
      </w:r>
    </w:p>
    <w:p w14:paraId="0E58A3D9" w14:textId="77777777" w:rsidR="001D50D4" w:rsidRPr="00111F34" w:rsidRDefault="001D50D4" w:rsidP="001D50D4">
      <w:r w:rsidRPr="00111F34">
        <w:t>Použitá stupnice vyhodnocení:</w:t>
      </w:r>
    </w:p>
    <w:p w14:paraId="7992808A" w14:textId="1098DBB7" w:rsidR="001D50D4" w:rsidRPr="00111F34" w:rsidRDefault="001D50D4">
      <w:pPr>
        <w:pStyle w:val="Odstavecseseznamem"/>
        <w:numPr>
          <w:ilvl w:val="0"/>
          <w:numId w:val="39"/>
        </w:numPr>
      </w:pPr>
      <w:r w:rsidRPr="00111F34">
        <w:lastRenderedPageBreak/>
        <w:t xml:space="preserve">uvažovaná varianta má z hlediska sledovaného tématu životního </w:t>
      </w:r>
      <w:r w:rsidR="003577E4" w:rsidRPr="00111F34">
        <w:t>prostředí,</w:t>
      </w:r>
      <w:r w:rsidRPr="00111F34">
        <w:t xml:space="preserve"> resp. udržitelného rozvoje relativně nejmenší potenciální negativní vliv, nebo relativně nejvýznamnější potenciálně pozitivní vliv – z hlediska sledovaných témat je tak pro jejich stav a vývoj nejvýhodnější – porovnávány jsou všechny uvažované varianty vzájemně a je tak stanoveno jejich relativní pořadí</w:t>
      </w:r>
    </w:p>
    <w:p w14:paraId="045A1DA1" w14:textId="1AC1B9CB" w:rsidR="001D50D4" w:rsidRPr="00111F34" w:rsidRDefault="001D50D4">
      <w:pPr>
        <w:pStyle w:val="Odstavecseseznamem"/>
        <w:numPr>
          <w:ilvl w:val="0"/>
          <w:numId w:val="39"/>
        </w:numPr>
        <w:ind w:hanging="1074"/>
      </w:pPr>
      <w:r w:rsidRPr="00111F34">
        <w:t xml:space="preserve">uvažovaná </w:t>
      </w:r>
      <w:r w:rsidR="003577E4" w:rsidRPr="00111F34">
        <w:t>varianta,</w:t>
      </w:r>
      <w:r w:rsidRPr="00111F34">
        <w:t xml:space="preserve"> resp. možnost je z hlediska sledované složky životního </w:t>
      </w:r>
      <w:r w:rsidR="003577E4" w:rsidRPr="00111F34">
        <w:t>prostředí,</w:t>
      </w:r>
      <w:r w:rsidRPr="00111F34">
        <w:t xml:space="preserve"> resp. udržitelného rozvoje hodnocena jako druhá nejvýhodnější z hlediska potenciálních negativní vlivů jejího uplatnění, nebo relativně nejvýznamnějších potenciálních pozitivních vlivů jejího uplatnění – z hlediska sledovaných témat je tak pro jejich stav a vývoj druhá nejvýhodnější – porovnávány jsou všechny uvažované varianty vzájemně a je tak stanoveno jejich relativní pořadí</w:t>
      </w:r>
    </w:p>
    <w:p w14:paraId="102F67C2" w14:textId="36136449" w:rsidR="001D50D4" w:rsidRPr="00111F34" w:rsidRDefault="001D50D4">
      <w:pPr>
        <w:pStyle w:val="Odstavecseseznamem"/>
        <w:numPr>
          <w:ilvl w:val="0"/>
          <w:numId w:val="40"/>
        </w:numPr>
        <w:ind w:left="1418" w:hanging="992"/>
      </w:pPr>
      <w:r w:rsidRPr="00111F34">
        <w:t xml:space="preserve"> uvažovaná varianta nemá vůči sledovanému tématu životního </w:t>
      </w:r>
      <w:r w:rsidR="003577E4" w:rsidRPr="00111F34">
        <w:t>prostředí,</w:t>
      </w:r>
      <w:r w:rsidRPr="00111F34">
        <w:t xml:space="preserve"> resp. udržitelného rozvoje žádnou vazbu, nedojde k žádnému ovlivnění </w:t>
      </w:r>
    </w:p>
    <w:p w14:paraId="05AC2EC9" w14:textId="77777777" w:rsidR="001D50D4" w:rsidRPr="00111F34" w:rsidRDefault="001D50D4" w:rsidP="001D50D4">
      <w:r w:rsidRPr="00111F34">
        <w:t xml:space="preserve">Výše uvedené hodnoty mají charakter přidělených bodů, jejichž konečný součet je podkladem pro stanovení pořadí hodnocených variant/možností s tím, že čím nižší součet bodů, tím lepší celkové pořadí hodnocených možností. </w:t>
      </w:r>
    </w:p>
    <w:p w14:paraId="398B7610" w14:textId="77777777" w:rsidR="001D50D4" w:rsidRPr="00111F34" w:rsidRDefault="001D50D4" w:rsidP="001D50D4">
      <w:pPr>
        <w:pStyle w:val="Tabulkanzev"/>
      </w:pPr>
      <w:bookmarkStart w:id="305" w:name="_Toc103350938"/>
      <w:bookmarkStart w:id="306" w:name="_Toc112668156"/>
      <w:bookmarkStart w:id="307" w:name="_Toc138848178"/>
      <w:r w:rsidRPr="00111F34">
        <w:t>Vzájemné porovnání variantních možností</w:t>
      </w:r>
      <w:bookmarkEnd w:id="305"/>
      <w:bookmarkEnd w:id="306"/>
      <w:bookmarkEnd w:id="3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6" w:type="dxa"/>
          <w:right w:w="6" w:type="dxa"/>
        </w:tblCellMar>
        <w:tblLook w:val="01E0" w:firstRow="1" w:lastRow="1" w:firstColumn="1" w:lastColumn="1" w:noHBand="0" w:noVBand="0"/>
      </w:tblPr>
      <w:tblGrid>
        <w:gridCol w:w="858"/>
        <w:gridCol w:w="766"/>
        <w:gridCol w:w="766"/>
        <w:gridCol w:w="439"/>
        <w:gridCol w:w="549"/>
        <w:gridCol w:w="322"/>
        <w:gridCol w:w="528"/>
        <w:gridCol w:w="549"/>
        <w:gridCol w:w="478"/>
        <w:gridCol w:w="478"/>
        <w:gridCol w:w="576"/>
        <w:gridCol w:w="670"/>
        <w:gridCol w:w="766"/>
        <w:gridCol w:w="861"/>
        <w:gridCol w:w="383"/>
        <w:gridCol w:w="639"/>
      </w:tblGrid>
      <w:tr w:rsidR="001D50D4" w:rsidRPr="00111F34" w14:paraId="57DA74F0" w14:textId="77777777" w:rsidTr="00BD7256">
        <w:trPr>
          <w:cantSplit/>
          <w:trHeight w:val="1397"/>
        </w:trPr>
        <w:tc>
          <w:tcPr>
            <w:tcW w:w="446" w:type="pct"/>
            <w:vMerge w:val="restart"/>
            <w:shd w:val="clear" w:color="auto" w:fill="7F7F7F" w:themeFill="text1" w:themeFillTint="80"/>
            <w:vAlign w:val="center"/>
          </w:tcPr>
          <w:p w14:paraId="363D21A0" w14:textId="77777777" w:rsidR="001D50D4" w:rsidRPr="00111F34" w:rsidRDefault="001D50D4" w:rsidP="00B34C98">
            <w:pPr>
              <w:snapToGrid w:val="0"/>
              <w:jc w:val="center"/>
              <w:rPr>
                <w:rFonts w:cs="Arial"/>
                <w:color w:val="FFFFFF" w:themeColor="background1"/>
                <w:sz w:val="14"/>
                <w:szCs w:val="14"/>
              </w:rPr>
            </w:pPr>
            <w:r w:rsidRPr="00111F34">
              <w:rPr>
                <w:rFonts w:cs="Arial"/>
                <w:color w:val="FFFFFF" w:themeColor="background1"/>
                <w:sz w:val="14"/>
                <w:szCs w:val="14"/>
              </w:rPr>
              <w:t>Složka životního prostředí, sledovaná témata udržitelného rozvoje</w:t>
            </w:r>
          </w:p>
        </w:tc>
        <w:tc>
          <w:tcPr>
            <w:tcW w:w="398" w:type="pct"/>
            <w:tcBorders>
              <w:bottom w:val="single" w:sz="4" w:space="0" w:color="auto"/>
            </w:tcBorders>
            <w:shd w:val="clear" w:color="auto" w:fill="7F7F7F" w:themeFill="text1" w:themeFillTint="80"/>
            <w:vAlign w:val="center"/>
          </w:tcPr>
          <w:p w14:paraId="623FBA7C" w14:textId="77777777" w:rsidR="001D50D4" w:rsidRPr="00111F34" w:rsidRDefault="001D50D4" w:rsidP="00B34C98">
            <w:pPr>
              <w:snapToGrid w:val="0"/>
              <w:jc w:val="center"/>
              <w:rPr>
                <w:rFonts w:cs="Arial"/>
                <w:color w:val="FFFFFF" w:themeColor="background1"/>
                <w:sz w:val="14"/>
                <w:szCs w:val="14"/>
              </w:rPr>
            </w:pPr>
            <w:r w:rsidRPr="00111F34">
              <w:rPr>
                <w:rFonts w:cs="Arial"/>
                <w:color w:val="FFFFFF" w:themeColor="background1"/>
                <w:sz w:val="14"/>
                <w:szCs w:val="14"/>
              </w:rPr>
              <w:t>Závazky dané strategickými dokumenty a cíli UR</w:t>
            </w:r>
          </w:p>
        </w:tc>
        <w:tc>
          <w:tcPr>
            <w:tcW w:w="626" w:type="pct"/>
            <w:gridSpan w:val="2"/>
            <w:tcBorders>
              <w:bottom w:val="single" w:sz="4" w:space="0" w:color="auto"/>
            </w:tcBorders>
            <w:shd w:val="clear" w:color="auto" w:fill="7F7F7F" w:themeFill="text1" w:themeFillTint="80"/>
            <w:vAlign w:val="center"/>
          </w:tcPr>
          <w:p w14:paraId="41E20C33" w14:textId="77777777" w:rsidR="001D50D4" w:rsidRPr="00111F34" w:rsidRDefault="001D50D4" w:rsidP="00B34C98">
            <w:pPr>
              <w:snapToGrid w:val="0"/>
              <w:jc w:val="center"/>
              <w:rPr>
                <w:rFonts w:cs="Arial"/>
                <w:color w:val="FFFFFF" w:themeColor="background1"/>
                <w:sz w:val="14"/>
                <w:szCs w:val="14"/>
              </w:rPr>
            </w:pPr>
            <w:r w:rsidRPr="00111F34">
              <w:rPr>
                <w:rFonts w:cs="Arial"/>
                <w:color w:val="FFFFFF" w:themeColor="background1"/>
                <w:sz w:val="14"/>
                <w:szCs w:val="14"/>
              </w:rPr>
              <w:t>Obyvatelstvo a veřejné zdraví</w:t>
            </w:r>
          </w:p>
        </w:tc>
        <w:tc>
          <w:tcPr>
            <w:tcW w:w="285" w:type="pct"/>
            <w:shd w:val="clear" w:color="auto" w:fill="7F7F7F" w:themeFill="text1" w:themeFillTint="80"/>
            <w:vAlign w:val="center"/>
          </w:tcPr>
          <w:p w14:paraId="17FAE29C" w14:textId="77777777" w:rsidR="001D50D4" w:rsidRPr="00111F34" w:rsidRDefault="001D50D4" w:rsidP="00B34C98">
            <w:pPr>
              <w:snapToGrid w:val="0"/>
              <w:jc w:val="center"/>
              <w:rPr>
                <w:rFonts w:cs="Arial"/>
                <w:color w:val="FFFFFF" w:themeColor="background1"/>
                <w:sz w:val="14"/>
                <w:szCs w:val="14"/>
              </w:rPr>
            </w:pPr>
            <w:r w:rsidRPr="00111F34">
              <w:rPr>
                <w:rFonts w:cs="Arial"/>
                <w:color w:val="FFFFFF" w:themeColor="background1"/>
                <w:sz w:val="14"/>
                <w:szCs w:val="14"/>
              </w:rPr>
              <w:t xml:space="preserve">Fauna, flóra, biodiverzita, ochrana přírody   </w:t>
            </w:r>
          </w:p>
        </w:tc>
        <w:tc>
          <w:tcPr>
            <w:tcW w:w="441" w:type="pct"/>
            <w:gridSpan w:val="2"/>
            <w:tcBorders>
              <w:bottom w:val="single" w:sz="4" w:space="0" w:color="auto"/>
            </w:tcBorders>
            <w:shd w:val="clear" w:color="auto" w:fill="7F7F7F" w:themeFill="text1" w:themeFillTint="80"/>
            <w:vAlign w:val="center"/>
          </w:tcPr>
          <w:p w14:paraId="0ED44B99" w14:textId="77777777" w:rsidR="001D50D4" w:rsidRPr="00111F34" w:rsidRDefault="001D50D4" w:rsidP="00B34C98">
            <w:pPr>
              <w:snapToGrid w:val="0"/>
              <w:jc w:val="center"/>
              <w:rPr>
                <w:rFonts w:cs="Arial"/>
                <w:color w:val="FFFFFF" w:themeColor="background1"/>
                <w:sz w:val="14"/>
                <w:szCs w:val="14"/>
              </w:rPr>
            </w:pPr>
            <w:r w:rsidRPr="00111F34">
              <w:rPr>
                <w:rFonts w:cs="Arial"/>
                <w:color w:val="FFFFFF" w:themeColor="background1"/>
                <w:sz w:val="14"/>
                <w:szCs w:val="14"/>
              </w:rPr>
              <w:t>Půda a horninové prostředí</w:t>
            </w:r>
          </w:p>
        </w:tc>
        <w:tc>
          <w:tcPr>
            <w:tcW w:w="285" w:type="pct"/>
            <w:shd w:val="clear" w:color="auto" w:fill="7F7F7F" w:themeFill="text1" w:themeFillTint="80"/>
            <w:vAlign w:val="center"/>
          </w:tcPr>
          <w:p w14:paraId="0164E6A8" w14:textId="77777777" w:rsidR="001D50D4" w:rsidRPr="00111F34" w:rsidRDefault="001D50D4" w:rsidP="00B34C98">
            <w:pPr>
              <w:snapToGrid w:val="0"/>
              <w:jc w:val="center"/>
              <w:rPr>
                <w:rFonts w:cs="Arial"/>
                <w:color w:val="FFFFFF" w:themeColor="background1"/>
                <w:sz w:val="14"/>
                <w:szCs w:val="14"/>
              </w:rPr>
            </w:pPr>
            <w:r w:rsidRPr="00111F34">
              <w:rPr>
                <w:rFonts w:cs="Arial"/>
                <w:color w:val="FFFFFF" w:themeColor="background1"/>
                <w:sz w:val="14"/>
                <w:szCs w:val="14"/>
              </w:rPr>
              <w:t>Voda</w:t>
            </w:r>
          </w:p>
        </w:tc>
        <w:tc>
          <w:tcPr>
            <w:tcW w:w="496" w:type="pct"/>
            <w:gridSpan w:val="2"/>
            <w:tcBorders>
              <w:bottom w:val="single" w:sz="4" w:space="0" w:color="auto"/>
            </w:tcBorders>
            <w:shd w:val="clear" w:color="auto" w:fill="7F7F7F" w:themeFill="text1" w:themeFillTint="80"/>
            <w:vAlign w:val="center"/>
          </w:tcPr>
          <w:p w14:paraId="16F165BE" w14:textId="77777777" w:rsidR="001D50D4" w:rsidRPr="00111F34" w:rsidRDefault="001D50D4" w:rsidP="00B34C98">
            <w:pPr>
              <w:snapToGrid w:val="0"/>
              <w:jc w:val="center"/>
              <w:rPr>
                <w:rFonts w:cs="Arial"/>
                <w:color w:val="FFFFFF" w:themeColor="background1"/>
                <w:sz w:val="14"/>
                <w:szCs w:val="14"/>
              </w:rPr>
            </w:pPr>
            <w:r w:rsidRPr="00111F34">
              <w:rPr>
                <w:rFonts w:cs="Arial"/>
                <w:color w:val="FFFFFF" w:themeColor="background1"/>
                <w:sz w:val="14"/>
                <w:szCs w:val="14"/>
              </w:rPr>
              <w:t>Ovzduší a klima</w:t>
            </w:r>
          </w:p>
        </w:tc>
        <w:tc>
          <w:tcPr>
            <w:tcW w:w="299" w:type="pct"/>
            <w:shd w:val="clear" w:color="auto" w:fill="7F7F7F" w:themeFill="text1" w:themeFillTint="80"/>
            <w:vAlign w:val="center"/>
          </w:tcPr>
          <w:p w14:paraId="45D8F208" w14:textId="77777777" w:rsidR="001D50D4" w:rsidRPr="00111F34" w:rsidRDefault="001D50D4" w:rsidP="00B34C98">
            <w:pPr>
              <w:snapToGrid w:val="0"/>
              <w:jc w:val="center"/>
              <w:rPr>
                <w:rFonts w:cs="Arial"/>
                <w:color w:val="FFFFFF" w:themeColor="background1"/>
                <w:sz w:val="14"/>
                <w:szCs w:val="14"/>
              </w:rPr>
            </w:pPr>
            <w:r w:rsidRPr="00111F34">
              <w:rPr>
                <w:rFonts w:cs="Arial"/>
                <w:color w:val="FFFFFF" w:themeColor="background1"/>
                <w:sz w:val="14"/>
                <w:szCs w:val="14"/>
              </w:rPr>
              <w:t>Hluková zátěž</w:t>
            </w:r>
          </w:p>
        </w:tc>
        <w:tc>
          <w:tcPr>
            <w:tcW w:w="1392" w:type="pct"/>
            <w:gridSpan w:val="4"/>
            <w:tcBorders>
              <w:bottom w:val="single" w:sz="4" w:space="0" w:color="auto"/>
            </w:tcBorders>
            <w:shd w:val="clear" w:color="auto" w:fill="7F7F7F" w:themeFill="text1" w:themeFillTint="80"/>
            <w:vAlign w:val="center"/>
          </w:tcPr>
          <w:p w14:paraId="2EC9F13D" w14:textId="77777777" w:rsidR="001D50D4" w:rsidRPr="00111F34" w:rsidRDefault="001D50D4" w:rsidP="00B34C98">
            <w:pPr>
              <w:snapToGrid w:val="0"/>
              <w:jc w:val="center"/>
              <w:rPr>
                <w:rFonts w:cs="Arial"/>
                <w:color w:val="FFFFFF" w:themeColor="background1"/>
                <w:sz w:val="14"/>
                <w:szCs w:val="14"/>
              </w:rPr>
            </w:pPr>
            <w:r w:rsidRPr="00111F34">
              <w:rPr>
                <w:rFonts w:cs="Arial"/>
                <w:color w:val="FFFFFF" w:themeColor="background1"/>
                <w:sz w:val="14"/>
                <w:szCs w:val="14"/>
              </w:rPr>
              <w:t>Krajina, sídla a urbanismus, kulturní dědictví včetně dědictví architektonického a archeologického</w:t>
            </w:r>
          </w:p>
        </w:tc>
        <w:tc>
          <w:tcPr>
            <w:tcW w:w="332" w:type="pct"/>
            <w:shd w:val="clear" w:color="auto" w:fill="7F7F7F" w:themeFill="text1" w:themeFillTint="80"/>
            <w:vAlign w:val="center"/>
          </w:tcPr>
          <w:p w14:paraId="14388888" w14:textId="77777777" w:rsidR="001D50D4" w:rsidRPr="00111F34" w:rsidRDefault="001D50D4" w:rsidP="00B34C98">
            <w:pPr>
              <w:snapToGrid w:val="0"/>
              <w:jc w:val="center"/>
              <w:rPr>
                <w:rFonts w:cs="Arial"/>
                <w:b/>
                <w:color w:val="FFFFFF" w:themeColor="background1"/>
                <w:sz w:val="14"/>
                <w:szCs w:val="14"/>
              </w:rPr>
            </w:pPr>
            <w:r w:rsidRPr="00111F34">
              <w:rPr>
                <w:rFonts w:cs="Arial"/>
                <w:b/>
                <w:color w:val="FFFFFF" w:themeColor="background1"/>
                <w:sz w:val="14"/>
                <w:szCs w:val="14"/>
              </w:rPr>
              <w:t>Suma</w:t>
            </w:r>
          </w:p>
        </w:tc>
      </w:tr>
      <w:tr w:rsidR="001D50D4" w:rsidRPr="00111F34" w14:paraId="503CA073" w14:textId="77777777" w:rsidTr="00BD7256">
        <w:trPr>
          <w:cantSplit/>
          <w:trHeight w:val="1120"/>
        </w:trPr>
        <w:tc>
          <w:tcPr>
            <w:tcW w:w="446" w:type="pct"/>
            <w:vMerge/>
            <w:tcBorders>
              <w:bottom w:val="single" w:sz="4" w:space="0" w:color="auto"/>
            </w:tcBorders>
            <w:shd w:val="clear" w:color="auto" w:fill="7F7F7F" w:themeFill="text1" w:themeFillTint="80"/>
            <w:vAlign w:val="center"/>
          </w:tcPr>
          <w:p w14:paraId="72C5097B" w14:textId="77777777" w:rsidR="001D50D4" w:rsidRPr="00111F34" w:rsidRDefault="001D50D4" w:rsidP="00B34C98">
            <w:pPr>
              <w:snapToGrid w:val="0"/>
              <w:jc w:val="center"/>
              <w:rPr>
                <w:rFonts w:cs="Arial"/>
                <w:color w:val="FFFFFF" w:themeColor="background1"/>
                <w:sz w:val="14"/>
                <w:szCs w:val="14"/>
              </w:rPr>
            </w:pPr>
          </w:p>
        </w:tc>
        <w:tc>
          <w:tcPr>
            <w:tcW w:w="398" w:type="pct"/>
            <w:tcBorders>
              <w:bottom w:val="single" w:sz="4" w:space="0" w:color="auto"/>
            </w:tcBorders>
            <w:shd w:val="clear" w:color="auto" w:fill="7F7F7F" w:themeFill="text1" w:themeFillTint="80"/>
            <w:vAlign w:val="center"/>
          </w:tcPr>
          <w:p w14:paraId="0C099BEA" w14:textId="77777777" w:rsidR="001D50D4" w:rsidRPr="00111F34" w:rsidRDefault="001D50D4" w:rsidP="00B34C98">
            <w:pPr>
              <w:snapToGrid w:val="0"/>
              <w:jc w:val="center"/>
              <w:rPr>
                <w:rFonts w:cs="Arial"/>
                <w:color w:val="FFFFFF" w:themeColor="background1"/>
                <w:sz w:val="14"/>
                <w:szCs w:val="14"/>
              </w:rPr>
            </w:pPr>
            <w:r w:rsidRPr="00111F34">
              <w:rPr>
                <w:rFonts w:cs="Arial"/>
                <w:color w:val="FFFFFF" w:themeColor="background1"/>
                <w:sz w:val="14"/>
                <w:szCs w:val="14"/>
              </w:rPr>
              <w:t xml:space="preserve">Závazky </w:t>
            </w:r>
          </w:p>
          <w:p w14:paraId="67AF0698" w14:textId="77777777" w:rsidR="001D50D4" w:rsidRPr="00111F34" w:rsidRDefault="001D50D4" w:rsidP="00B34C98">
            <w:pPr>
              <w:snapToGrid w:val="0"/>
              <w:jc w:val="center"/>
              <w:rPr>
                <w:rFonts w:cs="Arial"/>
                <w:color w:val="FFFFFF" w:themeColor="background1"/>
                <w:sz w:val="14"/>
                <w:szCs w:val="14"/>
              </w:rPr>
            </w:pPr>
          </w:p>
        </w:tc>
        <w:tc>
          <w:tcPr>
            <w:tcW w:w="398" w:type="pct"/>
            <w:tcBorders>
              <w:bottom w:val="single" w:sz="4" w:space="0" w:color="auto"/>
            </w:tcBorders>
            <w:shd w:val="clear" w:color="auto" w:fill="7F7F7F" w:themeFill="text1" w:themeFillTint="80"/>
            <w:vAlign w:val="center"/>
          </w:tcPr>
          <w:p w14:paraId="409CE3F7" w14:textId="77777777" w:rsidR="001D50D4" w:rsidRPr="00111F34" w:rsidRDefault="001D50D4" w:rsidP="00B34C98">
            <w:pPr>
              <w:snapToGrid w:val="0"/>
              <w:jc w:val="center"/>
              <w:rPr>
                <w:rFonts w:cs="Arial"/>
                <w:color w:val="FFFFFF" w:themeColor="background1"/>
                <w:sz w:val="14"/>
                <w:szCs w:val="14"/>
              </w:rPr>
            </w:pPr>
            <w:r w:rsidRPr="00111F34">
              <w:rPr>
                <w:rFonts w:cs="Arial"/>
                <w:color w:val="FFFFFF" w:themeColor="background1"/>
                <w:sz w:val="14"/>
                <w:szCs w:val="14"/>
              </w:rPr>
              <w:t>obyvatelstvo</w:t>
            </w:r>
          </w:p>
        </w:tc>
        <w:tc>
          <w:tcPr>
            <w:tcW w:w="228" w:type="pct"/>
            <w:tcBorders>
              <w:bottom w:val="single" w:sz="4" w:space="0" w:color="auto"/>
            </w:tcBorders>
            <w:shd w:val="clear" w:color="auto" w:fill="7F7F7F" w:themeFill="text1" w:themeFillTint="80"/>
            <w:vAlign w:val="center"/>
          </w:tcPr>
          <w:p w14:paraId="5DE2400A" w14:textId="77777777" w:rsidR="001D50D4" w:rsidRPr="00111F34" w:rsidRDefault="001D50D4" w:rsidP="00B34C98">
            <w:pPr>
              <w:snapToGrid w:val="0"/>
              <w:jc w:val="center"/>
              <w:rPr>
                <w:rFonts w:cs="Arial"/>
                <w:color w:val="FFFFFF" w:themeColor="background1"/>
                <w:sz w:val="14"/>
                <w:szCs w:val="14"/>
              </w:rPr>
            </w:pPr>
            <w:r w:rsidRPr="00111F34">
              <w:rPr>
                <w:rFonts w:cs="Arial"/>
                <w:color w:val="FFFFFF" w:themeColor="background1"/>
                <w:sz w:val="14"/>
                <w:szCs w:val="14"/>
              </w:rPr>
              <w:t>zdraví</w:t>
            </w:r>
          </w:p>
        </w:tc>
        <w:tc>
          <w:tcPr>
            <w:tcW w:w="285" w:type="pct"/>
            <w:tcBorders>
              <w:bottom w:val="single" w:sz="4" w:space="0" w:color="auto"/>
            </w:tcBorders>
            <w:shd w:val="clear" w:color="auto" w:fill="7F7F7F" w:themeFill="text1" w:themeFillTint="80"/>
            <w:vAlign w:val="center"/>
          </w:tcPr>
          <w:p w14:paraId="4BBF9A25" w14:textId="77777777" w:rsidR="001D50D4" w:rsidRPr="00111F34" w:rsidRDefault="001D50D4" w:rsidP="00B34C98">
            <w:pPr>
              <w:snapToGrid w:val="0"/>
              <w:jc w:val="center"/>
              <w:rPr>
                <w:rFonts w:cs="Arial"/>
                <w:color w:val="FFFFFF" w:themeColor="background1"/>
                <w:sz w:val="14"/>
                <w:szCs w:val="14"/>
              </w:rPr>
            </w:pPr>
            <w:r w:rsidRPr="00111F34">
              <w:rPr>
                <w:rFonts w:cs="Arial"/>
                <w:color w:val="FFFFFF" w:themeColor="background1"/>
                <w:sz w:val="14"/>
                <w:szCs w:val="14"/>
              </w:rPr>
              <w:t>Biotická složka ŽP a ochrana přírody a krajiny</w:t>
            </w:r>
          </w:p>
        </w:tc>
        <w:tc>
          <w:tcPr>
            <w:tcW w:w="167" w:type="pct"/>
            <w:tcBorders>
              <w:bottom w:val="single" w:sz="4" w:space="0" w:color="auto"/>
            </w:tcBorders>
            <w:shd w:val="clear" w:color="auto" w:fill="7F7F7F" w:themeFill="text1" w:themeFillTint="80"/>
            <w:vAlign w:val="center"/>
          </w:tcPr>
          <w:p w14:paraId="10896778" w14:textId="77777777" w:rsidR="001D50D4" w:rsidRPr="00111F34" w:rsidRDefault="001D50D4" w:rsidP="00B34C98">
            <w:pPr>
              <w:snapToGrid w:val="0"/>
              <w:jc w:val="center"/>
              <w:rPr>
                <w:rFonts w:cs="Arial"/>
                <w:color w:val="FFFFFF" w:themeColor="background1"/>
                <w:sz w:val="14"/>
                <w:szCs w:val="14"/>
              </w:rPr>
            </w:pPr>
            <w:r w:rsidRPr="00111F34">
              <w:rPr>
                <w:rFonts w:cs="Arial"/>
                <w:color w:val="FFFFFF" w:themeColor="background1"/>
                <w:sz w:val="14"/>
                <w:szCs w:val="14"/>
              </w:rPr>
              <w:t>půda</w:t>
            </w:r>
          </w:p>
        </w:tc>
        <w:tc>
          <w:tcPr>
            <w:tcW w:w="274" w:type="pct"/>
            <w:tcBorders>
              <w:bottom w:val="single" w:sz="4" w:space="0" w:color="auto"/>
            </w:tcBorders>
            <w:shd w:val="clear" w:color="auto" w:fill="7F7F7F" w:themeFill="text1" w:themeFillTint="80"/>
            <w:vAlign w:val="center"/>
          </w:tcPr>
          <w:p w14:paraId="02531AE6" w14:textId="77777777" w:rsidR="001D50D4" w:rsidRPr="00111F34" w:rsidRDefault="001D50D4" w:rsidP="00B34C98">
            <w:pPr>
              <w:snapToGrid w:val="0"/>
              <w:jc w:val="center"/>
              <w:rPr>
                <w:rFonts w:cs="Arial"/>
                <w:color w:val="FFFFFF" w:themeColor="background1"/>
                <w:sz w:val="14"/>
                <w:szCs w:val="14"/>
              </w:rPr>
            </w:pPr>
            <w:r w:rsidRPr="00111F34">
              <w:rPr>
                <w:rFonts w:cs="Arial"/>
                <w:color w:val="FFFFFF" w:themeColor="background1"/>
                <w:sz w:val="14"/>
                <w:szCs w:val="14"/>
              </w:rPr>
              <w:t>horninové prostředí</w:t>
            </w:r>
          </w:p>
        </w:tc>
        <w:tc>
          <w:tcPr>
            <w:tcW w:w="285" w:type="pct"/>
            <w:tcBorders>
              <w:bottom w:val="single" w:sz="4" w:space="0" w:color="auto"/>
            </w:tcBorders>
            <w:shd w:val="clear" w:color="auto" w:fill="7F7F7F" w:themeFill="text1" w:themeFillTint="80"/>
            <w:vAlign w:val="center"/>
          </w:tcPr>
          <w:p w14:paraId="493B94CA" w14:textId="77777777" w:rsidR="001D50D4" w:rsidRPr="00111F34" w:rsidRDefault="001D50D4" w:rsidP="00B34C98">
            <w:pPr>
              <w:snapToGrid w:val="0"/>
              <w:jc w:val="center"/>
              <w:rPr>
                <w:rFonts w:cs="Arial"/>
                <w:color w:val="FFFFFF" w:themeColor="background1"/>
                <w:sz w:val="14"/>
                <w:szCs w:val="14"/>
              </w:rPr>
            </w:pPr>
            <w:r w:rsidRPr="00111F34">
              <w:rPr>
                <w:rFonts w:cs="Arial"/>
                <w:color w:val="FFFFFF" w:themeColor="background1"/>
                <w:sz w:val="14"/>
                <w:szCs w:val="14"/>
              </w:rPr>
              <w:t>Vodní zdroje a retenční schopnost</w:t>
            </w:r>
          </w:p>
        </w:tc>
        <w:tc>
          <w:tcPr>
            <w:tcW w:w="248" w:type="pct"/>
            <w:tcBorders>
              <w:bottom w:val="single" w:sz="4" w:space="0" w:color="auto"/>
            </w:tcBorders>
            <w:shd w:val="clear" w:color="auto" w:fill="7F7F7F" w:themeFill="text1" w:themeFillTint="80"/>
            <w:vAlign w:val="center"/>
          </w:tcPr>
          <w:p w14:paraId="0DC7DBCF" w14:textId="77777777" w:rsidR="001D50D4" w:rsidRPr="00111F34" w:rsidRDefault="001D50D4" w:rsidP="00B34C98">
            <w:pPr>
              <w:snapToGrid w:val="0"/>
              <w:jc w:val="center"/>
              <w:rPr>
                <w:rFonts w:cs="Arial"/>
                <w:color w:val="FFFFFF" w:themeColor="background1"/>
                <w:sz w:val="14"/>
                <w:szCs w:val="14"/>
              </w:rPr>
            </w:pPr>
            <w:r w:rsidRPr="00111F34">
              <w:rPr>
                <w:rFonts w:cs="Arial"/>
                <w:color w:val="FFFFFF" w:themeColor="background1"/>
                <w:sz w:val="14"/>
                <w:szCs w:val="14"/>
              </w:rPr>
              <w:t xml:space="preserve">ovzduší </w:t>
            </w:r>
          </w:p>
        </w:tc>
        <w:tc>
          <w:tcPr>
            <w:tcW w:w="248" w:type="pct"/>
            <w:tcBorders>
              <w:bottom w:val="single" w:sz="4" w:space="0" w:color="auto"/>
            </w:tcBorders>
            <w:shd w:val="clear" w:color="auto" w:fill="7F7F7F" w:themeFill="text1" w:themeFillTint="80"/>
            <w:vAlign w:val="center"/>
          </w:tcPr>
          <w:p w14:paraId="4748572F" w14:textId="77777777" w:rsidR="001D50D4" w:rsidRPr="00111F34" w:rsidRDefault="001D50D4" w:rsidP="00B34C98">
            <w:pPr>
              <w:snapToGrid w:val="0"/>
              <w:jc w:val="center"/>
              <w:rPr>
                <w:rFonts w:cs="Arial"/>
                <w:color w:val="FFFFFF" w:themeColor="background1"/>
                <w:sz w:val="14"/>
                <w:szCs w:val="14"/>
              </w:rPr>
            </w:pPr>
            <w:r w:rsidRPr="00111F34">
              <w:rPr>
                <w:rFonts w:cs="Arial"/>
                <w:color w:val="FFFFFF" w:themeColor="background1"/>
                <w:sz w:val="14"/>
                <w:szCs w:val="14"/>
              </w:rPr>
              <w:t>klima</w:t>
            </w:r>
          </w:p>
        </w:tc>
        <w:tc>
          <w:tcPr>
            <w:tcW w:w="299" w:type="pct"/>
            <w:tcBorders>
              <w:bottom w:val="single" w:sz="4" w:space="0" w:color="auto"/>
            </w:tcBorders>
            <w:shd w:val="clear" w:color="auto" w:fill="7F7F7F" w:themeFill="text1" w:themeFillTint="80"/>
            <w:vAlign w:val="center"/>
          </w:tcPr>
          <w:p w14:paraId="3D458EC0" w14:textId="77777777" w:rsidR="001D50D4" w:rsidRPr="00111F34" w:rsidRDefault="001D50D4" w:rsidP="00B34C98">
            <w:pPr>
              <w:snapToGrid w:val="0"/>
              <w:jc w:val="center"/>
              <w:rPr>
                <w:rFonts w:cs="Arial"/>
                <w:color w:val="FFFFFF" w:themeColor="background1"/>
                <w:sz w:val="14"/>
                <w:szCs w:val="14"/>
              </w:rPr>
            </w:pPr>
            <w:r w:rsidRPr="00111F34">
              <w:rPr>
                <w:rFonts w:cs="Arial"/>
                <w:color w:val="FFFFFF" w:themeColor="background1"/>
                <w:sz w:val="14"/>
                <w:szCs w:val="14"/>
              </w:rPr>
              <w:t>Hluk</w:t>
            </w:r>
          </w:p>
        </w:tc>
        <w:tc>
          <w:tcPr>
            <w:tcW w:w="348" w:type="pct"/>
            <w:tcBorders>
              <w:bottom w:val="single" w:sz="4" w:space="0" w:color="auto"/>
            </w:tcBorders>
            <w:shd w:val="clear" w:color="auto" w:fill="7F7F7F" w:themeFill="text1" w:themeFillTint="80"/>
            <w:vAlign w:val="center"/>
          </w:tcPr>
          <w:p w14:paraId="30822C13" w14:textId="77777777" w:rsidR="001D50D4" w:rsidRPr="00111F34" w:rsidRDefault="001D50D4" w:rsidP="00B34C98">
            <w:pPr>
              <w:snapToGrid w:val="0"/>
              <w:jc w:val="center"/>
              <w:rPr>
                <w:rFonts w:cs="Arial"/>
                <w:color w:val="FFFFFF" w:themeColor="background1"/>
                <w:sz w:val="14"/>
                <w:szCs w:val="14"/>
              </w:rPr>
            </w:pPr>
            <w:r w:rsidRPr="00111F34">
              <w:rPr>
                <w:rFonts w:cs="Arial"/>
                <w:color w:val="FFFFFF" w:themeColor="background1"/>
                <w:sz w:val="14"/>
                <w:szCs w:val="14"/>
              </w:rPr>
              <w:t>sídla, urbanismus</w:t>
            </w:r>
          </w:p>
        </w:tc>
        <w:tc>
          <w:tcPr>
            <w:tcW w:w="398" w:type="pct"/>
            <w:tcBorders>
              <w:bottom w:val="single" w:sz="4" w:space="0" w:color="auto"/>
            </w:tcBorders>
            <w:shd w:val="clear" w:color="auto" w:fill="7F7F7F" w:themeFill="text1" w:themeFillTint="80"/>
            <w:vAlign w:val="center"/>
          </w:tcPr>
          <w:p w14:paraId="0CE1A3F5" w14:textId="77777777" w:rsidR="001D50D4" w:rsidRPr="00111F34" w:rsidRDefault="001D50D4" w:rsidP="00B34C98">
            <w:pPr>
              <w:snapToGrid w:val="0"/>
              <w:jc w:val="center"/>
              <w:rPr>
                <w:rFonts w:cs="Arial"/>
                <w:color w:val="FFFFFF" w:themeColor="background1"/>
                <w:sz w:val="14"/>
                <w:szCs w:val="14"/>
              </w:rPr>
            </w:pPr>
            <w:r w:rsidRPr="00111F34">
              <w:rPr>
                <w:rFonts w:cs="Arial"/>
                <w:color w:val="FFFFFF" w:themeColor="background1"/>
                <w:sz w:val="14"/>
                <w:szCs w:val="14"/>
              </w:rPr>
              <w:t>infrastruktura</w:t>
            </w:r>
          </w:p>
        </w:tc>
        <w:tc>
          <w:tcPr>
            <w:tcW w:w="447" w:type="pct"/>
            <w:tcBorders>
              <w:bottom w:val="single" w:sz="4" w:space="0" w:color="auto"/>
            </w:tcBorders>
            <w:shd w:val="clear" w:color="auto" w:fill="7F7F7F" w:themeFill="text1" w:themeFillTint="80"/>
            <w:vAlign w:val="center"/>
          </w:tcPr>
          <w:p w14:paraId="475B9351" w14:textId="75149B1F" w:rsidR="001D50D4" w:rsidRPr="00111F34" w:rsidRDefault="003577E4" w:rsidP="00B34C98">
            <w:pPr>
              <w:snapToGrid w:val="0"/>
              <w:jc w:val="center"/>
              <w:rPr>
                <w:rFonts w:cs="Arial"/>
                <w:color w:val="FFFFFF" w:themeColor="background1"/>
                <w:sz w:val="14"/>
                <w:szCs w:val="14"/>
              </w:rPr>
            </w:pPr>
            <w:r w:rsidRPr="00111F34">
              <w:rPr>
                <w:rFonts w:cs="Arial"/>
                <w:color w:val="FFFFFF" w:themeColor="background1"/>
                <w:sz w:val="14"/>
                <w:szCs w:val="14"/>
              </w:rPr>
              <w:t xml:space="preserve">Kulturní, </w:t>
            </w:r>
            <w:r w:rsidR="00C51945" w:rsidRPr="00111F34">
              <w:rPr>
                <w:rFonts w:cs="Arial"/>
                <w:color w:val="FFFFFF" w:themeColor="background1"/>
                <w:sz w:val="14"/>
                <w:szCs w:val="14"/>
              </w:rPr>
              <w:t>architektonické a</w:t>
            </w:r>
            <w:r w:rsidR="001D50D4" w:rsidRPr="00111F34">
              <w:rPr>
                <w:rFonts w:cs="Arial"/>
                <w:color w:val="FFFFFF" w:themeColor="background1"/>
                <w:sz w:val="14"/>
                <w:szCs w:val="14"/>
              </w:rPr>
              <w:t xml:space="preserve"> archeologické dědictví</w:t>
            </w:r>
          </w:p>
          <w:p w14:paraId="1F2F75CD" w14:textId="77777777" w:rsidR="001D50D4" w:rsidRPr="00111F34" w:rsidRDefault="001D50D4" w:rsidP="00B34C98">
            <w:pPr>
              <w:snapToGrid w:val="0"/>
              <w:jc w:val="center"/>
              <w:rPr>
                <w:rFonts w:cs="Arial"/>
                <w:color w:val="FFFFFF" w:themeColor="background1"/>
                <w:sz w:val="14"/>
                <w:szCs w:val="14"/>
              </w:rPr>
            </w:pPr>
          </w:p>
        </w:tc>
        <w:tc>
          <w:tcPr>
            <w:tcW w:w="199" w:type="pct"/>
            <w:tcBorders>
              <w:bottom w:val="single" w:sz="4" w:space="0" w:color="auto"/>
            </w:tcBorders>
            <w:shd w:val="clear" w:color="auto" w:fill="7F7F7F" w:themeFill="text1" w:themeFillTint="80"/>
            <w:vAlign w:val="center"/>
          </w:tcPr>
          <w:p w14:paraId="7AC6F81C" w14:textId="77777777" w:rsidR="001D50D4" w:rsidRPr="00111F34" w:rsidRDefault="001D50D4" w:rsidP="00B34C98">
            <w:pPr>
              <w:snapToGrid w:val="0"/>
              <w:jc w:val="center"/>
              <w:rPr>
                <w:rFonts w:cs="Arial"/>
                <w:color w:val="FFFFFF" w:themeColor="background1"/>
                <w:sz w:val="14"/>
                <w:szCs w:val="14"/>
              </w:rPr>
            </w:pPr>
            <w:r w:rsidRPr="00111F34">
              <w:rPr>
                <w:rFonts w:cs="Arial"/>
                <w:color w:val="FFFFFF" w:themeColor="background1"/>
                <w:sz w:val="14"/>
                <w:szCs w:val="14"/>
              </w:rPr>
              <w:t>krajina</w:t>
            </w:r>
          </w:p>
        </w:tc>
        <w:tc>
          <w:tcPr>
            <w:tcW w:w="332" w:type="pct"/>
            <w:tcBorders>
              <w:bottom w:val="single" w:sz="4" w:space="0" w:color="auto"/>
            </w:tcBorders>
            <w:shd w:val="clear" w:color="auto" w:fill="7F7F7F" w:themeFill="text1" w:themeFillTint="80"/>
            <w:vAlign w:val="center"/>
          </w:tcPr>
          <w:p w14:paraId="3E2944AE" w14:textId="77777777" w:rsidR="001D50D4" w:rsidRPr="00111F34" w:rsidRDefault="001D50D4" w:rsidP="00B34C98">
            <w:pPr>
              <w:snapToGrid w:val="0"/>
              <w:jc w:val="center"/>
              <w:rPr>
                <w:rFonts w:cs="Arial"/>
                <w:b/>
                <w:color w:val="FFFFFF" w:themeColor="background1"/>
                <w:sz w:val="14"/>
                <w:szCs w:val="14"/>
              </w:rPr>
            </w:pPr>
          </w:p>
        </w:tc>
      </w:tr>
      <w:tr w:rsidR="001D50D4" w:rsidRPr="00111F34" w14:paraId="217B37F6" w14:textId="77777777" w:rsidTr="00B34C98">
        <w:trPr>
          <w:trHeight w:val="616"/>
        </w:trPr>
        <w:tc>
          <w:tcPr>
            <w:tcW w:w="446" w:type="pct"/>
            <w:tcBorders>
              <w:top w:val="single" w:sz="4" w:space="0" w:color="auto"/>
              <w:bottom w:val="single" w:sz="4" w:space="0" w:color="auto"/>
              <w:right w:val="single" w:sz="4" w:space="0" w:color="auto"/>
            </w:tcBorders>
            <w:shd w:val="clear" w:color="auto" w:fill="auto"/>
            <w:vAlign w:val="center"/>
          </w:tcPr>
          <w:p w14:paraId="40E4426E" w14:textId="3B19D208" w:rsidR="001D50D4" w:rsidRPr="00111F34" w:rsidRDefault="001D50D4" w:rsidP="00B34C98">
            <w:pPr>
              <w:pStyle w:val="normln0"/>
              <w:snapToGrid w:val="0"/>
              <w:spacing w:before="0"/>
              <w:jc w:val="center"/>
              <w:rPr>
                <w:rFonts w:ascii="Arial" w:hAnsi="Arial" w:cs="Arial"/>
                <w:sz w:val="16"/>
                <w:szCs w:val="16"/>
              </w:rPr>
            </w:pPr>
            <w:r w:rsidRPr="00111F34">
              <w:rPr>
                <w:rFonts w:ascii="Arial" w:hAnsi="Arial" w:cs="Arial"/>
                <w:sz w:val="16"/>
                <w:szCs w:val="16"/>
              </w:rPr>
              <w:t>Změna Z </w:t>
            </w:r>
            <w:r w:rsidR="001663EA" w:rsidRPr="00111F34">
              <w:rPr>
                <w:rFonts w:ascii="Arial" w:hAnsi="Arial" w:cs="Arial"/>
                <w:sz w:val="16"/>
                <w:szCs w:val="16"/>
              </w:rPr>
              <w:t>3827</w:t>
            </w:r>
          </w:p>
        </w:tc>
        <w:tc>
          <w:tcPr>
            <w:tcW w:w="398" w:type="pct"/>
            <w:tcBorders>
              <w:top w:val="single" w:sz="4" w:space="0" w:color="auto"/>
              <w:left w:val="single" w:sz="4" w:space="0" w:color="auto"/>
              <w:bottom w:val="single" w:sz="4" w:space="0" w:color="auto"/>
              <w:right w:val="single" w:sz="4" w:space="0" w:color="auto"/>
            </w:tcBorders>
            <w:shd w:val="clear" w:color="auto" w:fill="auto"/>
            <w:vAlign w:val="center"/>
          </w:tcPr>
          <w:p w14:paraId="0FD549F5" w14:textId="77777777" w:rsidR="001D50D4" w:rsidRPr="00111F34" w:rsidRDefault="001D50D4" w:rsidP="00B34C98">
            <w:pPr>
              <w:spacing w:beforeLines="20" w:before="48" w:afterLines="20" w:after="48"/>
              <w:jc w:val="center"/>
              <w:rPr>
                <w:rFonts w:cs="Arial"/>
                <w:sz w:val="16"/>
                <w:szCs w:val="16"/>
              </w:rPr>
            </w:pPr>
            <w:r w:rsidRPr="00111F34">
              <w:rPr>
                <w:rFonts w:cs="Arial"/>
                <w:sz w:val="16"/>
                <w:szCs w:val="16"/>
              </w:rPr>
              <w:t>1</w:t>
            </w:r>
          </w:p>
        </w:tc>
        <w:tc>
          <w:tcPr>
            <w:tcW w:w="398" w:type="pct"/>
            <w:tcBorders>
              <w:top w:val="single" w:sz="4" w:space="0" w:color="auto"/>
              <w:left w:val="single" w:sz="4" w:space="0" w:color="auto"/>
              <w:bottom w:val="single" w:sz="4" w:space="0" w:color="auto"/>
              <w:right w:val="single" w:sz="4" w:space="0" w:color="auto"/>
            </w:tcBorders>
            <w:shd w:val="clear" w:color="auto" w:fill="auto"/>
            <w:vAlign w:val="center"/>
          </w:tcPr>
          <w:p w14:paraId="0483073C" w14:textId="77777777" w:rsidR="001D50D4" w:rsidRPr="00111F34" w:rsidRDefault="001D50D4" w:rsidP="00B34C98">
            <w:pPr>
              <w:spacing w:beforeLines="20" w:before="48" w:afterLines="20" w:after="48"/>
              <w:jc w:val="center"/>
              <w:rPr>
                <w:rFonts w:cs="Arial"/>
                <w:sz w:val="16"/>
                <w:szCs w:val="16"/>
              </w:rPr>
            </w:pPr>
            <w:r w:rsidRPr="00111F34">
              <w:rPr>
                <w:rFonts w:cs="Arial"/>
                <w:sz w:val="16"/>
                <w:szCs w:val="16"/>
              </w:rPr>
              <w:t>1</w:t>
            </w:r>
          </w:p>
        </w:tc>
        <w:tc>
          <w:tcPr>
            <w:tcW w:w="228" w:type="pct"/>
            <w:tcBorders>
              <w:top w:val="single" w:sz="4" w:space="0" w:color="auto"/>
              <w:left w:val="single" w:sz="4" w:space="0" w:color="auto"/>
              <w:bottom w:val="single" w:sz="4" w:space="0" w:color="auto"/>
              <w:right w:val="single" w:sz="4" w:space="0" w:color="auto"/>
            </w:tcBorders>
            <w:shd w:val="clear" w:color="auto" w:fill="auto"/>
            <w:vAlign w:val="center"/>
          </w:tcPr>
          <w:p w14:paraId="31B94A5C" w14:textId="77777777" w:rsidR="001D50D4" w:rsidRPr="00111F34" w:rsidRDefault="001D50D4" w:rsidP="00B34C98">
            <w:pPr>
              <w:spacing w:beforeLines="20" w:before="48" w:afterLines="20" w:after="48"/>
              <w:jc w:val="center"/>
              <w:rPr>
                <w:rFonts w:cs="Arial"/>
                <w:sz w:val="16"/>
                <w:szCs w:val="16"/>
              </w:rPr>
            </w:pPr>
            <w:r w:rsidRPr="00111F34">
              <w:rPr>
                <w:rFonts w:cs="Arial"/>
                <w:sz w:val="16"/>
                <w:szCs w:val="16"/>
              </w:rPr>
              <w:t>1</w:t>
            </w:r>
          </w:p>
        </w:tc>
        <w:tc>
          <w:tcPr>
            <w:tcW w:w="285" w:type="pct"/>
            <w:tcBorders>
              <w:top w:val="single" w:sz="4" w:space="0" w:color="auto"/>
              <w:left w:val="single" w:sz="4" w:space="0" w:color="auto"/>
              <w:bottom w:val="single" w:sz="4" w:space="0" w:color="auto"/>
              <w:right w:val="single" w:sz="4" w:space="0" w:color="auto"/>
            </w:tcBorders>
            <w:shd w:val="clear" w:color="auto" w:fill="auto"/>
            <w:vAlign w:val="center"/>
          </w:tcPr>
          <w:p w14:paraId="2C6682CA" w14:textId="7207EA0F" w:rsidR="001D50D4" w:rsidRPr="00111F34" w:rsidRDefault="00753BD7" w:rsidP="00B34C98">
            <w:pPr>
              <w:spacing w:beforeLines="20" w:before="48" w:afterLines="20" w:after="48"/>
              <w:jc w:val="center"/>
              <w:rPr>
                <w:rFonts w:cs="Arial"/>
                <w:sz w:val="16"/>
                <w:szCs w:val="16"/>
              </w:rPr>
            </w:pPr>
            <w:r w:rsidRPr="00111F34">
              <w:rPr>
                <w:rFonts w:cs="Arial"/>
                <w:sz w:val="16"/>
                <w:szCs w:val="16"/>
              </w:rPr>
              <w:t>2</w:t>
            </w:r>
          </w:p>
        </w:tc>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73B45147" w14:textId="773B0F8A" w:rsidR="001D50D4" w:rsidRPr="00111F34" w:rsidRDefault="00753BD7" w:rsidP="00B34C98">
            <w:pPr>
              <w:spacing w:beforeLines="20" w:before="48" w:afterLines="20" w:after="48"/>
              <w:jc w:val="center"/>
              <w:rPr>
                <w:rFonts w:cs="Arial"/>
                <w:sz w:val="16"/>
                <w:szCs w:val="16"/>
              </w:rPr>
            </w:pPr>
            <w:r w:rsidRPr="00111F34">
              <w:rPr>
                <w:rFonts w:cs="Arial"/>
                <w:sz w:val="16"/>
                <w:szCs w:val="16"/>
              </w:rPr>
              <w:t>2</w:t>
            </w:r>
          </w:p>
        </w:tc>
        <w:tc>
          <w:tcPr>
            <w:tcW w:w="274" w:type="pct"/>
            <w:tcBorders>
              <w:top w:val="single" w:sz="4" w:space="0" w:color="auto"/>
              <w:left w:val="single" w:sz="4" w:space="0" w:color="auto"/>
              <w:bottom w:val="single" w:sz="4" w:space="0" w:color="auto"/>
              <w:right w:val="single" w:sz="4" w:space="0" w:color="auto"/>
            </w:tcBorders>
            <w:shd w:val="clear" w:color="auto" w:fill="auto"/>
            <w:vAlign w:val="center"/>
          </w:tcPr>
          <w:p w14:paraId="679EFF16" w14:textId="56D98E81" w:rsidR="001D50D4" w:rsidRPr="00111F34" w:rsidRDefault="00753BD7" w:rsidP="00B34C98">
            <w:pPr>
              <w:spacing w:beforeLines="20" w:before="48" w:afterLines="20" w:after="48"/>
              <w:jc w:val="center"/>
              <w:rPr>
                <w:rFonts w:cs="Arial"/>
                <w:sz w:val="16"/>
                <w:szCs w:val="16"/>
              </w:rPr>
            </w:pPr>
            <w:r w:rsidRPr="00111F34">
              <w:rPr>
                <w:rFonts w:cs="Arial"/>
                <w:sz w:val="16"/>
                <w:szCs w:val="16"/>
              </w:rPr>
              <w:t>1</w:t>
            </w:r>
          </w:p>
        </w:tc>
        <w:tc>
          <w:tcPr>
            <w:tcW w:w="285" w:type="pct"/>
            <w:tcBorders>
              <w:top w:val="single" w:sz="4" w:space="0" w:color="auto"/>
              <w:left w:val="single" w:sz="4" w:space="0" w:color="auto"/>
              <w:bottom w:val="single" w:sz="4" w:space="0" w:color="auto"/>
              <w:right w:val="single" w:sz="4" w:space="0" w:color="auto"/>
            </w:tcBorders>
            <w:shd w:val="clear" w:color="auto" w:fill="auto"/>
            <w:vAlign w:val="center"/>
          </w:tcPr>
          <w:p w14:paraId="59ACD737" w14:textId="06BCBC9C" w:rsidR="001D50D4" w:rsidRPr="00111F34" w:rsidRDefault="00983865" w:rsidP="00B34C98">
            <w:pPr>
              <w:spacing w:beforeLines="20" w:before="48" w:afterLines="20" w:after="48"/>
              <w:jc w:val="center"/>
              <w:rPr>
                <w:rFonts w:cs="Arial"/>
                <w:sz w:val="16"/>
                <w:szCs w:val="16"/>
              </w:rPr>
            </w:pPr>
            <w:r w:rsidRPr="00111F34">
              <w:rPr>
                <w:rFonts w:cs="Arial"/>
                <w:sz w:val="16"/>
                <w:szCs w:val="16"/>
              </w:rPr>
              <w:t>2</w:t>
            </w:r>
          </w:p>
        </w:tc>
        <w:tc>
          <w:tcPr>
            <w:tcW w:w="248" w:type="pct"/>
            <w:tcBorders>
              <w:top w:val="single" w:sz="4" w:space="0" w:color="auto"/>
              <w:left w:val="single" w:sz="4" w:space="0" w:color="auto"/>
              <w:bottom w:val="single" w:sz="4" w:space="0" w:color="auto"/>
              <w:right w:val="single" w:sz="4" w:space="0" w:color="auto"/>
            </w:tcBorders>
            <w:shd w:val="clear" w:color="auto" w:fill="auto"/>
            <w:vAlign w:val="center"/>
          </w:tcPr>
          <w:p w14:paraId="56C94C38" w14:textId="09B44ECA" w:rsidR="001D50D4" w:rsidRPr="00111F34" w:rsidRDefault="00983865" w:rsidP="00B34C98">
            <w:pPr>
              <w:spacing w:beforeLines="20" w:before="48" w:afterLines="20" w:after="48"/>
              <w:jc w:val="center"/>
              <w:rPr>
                <w:rFonts w:cs="Arial"/>
                <w:sz w:val="16"/>
                <w:szCs w:val="16"/>
              </w:rPr>
            </w:pPr>
            <w:r w:rsidRPr="00111F34">
              <w:rPr>
                <w:rFonts w:cs="Arial"/>
                <w:sz w:val="16"/>
                <w:szCs w:val="16"/>
              </w:rPr>
              <w:t>1</w:t>
            </w:r>
          </w:p>
        </w:tc>
        <w:tc>
          <w:tcPr>
            <w:tcW w:w="248" w:type="pct"/>
            <w:tcBorders>
              <w:top w:val="single" w:sz="4" w:space="0" w:color="auto"/>
              <w:left w:val="single" w:sz="4" w:space="0" w:color="auto"/>
              <w:bottom w:val="single" w:sz="4" w:space="0" w:color="auto"/>
              <w:right w:val="single" w:sz="4" w:space="0" w:color="auto"/>
            </w:tcBorders>
            <w:shd w:val="clear" w:color="auto" w:fill="auto"/>
            <w:vAlign w:val="center"/>
          </w:tcPr>
          <w:p w14:paraId="037DE820" w14:textId="3926CC33" w:rsidR="001D50D4" w:rsidRPr="00111F34" w:rsidRDefault="00983865" w:rsidP="00B34C98">
            <w:pPr>
              <w:spacing w:beforeLines="20" w:before="48" w:afterLines="20" w:after="48"/>
              <w:jc w:val="center"/>
              <w:rPr>
                <w:rFonts w:cs="Arial"/>
                <w:sz w:val="16"/>
                <w:szCs w:val="16"/>
              </w:rPr>
            </w:pPr>
            <w:r w:rsidRPr="00111F34">
              <w:rPr>
                <w:rFonts w:cs="Arial"/>
                <w:sz w:val="16"/>
                <w:szCs w:val="16"/>
              </w:rPr>
              <w:t>1</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103EB6B2" w14:textId="3ADE3248" w:rsidR="001D50D4" w:rsidRPr="00111F34" w:rsidRDefault="00D233F8" w:rsidP="00B34C98">
            <w:pPr>
              <w:spacing w:beforeLines="20" w:before="48" w:afterLines="20" w:after="48"/>
              <w:jc w:val="center"/>
              <w:rPr>
                <w:rFonts w:cs="Arial"/>
                <w:sz w:val="16"/>
                <w:szCs w:val="16"/>
              </w:rPr>
            </w:pPr>
            <w:r w:rsidRPr="00111F34">
              <w:rPr>
                <w:rFonts w:cs="Arial"/>
                <w:sz w:val="16"/>
                <w:szCs w:val="16"/>
              </w:rPr>
              <w:t>1</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50F37E70" w14:textId="77777777" w:rsidR="001D50D4" w:rsidRPr="00111F34" w:rsidRDefault="001D50D4" w:rsidP="00B34C98">
            <w:pPr>
              <w:spacing w:beforeLines="20" w:before="48" w:afterLines="20" w:after="48"/>
              <w:jc w:val="center"/>
              <w:rPr>
                <w:rFonts w:cs="Arial"/>
                <w:sz w:val="16"/>
                <w:szCs w:val="16"/>
              </w:rPr>
            </w:pPr>
            <w:r w:rsidRPr="00111F34">
              <w:rPr>
                <w:rFonts w:cs="Arial"/>
                <w:sz w:val="16"/>
                <w:szCs w:val="16"/>
              </w:rPr>
              <w:t>1</w:t>
            </w:r>
          </w:p>
        </w:tc>
        <w:tc>
          <w:tcPr>
            <w:tcW w:w="398" w:type="pct"/>
            <w:tcBorders>
              <w:top w:val="single" w:sz="4" w:space="0" w:color="auto"/>
              <w:left w:val="single" w:sz="4" w:space="0" w:color="auto"/>
              <w:bottom w:val="single" w:sz="4" w:space="0" w:color="auto"/>
              <w:right w:val="single" w:sz="4" w:space="0" w:color="auto"/>
            </w:tcBorders>
            <w:shd w:val="clear" w:color="auto" w:fill="auto"/>
            <w:vAlign w:val="center"/>
          </w:tcPr>
          <w:p w14:paraId="28467C3C" w14:textId="77777777" w:rsidR="001D50D4" w:rsidRPr="00111F34" w:rsidRDefault="001D50D4" w:rsidP="00B34C98">
            <w:pPr>
              <w:spacing w:beforeLines="20" w:before="48" w:afterLines="20" w:after="48"/>
              <w:jc w:val="center"/>
              <w:rPr>
                <w:rFonts w:cs="Arial"/>
                <w:sz w:val="16"/>
                <w:szCs w:val="16"/>
              </w:rPr>
            </w:pPr>
            <w:r w:rsidRPr="00111F34">
              <w:rPr>
                <w:rFonts w:cs="Arial"/>
                <w:sz w:val="16"/>
                <w:szCs w:val="16"/>
              </w:rPr>
              <w:t>1</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3318D2B4" w14:textId="71D70197" w:rsidR="001D50D4" w:rsidRPr="00111F34" w:rsidRDefault="006010EB" w:rsidP="00B34C98">
            <w:pPr>
              <w:spacing w:beforeLines="20" w:before="48" w:afterLines="20" w:after="48"/>
              <w:jc w:val="center"/>
              <w:rPr>
                <w:rFonts w:cs="Arial"/>
                <w:sz w:val="16"/>
                <w:szCs w:val="16"/>
              </w:rPr>
            </w:pPr>
            <w:r w:rsidRPr="00111F34">
              <w:rPr>
                <w:rFonts w:cs="Arial"/>
                <w:sz w:val="16"/>
                <w:szCs w:val="16"/>
              </w:rPr>
              <w:t>2</w:t>
            </w:r>
          </w:p>
        </w:tc>
        <w:tc>
          <w:tcPr>
            <w:tcW w:w="199" w:type="pct"/>
            <w:tcBorders>
              <w:top w:val="single" w:sz="4" w:space="0" w:color="auto"/>
              <w:left w:val="single" w:sz="4" w:space="0" w:color="auto"/>
              <w:bottom w:val="single" w:sz="4" w:space="0" w:color="auto"/>
            </w:tcBorders>
            <w:shd w:val="clear" w:color="auto" w:fill="auto"/>
            <w:vAlign w:val="center"/>
          </w:tcPr>
          <w:p w14:paraId="5A58131D" w14:textId="582DA6EB" w:rsidR="001D50D4" w:rsidRPr="00111F34" w:rsidRDefault="007F76FE" w:rsidP="00B34C98">
            <w:pPr>
              <w:spacing w:beforeLines="20" w:before="48" w:afterLines="20" w:after="48"/>
              <w:jc w:val="center"/>
              <w:rPr>
                <w:rFonts w:cs="Arial"/>
                <w:sz w:val="16"/>
                <w:szCs w:val="16"/>
              </w:rPr>
            </w:pPr>
            <w:r w:rsidRPr="00111F34">
              <w:rPr>
                <w:rFonts w:cs="Arial"/>
                <w:sz w:val="16"/>
                <w:szCs w:val="16"/>
              </w:rPr>
              <w:t>1</w:t>
            </w:r>
          </w:p>
        </w:tc>
        <w:tc>
          <w:tcPr>
            <w:tcW w:w="332" w:type="pct"/>
            <w:tcBorders>
              <w:top w:val="single" w:sz="4" w:space="0" w:color="auto"/>
              <w:left w:val="single" w:sz="4" w:space="0" w:color="auto"/>
              <w:bottom w:val="single" w:sz="4" w:space="0" w:color="auto"/>
            </w:tcBorders>
            <w:vAlign w:val="center"/>
          </w:tcPr>
          <w:p w14:paraId="7FE22390" w14:textId="07D8D01D" w:rsidR="001D50D4" w:rsidRPr="00111F34" w:rsidRDefault="001D50D4" w:rsidP="00B34C98">
            <w:pPr>
              <w:spacing w:beforeLines="20" w:before="48" w:afterLines="20" w:after="48"/>
              <w:jc w:val="center"/>
              <w:rPr>
                <w:rFonts w:cs="Arial"/>
                <w:b/>
                <w:sz w:val="16"/>
                <w:szCs w:val="16"/>
              </w:rPr>
            </w:pPr>
            <w:r w:rsidRPr="00111F34">
              <w:rPr>
                <w:rFonts w:cs="Arial"/>
                <w:b/>
                <w:sz w:val="16"/>
                <w:szCs w:val="16"/>
              </w:rPr>
              <w:t>1</w:t>
            </w:r>
            <w:r w:rsidR="00D233F8" w:rsidRPr="00111F34">
              <w:rPr>
                <w:rFonts w:cs="Arial"/>
                <w:b/>
                <w:sz w:val="16"/>
                <w:szCs w:val="16"/>
              </w:rPr>
              <w:t>8</w:t>
            </w:r>
          </w:p>
        </w:tc>
      </w:tr>
      <w:tr w:rsidR="001D50D4" w:rsidRPr="00111F34" w14:paraId="5E9C9865" w14:textId="77777777" w:rsidTr="00B34C98">
        <w:trPr>
          <w:trHeight w:val="710"/>
        </w:trPr>
        <w:tc>
          <w:tcPr>
            <w:tcW w:w="446" w:type="pct"/>
            <w:tcBorders>
              <w:top w:val="single" w:sz="4" w:space="0" w:color="auto"/>
              <w:bottom w:val="single" w:sz="4" w:space="0" w:color="auto"/>
              <w:right w:val="single" w:sz="4" w:space="0" w:color="auto"/>
            </w:tcBorders>
            <w:shd w:val="clear" w:color="auto" w:fill="auto"/>
            <w:vAlign w:val="center"/>
          </w:tcPr>
          <w:p w14:paraId="0F1E9A88" w14:textId="6D2CD206" w:rsidR="001D50D4" w:rsidRPr="00111F34" w:rsidRDefault="001D50D4" w:rsidP="00B34C98">
            <w:pPr>
              <w:pStyle w:val="normln0"/>
              <w:snapToGrid w:val="0"/>
              <w:spacing w:before="0"/>
              <w:jc w:val="center"/>
              <w:rPr>
                <w:rFonts w:ascii="Arial" w:hAnsi="Arial" w:cs="Arial"/>
                <w:sz w:val="16"/>
                <w:szCs w:val="16"/>
              </w:rPr>
            </w:pPr>
            <w:r w:rsidRPr="00111F34">
              <w:rPr>
                <w:rFonts w:ascii="Arial" w:hAnsi="Arial" w:cs="Arial"/>
                <w:sz w:val="16"/>
                <w:szCs w:val="16"/>
              </w:rPr>
              <w:t xml:space="preserve">Varianta nulová – </w:t>
            </w:r>
            <w:r w:rsidR="00983865" w:rsidRPr="00111F34">
              <w:rPr>
                <w:rFonts w:ascii="Arial" w:hAnsi="Arial" w:cs="Arial"/>
                <w:sz w:val="16"/>
                <w:szCs w:val="16"/>
              </w:rPr>
              <w:t>platný ÚP</w:t>
            </w:r>
          </w:p>
        </w:tc>
        <w:tc>
          <w:tcPr>
            <w:tcW w:w="398" w:type="pct"/>
            <w:tcBorders>
              <w:top w:val="single" w:sz="4" w:space="0" w:color="auto"/>
              <w:left w:val="single" w:sz="4" w:space="0" w:color="auto"/>
              <w:bottom w:val="single" w:sz="4" w:space="0" w:color="auto"/>
              <w:right w:val="single" w:sz="4" w:space="0" w:color="auto"/>
            </w:tcBorders>
            <w:shd w:val="clear" w:color="auto" w:fill="auto"/>
            <w:vAlign w:val="center"/>
          </w:tcPr>
          <w:p w14:paraId="241B15CB" w14:textId="66E9B251" w:rsidR="001D50D4" w:rsidRPr="00111F34" w:rsidRDefault="00983865" w:rsidP="00B34C98">
            <w:pPr>
              <w:spacing w:beforeLines="20" w:before="48" w:afterLines="20" w:after="48"/>
              <w:jc w:val="center"/>
              <w:rPr>
                <w:rFonts w:cs="Arial"/>
                <w:sz w:val="16"/>
                <w:szCs w:val="16"/>
              </w:rPr>
            </w:pPr>
            <w:r w:rsidRPr="00111F34">
              <w:rPr>
                <w:rFonts w:cs="Arial"/>
                <w:sz w:val="16"/>
                <w:szCs w:val="16"/>
              </w:rPr>
              <w:t>2</w:t>
            </w:r>
          </w:p>
        </w:tc>
        <w:tc>
          <w:tcPr>
            <w:tcW w:w="398" w:type="pct"/>
            <w:tcBorders>
              <w:top w:val="single" w:sz="4" w:space="0" w:color="auto"/>
              <w:left w:val="single" w:sz="4" w:space="0" w:color="auto"/>
              <w:bottom w:val="single" w:sz="4" w:space="0" w:color="auto"/>
              <w:right w:val="single" w:sz="4" w:space="0" w:color="auto"/>
            </w:tcBorders>
            <w:shd w:val="clear" w:color="auto" w:fill="auto"/>
            <w:vAlign w:val="center"/>
          </w:tcPr>
          <w:p w14:paraId="3E1FE40A" w14:textId="77777777" w:rsidR="001D50D4" w:rsidRPr="00111F34" w:rsidRDefault="001D50D4" w:rsidP="00B34C98">
            <w:pPr>
              <w:spacing w:beforeLines="20" w:before="48" w:afterLines="20" w:after="48"/>
              <w:jc w:val="center"/>
              <w:rPr>
                <w:rFonts w:cs="Arial"/>
                <w:sz w:val="16"/>
                <w:szCs w:val="16"/>
              </w:rPr>
            </w:pPr>
            <w:r w:rsidRPr="00111F34">
              <w:rPr>
                <w:rFonts w:cs="Arial"/>
                <w:sz w:val="16"/>
                <w:szCs w:val="16"/>
              </w:rPr>
              <w:t>2</w:t>
            </w:r>
          </w:p>
        </w:tc>
        <w:tc>
          <w:tcPr>
            <w:tcW w:w="228" w:type="pct"/>
            <w:tcBorders>
              <w:top w:val="single" w:sz="4" w:space="0" w:color="auto"/>
              <w:left w:val="single" w:sz="4" w:space="0" w:color="auto"/>
              <w:bottom w:val="single" w:sz="4" w:space="0" w:color="auto"/>
              <w:right w:val="single" w:sz="4" w:space="0" w:color="auto"/>
            </w:tcBorders>
            <w:shd w:val="clear" w:color="auto" w:fill="auto"/>
            <w:vAlign w:val="center"/>
          </w:tcPr>
          <w:p w14:paraId="687C1E8F" w14:textId="77777777" w:rsidR="001D50D4" w:rsidRPr="00111F34" w:rsidRDefault="001D50D4" w:rsidP="00B34C98">
            <w:pPr>
              <w:spacing w:beforeLines="20" w:before="48" w:afterLines="20" w:after="48"/>
              <w:jc w:val="center"/>
              <w:rPr>
                <w:rFonts w:cs="Arial"/>
                <w:sz w:val="16"/>
                <w:szCs w:val="16"/>
              </w:rPr>
            </w:pPr>
            <w:r w:rsidRPr="00111F34">
              <w:rPr>
                <w:rFonts w:cs="Arial"/>
                <w:sz w:val="16"/>
                <w:szCs w:val="16"/>
              </w:rPr>
              <w:t>2</w:t>
            </w:r>
          </w:p>
        </w:tc>
        <w:tc>
          <w:tcPr>
            <w:tcW w:w="285" w:type="pct"/>
            <w:tcBorders>
              <w:top w:val="single" w:sz="4" w:space="0" w:color="auto"/>
              <w:left w:val="single" w:sz="4" w:space="0" w:color="auto"/>
              <w:bottom w:val="single" w:sz="4" w:space="0" w:color="auto"/>
              <w:right w:val="single" w:sz="4" w:space="0" w:color="auto"/>
            </w:tcBorders>
            <w:shd w:val="clear" w:color="auto" w:fill="auto"/>
            <w:vAlign w:val="center"/>
          </w:tcPr>
          <w:p w14:paraId="7CAD465D" w14:textId="5C2BEE20" w:rsidR="001D50D4" w:rsidRPr="00111F34" w:rsidRDefault="00753BD7" w:rsidP="00B34C98">
            <w:pPr>
              <w:spacing w:beforeLines="20" w:before="48" w:afterLines="20" w:after="48"/>
              <w:jc w:val="center"/>
              <w:rPr>
                <w:rFonts w:cs="Arial"/>
                <w:sz w:val="16"/>
                <w:szCs w:val="16"/>
              </w:rPr>
            </w:pPr>
            <w:r w:rsidRPr="00111F34">
              <w:rPr>
                <w:rFonts w:cs="Arial"/>
                <w:sz w:val="16"/>
                <w:szCs w:val="16"/>
              </w:rPr>
              <w:t>1</w:t>
            </w:r>
          </w:p>
        </w:tc>
        <w:tc>
          <w:tcPr>
            <w:tcW w:w="167" w:type="pct"/>
            <w:tcBorders>
              <w:top w:val="single" w:sz="4" w:space="0" w:color="auto"/>
              <w:left w:val="single" w:sz="4" w:space="0" w:color="auto"/>
              <w:bottom w:val="single" w:sz="4" w:space="0" w:color="auto"/>
              <w:right w:val="single" w:sz="4" w:space="0" w:color="auto"/>
            </w:tcBorders>
            <w:shd w:val="clear" w:color="auto" w:fill="auto"/>
            <w:vAlign w:val="center"/>
          </w:tcPr>
          <w:p w14:paraId="1E7145A3" w14:textId="00AB9887" w:rsidR="001D50D4" w:rsidRPr="00111F34" w:rsidRDefault="00753BD7" w:rsidP="00B34C98">
            <w:pPr>
              <w:spacing w:beforeLines="20" w:before="48" w:afterLines="20" w:after="48"/>
              <w:jc w:val="center"/>
              <w:rPr>
                <w:rFonts w:cs="Arial"/>
                <w:sz w:val="16"/>
                <w:szCs w:val="16"/>
              </w:rPr>
            </w:pPr>
            <w:r w:rsidRPr="00111F34">
              <w:rPr>
                <w:rFonts w:cs="Arial"/>
                <w:sz w:val="16"/>
                <w:szCs w:val="16"/>
              </w:rPr>
              <w:t>1</w:t>
            </w:r>
          </w:p>
        </w:tc>
        <w:tc>
          <w:tcPr>
            <w:tcW w:w="274" w:type="pct"/>
            <w:tcBorders>
              <w:top w:val="single" w:sz="4" w:space="0" w:color="auto"/>
              <w:left w:val="single" w:sz="4" w:space="0" w:color="auto"/>
              <w:bottom w:val="single" w:sz="4" w:space="0" w:color="auto"/>
              <w:right w:val="single" w:sz="4" w:space="0" w:color="auto"/>
            </w:tcBorders>
            <w:shd w:val="clear" w:color="auto" w:fill="auto"/>
            <w:vAlign w:val="center"/>
          </w:tcPr>
          <w:p w14:paraId="7A894EC2" w14:textId="4168AF83" w:rsidR="001D50D4" w:rsidRPr="00111F34" w:rsidRDefault="009301EC" w:rsidP="00B34C98">
            <w:pPr>
              <w:spacing w:beforeLines="20" w:before="48" w:afterLines="20" w:after="48"/>
              <w:jc w:val="center"/>
              <w:rPr>
                <w:rFonts w:cs="Arial"/>
                <w:sz w:val="16"/>
                <w:szCs w:val="16"/>
              </w:rPr>
            </w:pPr>
            <w:r w:rsidRPr="00111F34">
              <w:rPr>
                <w:rFonts w:cs="Arial"/>
                <w:sz w:val="16"/>
                <w:szCs w:val="16"/>
              </w:rPr>
              <w:t>1</w:t>
            </w:r>
          </w:p>
        </w:tc>
        <w:tc>
          <w:tcPr>
            <w:tcW w:w="285" w:type="pct"/>
            <w:tcBorders>
              <w:top w:val="single" w:sz="4" w:space="0" w:color="auto"/>
              <w:left w:val="single" w:sz="4" w:space="0" w:color="auto"/>
              <w:bottom w:val="single" w:sz="4" w:space="0" w:color="auto"/>
              <w:right w:val="single" w:sz="4" w:space="0" w:color="auto"/>
            </w:tcBorders>
            <w:shd w:val="clear" w:color="auto" w:fill="auto"/>
            <w:vAlign w:val="center"/>
          </w:tcPr>
          <w:p w14:paraId="009F72CC" w14:textId="77777777" w:rsidR="001D50D4" w:rsidRPr="00111F34" w:rsidRDefault="001D50D4" w:rsidP="00B34C98">
            <w:pPr>
              <w:spacing w:beforeLines="20" w:before="48" w:afterLines="20" w:after="48"/>
              <w:jc w:val="center"/>
              <w:rPr>
                <w:rFonts w:cs="Arial"/>
                <w:sz w:val="16"/>
                <w:szCs w:val="16"/>
              </w:rPr>
            </w:pPr>
            <w:r w:rsidRPr="00111F34">
              <w:rPr>
                <w:rFonts w:cs="Arial"/>
                <w:sz w:val="16"/>
                <w:szCs w:val="16"/>
              </w:rPr>
              <w:t>1</w:t>
            </w:r>
          </w:p>
        </w:tc>
        <w:tc>
          <w:tcPr>
            <w:tcW w:w="248" w:type="pct"/>
            <w:tcBorders>
              <w:top w:val="single" w:sz="4" w:space="0" w:color="auto"/>
              <w:left w:val="single" w:sz="4" w:space="0" w:color="auto"/>
              <w:bottom w:val="single" w:sz="4" w:space="0" w:color="auto"/>
              <w:right w:val="single" w:sz="4" w:space="0" w:color="auto"/>
            </w:tcBorders>
            <w:shd w:val="clear" w:color="auto" w:fill="auto"/>
            <w:vAlign w:val="center"/>
          </w:tcPr>
          <w:p w14:paraId="0003BB94" w14:textId="4A03111C" w:rsidR="001D50D4" w:rsidRPr="00111F34" w:rsidRDefault="00983865" w:rsidP="00B34C98">
            <w:pPr>
              <w:spacing w:beforeLines="20" w:before="48" w:afterLines="20" w:after="48"/>
              <w:jc w:val="center"/>
              <w:rPr>
                <w:rFonts w:cs="Arial"/>
                <w:sz w:val="16"/>
                <w:szCs w:val="16"/>
              </w:rPr>
            </w:pPr>
            <w:r w:rsidRPr="00111F34">
              <w:rPr>
                <w:rFonts w:cs="Arial"/>
                <w:sz w:val="16"/>
                <w:szCs w:val="16"/>
              </w:rPr>
              <w:t>2</w:t>
            </w:r>
          </w:p>
        </w:tc>
        <w:tc>
          <w:tcPr>
            <w:tcW w:w="248" w:type="pct"/>
            <w:tcBorders>
              <w:top w:val="single" w:sz="4" w:space="0" w:color="auto"/>
              <w:left w:val="single" w:sz="4" w:space="0" w:color="auto"/>
              <w:bottom w:val="single" w:sz="4" w:space="0" w:color="auto"/>
              <w:right w:val="single" w:sz="4" w:space="0" w:color="auto"/>
            </w:tcBorders>
            <w:shd w:val="clear" w:color="auto" w:fill="auto"/>
            <w:vAlign w:val="center"/>
          </w:tcPr>
          <w:p w14:paraId="2A3FCA7A" w14:textId="045BF8C0" w:rsidR="001D50D4" w:rsidRPr="00111F34" w:rsidRDefault="00835B43" w:rsidP="00B34C98">
            <w:pPr>
              <w:spacing w:beforeLines="20" w:before="48" w:afterLines="20" w:after="48"/>
              <w:jc w:val="center"/>
              <w:rPr>
                <w:rFonts w:cs="Arial"/>
                <w:sz w:val="16"/>
                <w:szCs w:val="16"/>
              </w:rPr>
            </w:pPr>
            <w:r w:rsidRPr="00111F34">
              <w:rPr>
                <w:rFonts w:cs="Arial"/>
                <w:sz w:val="16"/>
                <w:szCs w:val="16"/>
              </w:rPr>
              <w:t>2</w:t>
            </w:r>
          </w:p>
        </w:tc>
        <w:tc>
          <w:tcPr>
            <w:tcW w:w="299" w:type="pct"/>
            <w:tcBorders>
              <w:top w:val="single" w:sz="4" w:space="0" w:color="auto"/>
              <w:left w:val="single" w:sz="4" w:space="0" w:color="auto"/>
              <w:bottom w:val="single" w:sz="4" w:space="0" w:color="auto"/>
              <w:right w:val="single" w:sz="4" w:space="0" w:color="auto"/>
            </w:tcBorders>
            <w:shd w:val="clear" w:color="auto" w:fill="auto"/>
            <w:vAlign w:val="center"/>
          </w:tcPr>
          <w:p w14:paraId="6C4761A6" w14:textId="0B3D9CE2" w:rsidR="001D50D4" w:rsidRPr="00111F34" w:rsidRDefault="00983865" w:rsidP="00B34C98">
            <w:pPr>
              <w:spacing w:beforeLines="20" w:before="48" w:afterLines="20" w:after="48"/>
              <w:jc w:val="center"/>
              <w:rPr>
                <w:rFonts w:cs="Arial"/>
                <w:sz w:val="16"/>
                <w:szCs w:val="16"/>
              </w:rPr>
            </w:pPr>
            <w:r w:rsidRPr="00111F34">
              <w:rPr>
                <w:rFonts w:cs="Arial"/>
                <w:sz w:val="16"/>
                <w:szCs w:val="16"/>
              </w:rPr>
              <w:t>1</w:t>
            </w:r>
          </w:p>
        </w:tc>
        <w:tc>
          <w:tcPr>
            <w:tcW w:w="348" w:type="pct"/>
            <w:tcBorders>
              <w:top w:val="single" w:sz="4" w:space="0" w:color="auto"/>
              <w:left w:val="single" w:sz="4" w:space="0" w:color="auto"/>
              <w:bottom w:val="single" w:sz="4" w:space="0" w:color="auto"/>
              <w:right w:val="single" w:sz="4" w:space="0" w:color="auto"/>
            </w:tcBorders>
            <w:shd w:val="clear" w:color="auto" w:fill="auto"/>
            <w:vAlign w:val="center"/>
          </w:tcPr>
          <w:p w14:paraId="097A217B" w14:textId="77777777" w:rsidR="001D50D4" w:rsidRPr="00111F34" w:rsidRDefault="001D50D4" w:rsidP="00B34C98">
            <w:pPr>
              <w:spacing w:beforeLines="20" w:before="48" w:afterLines="20" w:after="48"/>
              <w:jc w:val="center"/>
              <w:rPr>
                <w:rFonts w:cs="Arial"/>
                <w:sz w:val="16"/>
                <w:szCs w:val="16"/>
              </w:rPr>
            </w:pPr>
            <w:r w:rsidRPr="00111F34">
              <w:rPr>
                <w:rFonts w:cs="Arial"/>
                <w:sz w:val="16"/>
                <w:szCs w:val="16"/>
              </w:rPr>
              <w:t>2</w:t>
            </w:r>
          </w:p>
        </w:tc>
        <w:tc>
          <w:tcPr>
            <w:tcW w:w="398" w:type="pct"/>
            <w:tcBorders>
              <w:top w:val="single" w:sz="4" w:space="0" w:color="auto"/>
              <w:left w:val="single" w:sz="4" w:space="0" w:color="auto"/>
              <w:bottom w:val="single" w:sz="4" w:space="0" w:color="auto"/>
              <w:right w:val="single" w:sz="4" w:space="0" w:color="auto"/>
            </w:tcBorders>
            <w:shd w:val="clear" w:color="auto" w:fill="auto"/>
            <w:vAlign w:val="center"/>
          </w:tcPr>
          <w:p w14:paraId="2D632F0C" w14:textId="18B1C1D8" w:rsidR="001D50D4" w:rsidRPr="00111F34" w:rsidRDefault="00983865" w:rsidP="00B34C98">
            <w:pPr>
              <w:spacing w:beforeLines="20" w:before="48" w:afterLines="20" w:after="48"/>
              <w:jc w:val="center"/>
              <w:rPr>
                <w:rFonts w:cs="Arial"/>
                <w:sz w:val="16"/>
                <w:szCs w:val="16"/>
              </w:rPr>
            </w:pPr>
            <w:r w:rsidRPr="00111F34">
              <w:rPr>
                <w:rFonts w:cs="Arial"/>
                <w:sz w:val="16"/>
                <w:szCs w:val="16"/>
              </w:rPr>
              <w:t>2</w:t>
            </w:r>
          </w:p>
        </w:tc>
        <w:tc>
          <w:tcPr>
            <w:tcW w:w="447" w:type="pct"/>
            <w:tcBorders>
              <w:top w:val="single" w:sz="4" w:space="0" w:color="auto"/>
              <w:left w:val="single" w:sz="4" w:space="0" w:color="auto"/>
              <w:bottom w:val="single" w:sz="4" w:space="0" w:color="auto"/>
              <w:right w:val="single" w:sz="4" w:space="0" w:color="auto"/>
            </w:tcBorders>
            <w:shd w:val="clear" w:color="auto" w:fill="auto"/>
            <w:vAlign w:val="center"/>
          </w:tcPr>
          <w:p w14:paraId="51109E26" w14:textId="55D6E14B" w:rsidR="001D50D4" w:rsidRPr="00111F34" w:rsidRDefault="006010EB" w:rsidP="00B34C98">
            <w:pPr>
              <w:spacing w:beforeLines="20" w:before="48" w:afterLines="20" w:after="48"/>
              <w:jc w:val="center"/>
              <w:rPr>
                <w:rFonts w:cs="Arial"/>
                <w:sz w:val="16"/>
                <w:szCs w:val="16"/>
              </w:rPr>
            </w:pPr>
            <w:r w:rsidRPr="00111F34">
              <w:rPr>
                <w:rFonts w:cs="Arial"/>
                <w:sz w:val="16"/>
                <w:szCs w:val="16"/>
              </w:rPr>
              <w:t>1</w:t>
            </w:r>
          </w:p>
        </w:tc>
        <w:tc>
          <w:tcPr>
            <w:tcW w:w="199" w:type="pct"/>
            <w:tcBorders>
              <w:top w:val="single" w:sz="4" w:space="0" w:color="auto"/>
              <w:left w:val="single" w:sz="4" w:space="0" w:color="auto"/>
              <w:bottom w:val="single" w:sz="4" w:space="0" w:color="auto"/>
            </w:tcBorders>
            <w:shd w:val="clear" w:color="auto" w:fill="auto"/>
            <w:vAlign w:val="center"/>
          </w:tcPr>
          <w:p w14:paraId="058FF9E4" w14:textId="6AC14EF5" w:rsidR="001D50D4" w:rsidRPr="00111F34" w:rsidRDefault="002D73D2" w:rsidP="00B34C98">
            <w:pPr>
              <w:spacing w:beforeLines="20" w:before="48" w:afterLines="20" w:after="48"/>
              <w:jc w:val="center"/>
              <w:rPr>
                <w:rFonts w:cs="Arial"/>
                <w:sz w:val="16"/>
                <w:szCs w:val="16"/>
              </w:rPr>
            </w:pPr>
            <w:r w:rsidRPr="00111F34">
              <w:rPr>
                <w:rFonts w:cs="Arial"/>
                <w:sz w:val="16"/>
                <w:szCs w:val="16"/>
              </w:rPr>
              <w:t>1</w:t>
            </w:r>
          </w:p>
        </w:tc>
        <w:tc>
          <w:tcPr>
            <w:tcW w:w="332" w:type="pct"/>
            <w:tcBorders>
              <w:top w:val="single" w:sz="4" w:space="0" w:color="auto"/>
              <w:left w:val="single" w:sz="4" w:space="0" w:color="auto"/>
              <w:bottom w:val="single" w:sz="4" w:space="0" w:color="auto"/>
            </w:tcBorders>
            <w:vAlign w:val="center"/>
          </w:tcPr>
          <w:p w14:paraId="7F724A62" w14:textId="67C000D6" w:rsidR="001D50D4" w:rsidRPr="00111F34" w:rsidRDefault="00D233F8" w:rsidP="005B289D">
            <w:pPr>
              <w:spacing w:beforeLines="20" w:before="48" w:afterLines="20" w:after="48"/>
              <w:jc w:val="center"/>
              <w:rPr>
                <w:rFonts w:cs="Arial"/>
                <w:b/>
                <w:sz w:val="16"/>
                <w:szCs w:val="16"/>
              </w:rPr>
            </w:pPr>
            <w:r w:rsidRPr="00111F34">
              <w:rPr>
                <w:rFonts w:cs="Arial"/>
                <w:b/>
                <w:sz w:val="16"/>
                <w:szCs w:val="16"/>
              </w:rPr>
              <w:t>20</w:t>
            </w:r>
          </w:p>
        </w:tc>
      </w:tr>
      <w:tr w:rsidR="001D50D4" w:rsidRPr="00111F34" w14:paraId="6D5163DD" w14:textId="77777777" w:rsidTr="00B34C98">
        <w:trPr>
          <w:trHeight w:val="990"/>
        </w:trPr>
        <w:tc>
          <w:tcPr>
            <w:tcW w:w="5000" w:type="pct"/>
            <w:gridSpan w:val="16"/>
            <w:tcBorders>
              <w:top w:val="single" w:sz="4" w:space="0" w:color="auto"/>
              <w:bottom w:val="single" w:sz="4" w:space="0" w:color="auto"/>
            </w:tcBorders>
            <w:shd w:val="clear" w:color="auto" w:fill="auto"/>
            <w:vAlign w:val="center"/>
          </w:tcPr>
          <w:p w14:paraId="388F5234" w14:textId="3537FF4A" w:rsidR="001D50D4" w:rsidRPr="00111F34" w:rsidRDefault="001D50D4" w:rsidP="00B47B2A">
            <w:pPr>
              <w:spacing w:beforeLines="20" w:before="48" w:afterLines="20" w:after="48"/>
              <w:rPr>
                <w:rFonts w:ascii="Arial Narrow" w:hAnsi="Arial Narrow"/>
                <w:b/>
                <w:sz w:val="18"/>
                <w:szCs w:val="18"/>
              </w:rPr>
            </w:pPr>
            <w:r w:rsidRPr="00111F34">
              <w:rPr>
                <w:rFonts w:cs="Arial"/>
                <w:sz w:val="18"/>
                <w:szCs w:val="18"/>
                <w:u w:val="single"/>
              </w:rPr>
              <w:t>Závazky dané strategickými dokumenty a cíli udržitelného rozvoje:</w:t>
            </w:r>
            <w:r w:rsidRPr="00111F34">
              <w:rPr>
                <w:rFonts w:cs="Arial"/>
                <w:sz w:val="18"/>
                <w:szCs w:val="18"/>
              </w:rPr>
              <w:t xml:space="preserve"> Hodnoceno je naplnění závazků a strategických cílů v oblasti životního prostředí a udržitelného rozvoje přijatých ostatními strategickými dokumenty. Nulová varianta naplňuje závazky v oblasti prevence suburbanizace a transformace brownfields</w:t>
            </w:r>
            <w:r w:rsidR="00B47B2A" w:rsidRPr="00111F34">
              <w:rPr>
                <w:rFonts w:cs="Arial"/>
                <w:sz w:val="18"/>
                <w:szCs w:val="18"/>
              </w:rPr>
              <w:t xml:space="preserve"> v míře nižší nežli aktivní varianta. Varianta nulová ponechává stávající stav, který nevedl k efektivní transformaci území</w:t>
            </w:r>
            <w:r w:rsidR="00E311AA" w:rsidRPr="00111F34">
              <w:rPr>
                <w:rFonts w:cs="Arial"/>
                <w:sz w:val="18"/>
                <w:szCs w:val="18"/>
              </w:rPr>
              <w:t xml:space="preserve"> ani vybavení území funkcemi a dopravní infrastrukturou odpovídající jeho poloze a významu v rámci aglomerace</w:t>
            </w:r>
            <w:r w:rsidR="00B47B2A" w:rsidRPr="00111F34">
              <w:rPr>
                <w:rFonts w:cs="Arial"/>
                <w:sz w:val="18"/>
                <w:szCs w:val="18"/>
              </w:rPr>
              <w:t>. Z tohoto hlediska je tedy hodnocena jako relativně méně výhodná.</w:t>
            </w:r>
            <w:r w:rsidR="00983865" w:rsidRPr="00111F34">
              <w:rPr>
                <w:rFonts w:cs="Arial"/>
                <w:sz w:val="18"/>
                <w:szCs w:val="18"/>
              </w:rPr>
              <w:t xml:space="preserve"> Závazky v oblasti nadřazené ÚPD jsou naplněny srovnatelně oběma variantami.</w:t>
            </w:r>
          </w:p>
        </w:tc>
      </w:tr>
      <w:tr w:rsidR="001D50D4" w:rsidRPr="00111F34" w14:paraId="182792A1" w14:textId="77777777" w:rsidTr="00DA39A6">
        <w:trPr>
          <w:trHeight w:val="416"/>
        </w:trPr>
        <w:tc>
          <w:tcPr>
            <w:tcW w:w="5000" w:type="pct"/>
            <w:gridSpan w:val="16"/>
            <w:tcBorders>
              <w:top w:val="single" w:sz="4" w:space="0" w:color="auto"/>
              <w:bottom w:val="single" w:sz="4" w:space="0" w:color="auto"/>
            </w:tcBorders>
            <w:shd w:val="clear" w:color="auto" w:fill="auto"/>
          </w:tcPr>
          <w:p w14:paraId="6671005B" w14:textId="5DB36165" w:rsidR="001D50D4" w:rsidRPr="00111F34" w:rsidRDefault="001D50D4" w:rsidP="00B47B2A">
            <w:pPr>
              <w:spacing w:beforeLines="20" w:before="48" w:afterLines="20" w:after="48"/>
              <w:rPr>
                <w:rFonts w:ascii="Arial Narrow" w:hAnsi="Arial Narrow"/>
                <w:b/>
                <w:sz w:val="18"/>
                <w:szCs w:val="18"/>
              </w:rPr>
            </w:pPr>
            <w:r w:rsidRPr="00111F34">
              <w:rPr>
                <w:rFonts w:cs="Arial"/>
                <w:sz w:val="18"/>
                <w:szCs w:val="18"/>
                <w:u w:val="single"/>
              </w:rPr>
              <w:t>Obyvatelstvo a veřejné zdraví</w:t>
            </w:r>
            <w:r w:rsidRPr="00111F34">
              <w:rPr>
                <w:rFonts w:cs="Arial"/>
                <w:sz w:val="18"/>
                <w:szCs w:val="18"/>
              </w:rPr>
              <w:t>: Hodnoceno je přispění posuzovaných možností k sociálněekonomickým determinantám veřejného zdraví v podobě pohody bydlení, dostupnosti zaměstnání a mobility a vlivy fyzikální z hlediska veřejného zdraví – bezpečnost, hluková a imisní zátěž. Varianta aktivní přispívá ke zvýšení nabídky kvalitního bydlení a pracovních příležitostí v místě bydliště, spolu s vybavením území veřejnou vybaveností, zvýšení bezpečnosti a doplnění rekreačního zázemí a veřejných prostranství</w:t>
            </w:r>
            <w:r w:rsidR="005B289D" w:rsidRPr="00111F34">
              <w:rPr>
                <w:rFonts w:cs="Arial"/>
                <w:sz w:val="18"/>
                <w:szCs w:val="18"/>
              </w:rPr>
              <w:t xml:space="preserve"> spolu s návrhem intenzity využití území </w:t>
            </w:r>
            <w:r w:rsidR="00E311AA" w:rsidRPr="00111F34">
              <w:rPr>
                <w:rFonts w:cs="Arial"/>
                <w:sz w:val="18"/>
                <w:szCs w:val="18"/>
              </w:rPr>
              <w:t>odpovídají jeho charakteru</w:t>
            </w:r>
            <w:r w:rsidRPr="00111F34">
              <w:rPr>
                <w:rFonts w:cs="Arial"/>
                <w:sz w:val="18"/>
                <w:szCs w:val="18"/>
              </w:rPr>
              <w:t>. Varianta nulová ponechává stávající stav</w:t>
            </w:r>
            <w:r w:rsidR="005B289D" w:rsidRPr="00111F34">
              <w:rPr>
                <w:rFonts w:cs="Arial"/>
                <w:sz w:val="18"/>
                <w:szCs w:val="18"/>
              </w:rPr>
              <w:t>, který nevedl k efektivní transformaci území</w:t>
            </w:r>
            <w:r w:rsidR="00983865" w:rsidRPr="00111F34">
              <w:rPr>
                <w:rFonts w:cs="Arial"/>
                <w:sz w:val="18"/>
                <w:szCs w:val="18"/>
              </w:rPr>
              <w:t xml:space="preserve"> a nenabízí zlepšení dopravní dostupnosti území</w:t>
            </w:r>
            <w:r w:rsidR="00E311AA" w:rsidRPr="00111F34">
              <w:rPr>
                <w:rFonts w:cs="Arial"/>
                <w:sz w:val="18"/>
                <w:szCs w:val="18"/>
              </w:rPr>
              <w:t xml:space="preserve"> a snížení stávajících zátěží z toho plynoucích</w:t>
            </w:r>
            <w:r w:rsidRPr="00111F34">
              <w:rPr>
                <w:rFonts w:cs="Arial"/>
                <w:sz w:val="18"/>
                <w:szCs w:val="18"/>
              </w:rPr>
              <w:t>. Z tohoto hlediska je tedy hodnocena jako relativně méně výhodná.</w:t>
            </w:r>
          </w:p>
        </w:tc>
      </w:tr>
      <w:tr w:rsidR="001D50D4" w:rsidRPr="00111F34" w14:paraId="0D695FC1" w14:textId="77777777" w:rsidTr="00B34C98">
        <w:trPr>
          <w:trHeight w:val="541"/>
        </w:trPr>
        <w:tc>
          <w:tcPr>
            <w:tcW w:w="5000" w:type="pct"/>
            <w:gridSpan w:val="16"/>
            <w:tcBorders>
              <w:top w:val="single" w:sz="4" w:space="0" w:color="auto"/>
              <w:bottom w:val="single" w:sz="4" w:space="0" w:color="auto"/>
            </w:tcBorders>
            <w:shd w:val="clear" w:color="auto" w:fill="auto"/>
          </w:tcPr>
          <w:p w14:paraId="63B6203A" w14:textId="77777777" w:rsidR="001D50D4" w:rsidRDefault="001D50D4" w:rsidP="00B47B2A">
            <w:pPr>
              <w:spacing w:beforeLines="20" w:before="48" w:afterLines="20" w:after="48"/>
              <w:rPr>
                <w:rFonts w:cs="Arial"/>
                <w:sz w:val="18"/>
                <w:szCs w:val="18"/>
              </w:rPr>
            </w:pPr>
            <w:r w:rsidRPr="00111F34">
              <w:rPr>
                <w:rFonts w:cs="Arial"/>
                <w:sz w:val="18"/>
                <w:szCs w:val="18"/>
                <w:u w:val="single"/>
              </w:rPr>
              <w:t>Flóra a fauna, biodiverzita, ochrana přírody</w:t>
            </w:r>
            <w:r w:rsidRPr="00111F34">
              <w:rPr>
                <w:rFonts w:cs="Arial"/>
                <w:sz w:val="18"/>
                <w:szCs w:val="18"/>
              </w:rPr>
              <w:t>: Žádná z posuzovaných variant nemá významné vlivy na biotickou složku krajiny ani není v</w:t>
            </w:r>
            <w:r w:rsidR="00E311AA" w:rsidRPr="00111F34">
              <w:rPr>
                <w:rFonts w:cs="Arial"/>
                <w:sz w:val="18"/>
                <w:szCs w:val="18"/>
              </w:rPr>
              <w:t xml:space="preserve"> zásadním</w:t>
            </w:r>
            <w:r w:rsidRPr="00111F34">
              <w:rPr>
                <w:rFonts w:cs="Arial"/>
                <w:sz w:val="18"/>
                <w:szCs w:val="18"/>
              </w:rPr>
              <w:t xml:space="preserve"> střetu s limity ochrany přírody a krajiny. </w:t>
            </w:r>
            <w:r w:rsidR="00983865" w:rsidRPr="00111F34">
              <w:rPr>
                <w:rFonts w:cs="Arial"/>
                <w:sz w:val="18"/>
                <w:szCs w:val="18"/>
              </w:rPr>
              <w:t>Aktivní varianta bude znamenat zásah do stávajících ploch především náletové zeleně a zeleně podél komunikací</w:t>
            </w:r>
            <w:r w:rsidR="009301EC" w:rsidRPr="00111F34">
              <w:rPr>
                <w:rFonts w:cs="Arial"/>
                <w:sz w:val="18"/>
                <w:szCs w:val="18"/>
              </w:rPr>
              <w:t xml:space="preserve"> a nárůst zastavitelných ploch</w:t>
            </w:r>
            <w:r w:rsidR="00983865" w:rsidRPr="00111F34">
              <w:rPr>
                <w:rFonts w:cs="Arial"/>
                <w:sz w:val="18"/>
                <w:szCs w:val="18"/>
              </w:rPr>
              <w:t xml:space="preserve">, zároveň zlepšuje přístupnost horní části </w:t>
            </w:r>
            <w:r w:rsidR="009301EC" w:rsidRPr="00111F34">
              <w:rPr>
                <w:rFonts w:cs="Arial"/>
                <w:sz w:val="18"/>
                <w:szCs w:val="18"/>
              </w:rPr>
              <w:t>P</w:t>
            </w:r>
            <w:r w:rsidR="00983865" w:rsidRPr="00111F34">
              <w:rPr>
                <w:rFonts w:cs="Arial"/>
                <w:sz w:val="18"/>
                <w:szCs w:val="18"/>
              </w:rPr>
              <w:t>odbabských skal</w:t>
            </w:r>
            <w:r w:rsidR="009301EC" w:rsidRPr="00111F34">
              <w:rPr>
                <w:rFonts w:cs="Arial"/>
                <w:sz w:val="18"/>
                <w:szCs w:val="18"/>
              </w:rPr>
              <w:t>, což může zprostředkovaně zvýšit tlak návštěvníků na toto chráněné území. Na druhou stranu aktivní varianta řeší stávající neutěšený stav brownfields v prostoru Nového Sedlce</w:t>
            </w:r>
            <w:r w:rsidR="00E311AA" w:rsidRPr="00111F34">
              <w:rPr>
                <w:rFonts w:cs="Arial"/>
                <w:sz w:val="18"/>
                <w:szCs w:val="18"/>
              </w:rPr>
              <w:t xml:space="preserve"> v těsné blízkosti PP Podbabské skály a EVL</w:t>
            </w:r>
            <w:r w:rsidR="009301EC" w:rsidRPr="00111F34">
              <w:rPr>
                <w:rFonts w:cs="Arial"/>
                <w:sz w:val="18"/>
                <w:szCs w:val="18"/>
              </w:rPr>
              <w:t>, odstranění stávajících skládek sypkých materiálů a realizaci ploch městské a krajinné zeleně při přechodech do volné krajiny</w:t>
            </w:r>
            <w:r w:rsidR="00E311AA" w:rsidRPr="00111F34">
              <w:rPr>
                <w:rFonts w:cs="Arial"/>
                <w:sz w:val="18"/>
                <w:szCs w:val="18"/>
              </w:rPr>
              <w:t xml:space="preserve"> a v kontaktu s chráněnými územími</w:t>
            </w:r>
            <w:r w:rsidR="009301EC" w:rsidRPr="00111F34">
              <w:rPr>
                <w:rFonts w:cs="Arial"/>
                <w:sz w:val="18"/>
                <w:szCs w:val="18"/>
              </w:rPr>
              <w:t xml:space="preserve">. Zároveň je v aktivní variantě optimalizován ÚSES. Z výše uvedených důvodů považujeme za relativně </w:t>
            </w:r>
            <w:r w:rsidR="00E311AA" w:rsidRPr="00111F34">
              <w:rPr>
                <w:rFonts w:cs="Arial"/>
                <w:sz w:val="18"/>
                <w:szCs w:val="18"/>
              </w:rPr>
              <w:t xml:space="preserve">velmi nevýznamně </w:t>
            </w:r>
            <w:r w:rsidR="009301EC" w:rsidRPr="00111F34">
              <w:rPr>
                <w:rFonts w:cs="Arial"/>
                <w:sz w:val="18"/>
                <w:szCs w:val="18"/>
              </w:rPr>
              <w:t xml:space="preserve">výhodnější pro ohniska biodiverzity v současném stavu a vzhledem k jejich sukcesnímu vývoji </w:t>
            </w:r>
            <w:r w:rsidR="00753BD7" w:rsidRPr="00111F34">
              <w:rPr>
                <w:rFonts w:cs="Arial"/>
                <w:sz w:val="18"/>
                <w:szCs w:val="18"/>
              </w:rPr>
              <w:t xml:space="preserve">a objemu ploch zeleně v obou variantách </w:t>
            </w:r>
            <w:r w:rsidR="009301EC" w:rsidRPr="00111F34">
              <w:rPr>
                <w:rFonts w:cs="Arial"/>
                <w:sz w:val="18"/>
                <w:szCs w:val="18"/>
              </w:rPr>
              <w:t>variantu nulovou.</w:t>
            </w:r>
            <w:r w:rsidR="00E311AA" w:rsidRPr="00111F34">
              <w:rPr>
                <w:rFonts w:cs="Arial"/>
                <w:sz w:val="18"/>
                <w:szCs w:val="18"/>
              </w:rPr>
              <w:t xml:space="preserve"> Je však třeba podotknout, že rozdíl je velmi nevýrazný a obě varianty mají svoje nevýhody, nicméně zejména z hlediska zachování stávajících biotopů a jejich omezené dostupnosti je nulová varianta vůči ohniskům biodiverzity potenciálně méně rušivá.</w:t>
            </w:r>
          </w:p>
          <w:p w14:paraId="4130EFB9" w14:textId="42CD5630" w:rsidR="00DA39A6" w:rsidRPr="00DA39A6" w:rsidRDefault="00DA39A6" w:rsidP="00B47B2A">
            <w:pPr>
              <w:spacing w:beforeLines="20" w:before="48" w:afterLines="20" w:after="48"/>
              <w:rPr>
                <w:rFonts w:ascii="Arial Narrow" w:hAnsi="Arial Narrow"/>
                <w:bCs/>
                <w:sz w:val="18"/>
                <w:szCs w:val="18"/>
              </w:rPr>
            </w:pPr>
            <w:r w:rsidRPr="00DA39A6">
              <w:rPr>
                <w:rFonts w:ascii="Arial Narrow" w:hAnsi="Arial Narrow"/>
                <w:bCs/>
                <w:sz w:val="18"/>
                <w:szCs w:val="18"/>
              </w:rPr>
              <w:lastRenderedPageBreak/>
              <w:t>Z hlediska dopadů na území soustavy Natura 2000, tj. na EVL Kaňon Vltavy u Sedlce, lze hodnotit nulovou variantu a variantu aktivní jako víceméně srovnatelné. Z pohledu koordinace a trvale udržitelného rozvoje v území, je však aktivní variantu možno hodnotit jako o něco příznivější, než současný stav v řešeném území.</w:t>
            </w:r>
          </w:p>
        </w:tc>
      </w:tr>
      <w:tr w:rsidR="001D50D4" w:rsidRPr="00111F34" w14:paraId="5DC5C97A" w14:textId="77777777" w:rsidTr="00753BD7">
        <w:trPr>
          <w:trHeight w:val="282"/>
        </w:trPr>
        <w:tc>
          <w:tcPr>
            <w:tcW w:w="5000" w:type="pct"/>
            <w:gridSpan w:val="16"/>
            <w:tcBorders>
              <w:top w:val="single" w:sz="4" w:space="0" w:color="auto"/>
              <w:bottom w:val="single" w:sz="4" w:space="0" w:color="auto"/>
            </w:tcBorders>
            <w:shd w:val="clear" w:color="auto" w:fill="auto"/>
          </w:tcPr>
          <w:p w14:paraId="18972AB9" w14:textId="12618353" w:rsidR="00B44FCB" w:rsidRPr="00111F34" w:rsidRDefault="001D50D4" w:rsidP="00B47B2A">
            <w:pPr>
              <w:spacing w:beforeLines="20" w:before="48" w:afterLines="20" w:after="48"/>
              <w:rPr>
                <w:rFonts w:cs="Arial"/>
                <w:sz w:val="18"/>
                <w:szCs w:val="18"/>
              </w:rPr>
            </w:pPr>
            <w:r w:rsidRPr="00111F34">
              <w:rPr>
                <w:rFonts w:cs="Arial"/>
                <w:sz w:val="18"/>
                <w:szCs w:val="18"/>
                <w:u w:val="single"/>
              </w:rPr>
              <w:t>Půda a horninové prostředí</w:t>
            </w:r>
            <w:r w:rsidRPr="00111F34">
              <w:rPr>
                <w:rFonts w:cs="Arial"/>
                <w:sz w:val="18"/>
                <w:szCs w:val="18"/>
              </w:rPr>
              <w:t xml:space="preserve">: Hodnoceno je relativní pořadí posuzovaných možností z hlediska potenciálních střetů se ZPF a horninovým prostředím. </w:t>
            </w:r>
            <w:r w:rsidR="00B44FCB" w:rsidRPr="00111F34">
              <w:rPr>
                <w:rFonts w:cs="Arial"/>
                <w:sz w:val="18"/>
                <w:szCs w:val="18"/>
              </w:rPr>
              <w:t>Z hlediska ZPF znamená aktivní varianta relativně vyšší zábor ZPF ve smyslu rozšíření zastavitelných ploch</w:t>
            </w:r>
            <w:r w:rsidR="00753BD7" w:rsidRPr="00111F34">
              <w:rPr>
                <w:rFonts w:cs="Arial"/>
                <w:sz w:val="18"/>
                <w:szCs w:val="18"/>
              </w:rPr>
              <w:t xml:space="preserve"> bez perspektivy zachování intaktního půdního profilu</w:t>
            </w:r>
            <w:r w:rsidR="00B44FCB" w:rsidRPr="00111F34">
              <w:rPr>
                <w:rFonts w:cs="Arial"/>
                <w:sz w:val="18"/>
                <w:szCs w:val="18"/>
              </w:rPr>
              <w:t xml:space="preserve">, a to především v oblasti Výhledů, kde je zemědělská půda dosud intenzivně využívána. Z tohoto pohledu je tedy relativně výhodnější varianta nulová. Je však třeba podotknout, že i platný územní plán předurčuje řešené plochy pro jiné než zemědělské využití. </w:t>
            </w:r>
          </w:p>
          <w:p w14:paraId="1E8B36E6" w14:textId="2056CFC4" w:rsidR="001D50D4" w:rsidRPr="00111F34" w:rsidRDefault="001D50D4" w:rsidP="00B47B2A">
            <w:pPr>
              <w:spacing w:beforeLines="20" w:before="48" w:afterLines="20" w:after="48"/>
              <w:rPr>
                <w:rFonts w:ascii="Arial Narrow" w:hAnsi="Arial Narrow"/>
                <w:b/>
                <w:sz w:val="18"/>
                <w:szCs w:val="18"/>
              </w:rPr>
            </w:pPr>
            <w:r w:rsidRPr="00111F34">
              <w:rPr>
                <w:rFonts w:cs="Arial"/>
                <w:sz w:val="18"/>
                <w:szCs w:val="18"/>
              </w:rPr>
              <w:t xml:space="preserve">Z pohledu </w:t>
            </w:r>
            <w:r w:rsidR="00B44FCB" w:rsidRPr="00111F34">
              <w:rPr>
                <w:rFonts w:cs="Arial"/>
                <w:sz w:val="18"/>
                <w:szCs w:val="18"/>
              </w:rPr>
              <w:t xml:space="preserve">horninového prostředí </w:t>
            </w:r>
            <w:r w:rsidRPr="00111F34">
              <w:rPr>
                <w:rFonts w:cs="Arial"/>
                <w:sz w:val="18"/>
                <w:szCs w:val="18"/>
              </w:rPr>
              <w:t>jsou obě varianty srovnatelné, obě pracují se</w:t>
            </w:r>
            <w:r w:rsidR="005B289D" w:rsidRPr="00111F34">
              <w:rPr>
                <w:rFonts w:cs="Arial"/>
                <w:sz w:val="18"/>
                <w:szCs w:val="18"/>
              </w:rPr>
              <w:t xml:space="preserve"> </w:t>
            </w:r>
            <w:r w:rsidRPr="00111F34">
              <w:rPr>
                <w:rFonts w:cs="Arial"/>
                <w:sz w:val="18"/>
                <w:szCs w:val="18"/>
              </w:rPr>
              <w:t>zastavitelností tohoto území</w:t>
            </w:r>
            <w:r w:rsidR="005B289D" w:rsidRPr="00111F34">
              <w:rPr>
                <w:rFonts w:cs="Arial"/>
                <w:sz w:val="18"/>
                <w:szCs w:val="18"/>
              </w:rPr>
              <w:t xml:space="preserve"> bez </w:t>
            </w:r>
            <w:r w:rsidR="009301EC" w:rsidRPr="00111F34">
              <w:rPr>
                <w:rFonts w:cs="Arial"/>
                <w:sz w:val="18"/>
                <w:szCs w:val="18"/>
              </w:rPr>
              <w:t xml:space="preserve">zásadního vlivu na horninové prostředí, </w:t>
            </w:r>
            <w:r w:rsidR="00B44FCB" w:rsidRPr="00111F34">
              <w:rPr>
                <w:rFonts w:cs="Arial"/>
                <w:sz w:val="18"/>
                <w:szCs w:val="18"/>
              </w:rPr>
              <w:t xml:space="preserve">aktivní variantou </w:t>
            </w:r>
            <w:r w:rsidR="009301EC" w:rsidRPr="00111F34">
              <w:rPr>
                <w:rFonts w:cs="Arial"/>
                <w:sz w:val="18"/>
                <w:szCs w:val="18"/>
              </w:rPr>
              <w:t>dojde k formálnímu dotčení již exploatovaných těžeben cihlářské suroviny, evidovaných lokalit starých ekologických zátěží a sesuvného území. To je třeba řešit prostřednictvím průzkumu a přijetí minimalizačních opatření v navazujících řízeních. Z hlediska horninového prostředí tak sice</w:t>
            </w:r>
            <w:r w:rsidR="001541D6" w:rsidRPr="00111F34">
              <w:rPr>
                <w:rFonts w:cs="Arial"/>
                <w:sz w:val="18"/>
                <w:szCs w:val="18"/>
              </w:rPr>
              <w:t xml:space="preserve"> nulová</w:t>
            </w:r>
            <w:r w:rsidR="009301EC" w:rsidRPr="00111F34">
              <w:rPr>
                <w:rFonts w:cs="Arial"/>
                <w:sz w:val="18"/>
                <w:szCs w:val="18"/>
              </w:rPr>
              <w:t xml:space="preserve"> varianta ponechává stávající stav, který ale není dlouhodobě vyhovující a trvale udržitelný. Na druhou stranu varianta aktivní s</w:t>
            </w:r>
            <w:r w:rsidR="001541D6" w:rsidRPr="00111F34">
              <w:rPr>
                <w:rFonts w:cs="Arial"/>
                <w:sz w:val="18"/>
                <w:szCs w:val="18"/>
              </w:rPr>
              <w:t xml:space="preserve"> </w:t>
            </w:r>
            <w:r w:rsidR="009301EC" w:rsidRPr="00111F34">
              <w:rPr>
                <w:rFonts w:cs="Arial"/>
                <w:sz w:val="18"/>
                <w:szCs w:val="18"/>
              </w:rPr>
              <w:t xml:space="preserve">sebou nese potenciál </w:t>
            </w:r>
            <w:r w:rsidR="00B44FCB" w:rsidRPr="00111F34">
              <w:rPr>
                <w:rFonts w:cs="Arial"/>
                <w:sz w:val="18"/>
                <w:szCs w:val="18"/>
              </w:rPr>
              <w:t>pro sanaci problémů v území a jeho stabilizaci, tj.</w:t>
            </w:r>
            <w:r w:rsidR="001541D6" w:rsidRPr="00111F34">
              <w:rPr>
                <w:rFonts w:cs="Arial"/>
                <w:sz w:val="18"/>
                <w:szCs w:val="18"/>
              </w:rPr>
              <w:t xml:space="preserve"> řešení</w:t>
            </w:r>
            <w:r w:rsidR="00B44FCB" w:rsidRPr="00111F34">
              <w:rPr>
                <w:rFonts w:cs="Arial"/>
                <w:sz w:val="18"/>
                <w:szCs w:val="18"/>
              </w:rPr>
              <w:t xml:space="preserve"> potenciálních ekologických zátěží a rizika svahových pohybů v bývalých hlinících</w:t>
            </w:r>
            <w:r w:rsidR="009301EC" w:rsidRPr="00111F34">
              <w:rPr>
                <w:rFonts w:cs="Arial"/>
                <w:sz w:val="18"/>
                <w:szCs w:val="18"/>
              </w:rPr>
              <w:t>.</w:t>
            </w:r>
            <w:r w:rsidR="00B44FCB" w:rsidRPr="00111F34">
              <w:rPr>
                <w:rFonts w:cs="Arial"/>
                <w:sz w:val="18"/>
                <w:szCs w:val="18"/>
              </w:rPr>
              <w:t xml:space="preserve"> Obě varianty hodnotíme z hlediska horninového prostředí hodnotou 1, protože žádná z nich není objektivně výhodnější (střety a možná rizika vs. ponechání stávajícího stavu). Přesto subjektivně považujeme za výhodnější variantu aktivní, která nabízí koncepční řešení umožňující trvale udržitelný rozvoj a řešení stávajících problémů. </w:t>
            </w:r>
          </w:p>
        </w:tc>
      </w:tr>
      <w:tr w:rsidR="001D50D4" w:rsidRPr="00111F34" w14:paraId="3628C780" w14:textId="77777777" w:rsidTr="001541D6">
        <w:trPr>
          <w:trHeight w:val="274"/>
        </w:trPr>
        <w:tc>
          <w:tcPr>
            <w:tcW w:w="5000" w:type="pct"/>
            <w:gridSpan w:val="16"/>
            <w:tcBorders>
              <w:top w:val="single" w:sz="4" w:space="0" w:color="auto"/>
              <w:bottom w:val="single" w:sz="4" w:space="0" w:color="auto"/>
            </w:tcBorders>
            <w:shd w:val="clear" w:color="auto" w:fill="auto"/>
          </w:tcPr>
          <w:p w14:paraId="07CF48CE" w14:textId="06715D2E" w:rsidR="001D50D4" w:rsidRPr="00111F34" w:rsidRDefault="001D50D4" w:rsidP="00B47B2A">
            <w:pPr>
              <w:spacing w:beforeLines="20" w:before="48" w:afterLines="20" w:after="48"/>
              <w:rPr>
                <w:rFonts w:ascii="Arial Narrow" w:hAnsi="Arial Narrow"/>
                <w:b/>
                <w:sz w:val="18"/>
                <w:szCs w:val="18"/>
              </w:rPr>
            </w:pPr>
            <w:r w:rsidRPr="00111F34">
              <w:rPr>
                <w:rFonts w:cs="Arial"/>
                <w:sz w:val="18"/>
                <w:szCs w:val="18"/>
                <w:u w:val="single"/>
              </w:rPr>
              <w:t>Voda</w:t>
            </w:r>
            <w:r w:rsidRPr="00111F34">
              <w:rPr>
                <w:rFonts w:cs="Arial"/>
                <w:sz w:val="18"/>
                <w:szCs w:val="18"/>
              </w:rPr>
              <w:t xml:space="preserve">: Hodnoceno je relativní pořadí posuzovaných možností z hlediska potenciálu pro snižování retenční schopnosti území a zásahu do HG struktur. Z tohoto pohledu je relativně </w:t>
            </w:r>
            <w:r w:rsidR="00B47B2A" w:rsidRPr="00111F34">
              <w:rPr>
                <w:rFonts w:cs="Arial"/>
                <w:sz w:val="18"/>
                <w:szCs w:val="18"/>
              </w:rPr>
              <w:t xml:space="preserve">mírně </w:t>
            </w:r>
            <w:r w:rsidRPr="00111F34">
              <w:rPr>
                <w:rFonts w:cs="Arial"/>
                <w:sz w:val="18"/>
                <w:szCs w:val="18"/>
              </w:rPr>
              <w:t>výhodnější varianta nulová, která má relativně nižší potenciál pro zastavění území, protože aktivní varianta má</w:t>
            </w:r>
            <w:r w:rsidR="00753BD7" w:rsidRPr="00111F34">
              <w:rPr>
                <w:rFonts w:cs="Arial"/>
                <w:sz w:val="18"/>
                <w:szCs w:val="18"/>
              </w:rPr>
              <w:t xml:space="preserve"> vyšší podíl zastavitelných ploch,</w:t>
            </w:r>
            <w:r w:rsidRPr="00111F34">
              <w:rPr>
                <w:rFonts w:cs="Arial"/>
                <w:sz w:val="18"/>
                <w:szCs w:val="18"/>
              </w:rPr>
              <w:t xml:space="preserve"> vyšší míru využití území a nižší </w:t>
            </w:r>
            <w:r w:rsidR="00753BD7" w:rsidRPr="00111F34">
              <w:rPr>
                <w:rFonts w:cs="Arial"/>
                <w:sz w:val="18"/>
                <w:szCs w:val="18"/>
              </w:rPr>
              <w:t>rozlohu i koeficient zeleně v řešených plochách</w:t>
            </w:r>
            <w:r w:rsidRPr="00111F34">
              <w:rPr>
                <w:rFonts w:cs="Arial"/>
                <w:sz w:val="18"/>
                <w:szCs w:val="18"/>
              </w:rPr>
              <w:t xml:space="preserve">.  </w:t>
            </w:r>
          </w:p>
        </w:tc>
      </w:tr>
      <w:tr w:rsidR="001D50D4" w:rsidRPr="00111F34" w14:paraId="4F74B271" w14:textId="77777777" w:rsidTr="00B34C98">
        <w:trPr>
          <w:trHeight w:val="990"/>
        </w:trPr>
        <w:tc>
          <w:tcPr>
            <w:tcW w:w="5000" w:type="pct"/>
            <w:gridSpan w:val="16"/>
            <w:tcBorders>
              <w:top w:val="single" w:sz="4" w:space="0" w:color="auto"/>
              <w:bottom w:val="single" w:sz="4" w:space="0" w:color="auto"/>
            </w:tcBorders>
            <w:shd w:val="clear" w:color="auto" w:fill="auto"/>
          </w:tcPr>
          <w:p w14:paraId="557A49F9" w14:textId="62695D9A" w:rsidR="001D50D4" w:rsidRPr="00111F34" w:rsidRDefault="001D50D4" w:rsidP="00B47B2A">
            <w:pPr>
              <w:spacing w:beforeLines="20" w:before="48" w:afterLines="20" w:after="48"/>
              <w:rPr>
                <w:rFonts w:ascii="Arial Narrow" w:hAnsi="Arial Narrow"/>
                <w:b/>
                <w:sz w:val="18"/>
                <w:szCs w:val="18"/>
              </w:rPr>
            </w:pPr>
            <w:r w:rsidRPr="00111F34">
              <w:rPr>
                <w:rFonts w:cs="Arial"/>
                <w:sz w:val="18"/>
                <w:szCs w:val="18"/>
                <w:u w:val="single"/>
              </w:rPr>
              <w:t>Ovzduší, klima</w:t>
            </w:r>
            <w:r w:rsidRPr="00111F34">
              <w:rPr>
                <w:rFonts w:cs="Arial"/>
                <w:sz w:val="18"/>
                <w:szCs w:val="18"/>
              </w:rPr>
              <w:t xml:space="preserve">: Z hlediska ovzduší </w:t>
            </w:r>
            <w:r w:rsidR="00753BD7" w:rsidRPr="00111F34">
              <w:rPr>
                <w:rFonts w:cs="Arial"/>
                <w:sz w:val="18"/>
                <w:szCs w:val="18"/>
              </w:rPr>
              <w:t>je relativně výhodnější aktivní varianta, a to zejména z důvodů vytvoření územních předpokladů pro zlepšení dopravní obsluhy území bezemisní kapacitní veřejnou dopravou a transformace ploch brownfields v podobě skládek sypkých materiálů. P</w:t>
            </w:r>
            <w:r w:rsidR="007F76FE" w:rsidRPr="00111F34">
              <w:rPr>
                <w:rFonts w:cs="Arial"/>
                <w:sz w:val="18"/>
                <w:szCs w:val="18"/>
              </w:rPr>
              <w:t xml:space="preserve">ozitivní potenciál má v tomto případě spolupůsobení změny </w:t>
            </w:r>
            <w:r w:rsidR="00753BD7" w:rsidRPr="00111F34">
              <w:rPr>
                <w:rFonts w:cs="Arial"/>
                <w:sz w:val="18"/>
                <w:szCs w:val="18"/>
              </w:rPr>
              <w:t>s dostavbou pražského okruhu</w:t>
            </w:r>
            <w:r w:rsidR="007F76FE" w:rsidRPr="00111F34">
              <w:rPr>
                <w:rFonts w:cs="Arial"/>
                <w:sz w:val="18"/>
                <w:szCs w:val="18"/>
              </w:rPr>
              <w:t xml:space="preserve"> z hlediska </w:t>
            </w:r>
            <w:r w:rsidRPr="00111F34">
              <w:rPr>
                <w:rFonts w:cs="Arial"/>
                <w:sz w:val="18"/>
                <w:szCs w:val="18"/>
              </w:rPr>
              <w:t xml:space="preserve">přerozdělení dopravní zátěží ve prospěch </w:t>
            </w:r>
            <w:r w:rsidR="007F76FE" w:rsidRPr="00111F34">
              <w:rPr>
                <w:rFonts w:cs="Arial"/>
                <w:sz w:val="18"/>
                <w:szCs w:val="18"/>
              </w:rPr>
              <w:t>zklidnění</w:t>
            </w:r>
            <w:r w:rsidR="00753BD7" w:rsidRPr="00111F34">
              <w:rPr>
                <w:rFonts w:cs="Arial"/>
                <w:sz w:val="18"/>
                <w:szCs w:val="18"/>
              </w:rPr>
              <w:t xml:space="preserve"> západní části</w:t>
            </w:r>
            <w:r w:rsidR="007F76FE" w:rsidRPr="00111F34">
              <w:rPr>
                <w:rFonts w:cs="Arial"/>
                <w:sz w:val="18"/>
                <w:szCs w:val="18"/>
              </w:rPr>
              <w:t xml:space="preserve"> ulice </w:t>
            </w:r>
            <w:r w:rsidR="00753BD7" w:rsidRPr="00111F34">
              <w:rPr>
                <w:rFonts w:cs="Arial"/>
                <w:sz w:val="18"/>
                <w:szCs w:val="18"/>
              </w:rPr>
              <w:t>Kamýcká a vytvoření územních předpokladů pro záchyt IAD na hranicích metropole a přerozdělení dopravních zátěží ve prospěch tramvajové dopravy. Nulová varianta nemá</w:t>
            </w:r>
            <w:r w:rsidR="007F76FE" w:rsidRPr="00111F34">
              <w:rPr>
                <w:rFonts w:cs="Arial"/>
                <w:sz w:val="18"/>
                <w:szCs w:val="18"/>
              </w:rPr>
              <w:t xml:space="preserve"> potenciál </w:t>
            </w:r>
            <w:r w:rsidRPr="00111F34">
              <w:rPr>
                <w:rFonts w:cs="Arial"/>
                <w:sz w:val="18"/>
                <w:szCs w:val="18"/>
              </w:rPr>
              <w:t>řešení přetížené dopravní sítě a rostoucích emisí z</w:t>
            </w:r>
            <w:r w:rsidR="00753BD7" w:rsidRPr="00111F34">
              <w:rPr>
                <w:rFonts w:cs="Arial"/>
                <w:sz w:val="18"/>
                <w:szCs w:val="18"/>
              </w:rPr>
              <w:t> </w:t>
            </w:r>
            <w:r w:rsidRPr="00111F34">
              <w:rPr>
                <w:rFonts w:cs="Arial"/>
                <w:sz w:val="18"/>
                <w:szCs w:val="18"/>
              </w:rPr>
              <w:t>dopravy</w:t>
            </w:r>
            <w:r w:rsidR="00753BD7" w:rsidRPr="00111F34">
              <w:rPr>
                <w:rFonts w:cs="Arial"/>
                <w:sz w:val="18"/>
                <w:szCs w:val="18"/>
              </w:rPr>
              <w:t>, je</w:t>
            </w:r>
            <w:r w:rsidR="007F76FE" w:rsidRPr="00111F34">
              <w:rPr>
                <w:rFonts w:cs="Arial"/>
                <w:sz w:val="18"/>
                <w:szCs w:val="18"/>
              </w:rPr>
              <w:t xml:space="preserve"> tedy hodnocen</w:t>
            </w:r>
            <w:r w:rsidR="00753BD7" w:rsidRPr="00111F34">
              <w:rPr>
                <w:rFonts w:cs="Arial"/>
                <w:sz w:val="18"/>
                <w:szCs w:val="18"/>
              </w:rPr>
              <w:t>a</w:t>
            </w:r>
            <w:r w:rsidR="007F76FE" w:rsidRPr="00111F34">
              <w:rPr>
                <w:rFonts w:cs="Arial"/>
                <w:sz w:val="18"/>
                <w:szCs w:val="18"/>
              </w:rPr>
              <w:t xml:space="preserve"> hodnotou </w:t>
            </w:r>
            <w:r w:rsidR="00753BD7" w:rsidRPr="00111F34">
              <w:rPr>
                <w:rFonts w:cs="Arial"/>
                <w:sz w:val="18"/>
                <w:szCs w:val="18"/>
              </w:rPr>
              <w:t>2</w:t>
            </w:r>
            <w:r w:rsidRPr="00111F34">
              <w:rPr>
                <w:rFonts w:cs="Arial"/>
                <w:sz w:val="18"/>
                <w:szCs w:val="18"/>
              </w:rPr>
              <w:t>. Z hlediska klimatu je působení, co do přímých vlivů do území srovnatelné</w:t>
            </w:r>
            <w:r w:rsidR="00B47B2A" w:rsidRPr="00111F34">
              <w:rPr>
                <w:rFonts w:cs="Arial"/>
                <w:sz w:val="18"/>
                <w:szCs w:val="18"/>
              </w:rPr>
              <w:t>, marginálně</w:t>
            </w:r>
            <w:r w:rsidRPr="00111F34">
              <w:rPr>
                <w:rFonts w:cs="Arial"/>
                <w:sz w:val="18"/>
                <w:szCs w:val="18"/>
              </w:rPr>
              <w:t xml:space="preserve"> výhodnější je nulová varianta (zastavěné území, retenční schopnost, teploty povrchů, možnosti zastínění). Obě varianty vůči stávajícímu stavu znamenají rozšiřování tepelného ostrova města</w:t>
            </w:r>
            <w:r w:rsidR="00835B43" w:rsidRPr="00111F34">
              <w:rPr>
                <w:rFonts w:cs="Arial"/>
                <w:sz w:val="18"/>
                <w:szCs w:val="18"/>
              </w:rPr>
              <w:t>, varianta aktivní však vytváří územní předpoklady pro zlepšení bezemisní dopravy a převedení části IAD na bezemisní, resp. bezmotorovou dopravu, a tím i nepřímo ovlivňující emise CO</w:t>
            </w:r>
            <w:r w:rsidR="00835B43" w:rsidRPr="00111F34">
              <w:rPr>
                <w:rFonts w:cs="Arial"/>
                <w:sz w:val="18"/>
                <w:szCs w:val="18"/>
                <w:vertAlign w:val="subscript"/>
              </w:rPr>
              <w:t>2</w:t>
            </w:r>
            <w:r w:rsidR="00835B43" w:rsidRPr="00111F34">
              <w:rPr>
                <w:rFonts w:cs="Arial"/>
                <w:sz w:val="18"/>
                <w:szCs w:val="18"/>
              </w:rPr>
              <w:t>. Objem zeleně v obou variantách považujeme z pohledu klimatu za srovnatelný. Z tohoto pohledu je hodnocena jako relativně výhodnější oproti variantě nulové, která ponechává stávající stav s rozsáhlými plochami brownfields a s funkčním využitím výroby a dopravy oproti využití jako rezidenční plochy s předpokladem vysokého podílu zeleně ve variantě aktivní.</w:t>
            </w:r>
            <w:r w:rsidRPr="00111F34">
              <w:rPr>
                <w:rFonts w:cs="Arial"/>
                <w:sz w:val="18"/>
                <w:szCs w:val="18"/>
              </w:rPr>
              <w:t xml:space="preserve">  </w:t>
            </w:r>
          </w:p>
        </w:tc>
      </w:tr>
      <w:tr w:rsidR="001D50D4" w:rsidRPr="00111F34" w14:paraId="3B1EAAF4" w14:textId="77777777" w:rsidTr="00B34C98">
        <w:trPr>
          <w:trHeight w:val="577"/>
        </w:trPr>
        <w:tc>
          <w:tcPr>
            <w:tcW w:w="5000" w:type="pct"/>
            <w:gridSpan w:val="16"/>
            <w:tcBorders>
              <w:top w:val="single" w:sz="4" w:space="0" w:color="auto"/>
              <w:bottom w:val="single" w:sz="4" w:space="0" w:color="auto"/>
            </w:tcBorders>
            <w:shd w:val="clear" w:color="auto" w:fill="auto"/>
          </w:tcPr>
          <w:p w14:paraId="4AEE82D9" w14:textId="30271CBC" w:rsidR="001D50D4" w:rsidRPr="00111F34" w:rsidRDefault="001D50D4" w:rsidP="00B47B2A">
            <w:pPr>
              <w:spacing w:beforeLines="20" w:before="48" w:afterLines="20" w:after="48"/>
              <w:rPr>
                <w:rFonts w:ascii="Arial Narrow" w:hAnsi="Arial Narrow"/>
                <w:b/>
                <w:sz w:val="18"/>
                <w:szCs w:val="18"/>
              </w:rPr>
            </w:pPr>
            <w:r w:rsidRPr="00111F34">
              <w:rPr>
                <w:rFonts w:cs="Arial"/>
                <w:sz w:val="18"/>
                <w:szCs w:val="18"/>
                <w:u w:val="single"/>
              </w:rPr>
              <w:t>Hluková zátěž</w:t>
            </w:r>
            <w:r w:rsidRPr="00111F34">
              <w:rPr>
                <w:rFonts w:cs="Arial"/>
                <w:sz w:val="18"/>
                <w:szCs w:val="18"/>
              </w:rPr>
              <w:t>: Hodnoceno je přispění posuzovaných možností ke snížení hlukové zátěže z dopravy. Varianta aktivní</w:t>
            </w:r>
            <w:r w:rsidR="005B289D" w:rsidRPr="00111F34">
              <w:rPr>
                <w:rFonts w:cs="Arial"/>
                <w:sz w:val="18"/>
                <w:szCs w:val="18"/>
              </w:rPr>
              <w:t xml:space="preserve"> dává územní předpoklady pro</w:t>
            </w:r>
            <w:r w:rsidR="002D73D2" w:rsidRPr="00111F34">
              <w:rPr>
                <w:rFonts w:cs="Arial"/>
                <w:sz w:val="18"/>
                <w:szCs w:val="18"/>
              </w:rPr>
              <w:t xml:space="preserve"> vložení nového zdroje hlukové zátěže v podobě tramvajové trati, zároveň ale umožňuje převedení části dopravních zátěží na VHD a bezmotorovou dopravu a oddálení vyústění přivaděče Rybářka od hlukově chráněných objektů</w:t>
            </w:r>
            <w:r w:rsidR="005B289D" w:rsidRPr="00111F34">
              <w:rPr>
                <w:rFonts w:cs="Arial"/>
                <w:sz w:val="18"/>
                <w:szCs w:val="18"/>
              </w:rPr>
              <w:t xml:space="preserve"> a</w:t>
            </w:r>
            <w:r w:rsidRPr="00111F34">
              <w:rPr>
                <w:rFonts w:cs="Arial"/>
                <w:sz w:val="18"/>
                <w:szCs w:val="18"/>
              </w:rPr>
              <w:t xml:space="preserve"> přispívá tím i </w:t>
            </w:r>
            <w:r w:rsidR="002D73D2" w:rsidRPr="00111F34">
              <w:rPr>
                <w:rFonts w:cs="Arial"/>
                <w:sz w:val="18"/>
                <w:szCs w:val="18"/>
              </w:rPr>
              <w:t xml:space="preserve">ke </w:t>
            </w:r>
            <w:r w:rsidRPr="00111F34">
              <w:rPr>
                <w:rFonts w:cs="Arial"/>
                <w:sz w:val="18"/>
                <w:szCs w:val="18"/>
              </w:rPr>
              <w:t xml:space="preserve">zlepšení faktorů prostředí včetně bezpečnosti díky vytvoření územních podmínek pro rozvoj moderní dopravní infrastruktury. </w:t>
            </w:r>
            <w:r w:rsidR="002D73D2" w:rsidRPr="00111F34">
              <w:rPr>
                <w:rFonts w:cs="Arial"/>
                <w:sz w:val="18"/>
                <w:szCs w:val="18"/>
              </w:rPr>
              <w:t xml:space="preserve">Nahrazuje výrobní využití území Nového Sedlce využitím rezidenčním. </w:t>
            </w:r>
            <w:r w:rsidRPr="00111F34">
              <w:rPr>
                <w:rFonts w:cs="Arial"/>
                <w:sz w:val="18"/>
                <w:szCs w:val="18"/>
              </w:rPr>
              <w:t>Varianta nulová ponechává stávající stav včetně</w:t>
            </w:r>
            <w:r w:rsidR="002D73D2" w:rsidRPr="00111F34">
              <w:rPr>
                <w:rFonts w:cs="Arial"/>
                <w:sz w:val="18"/>
                <w:szCs w:val="18"/>
              </w:rPr>
              <w:t xml:space="preserve"> stávajících zdrojů hluku a</w:t>
            </w:r>
            <w:r w:rsidRPr="00111F34">
              <w:rPr>
                <w:rFonts w:cs="Arial"/>
                <w:sz w:val="18"/>
                <w:szCs w:val="18"/>
              </w:rPr>
              <w:t xml:space="preserve"> rostoucího přetížení dopravního systému</w:t>
            </w:r>
            <w:r w:rsidR="002D73D2" w:rsidRPr="00111F34">
              <w:rPr>
                <w:rFonts w:cs="Arial"/>
                <w:sz w:val="18"/>
                <w:szCs w:val="18"/>
              </w:rPr>
              <w:t>, nevkládá však tramvajovou trať do ulice Kamýcká</w:t>
            </w:r>
            <w:r w:rsidR="00327BA9">
              <w:rPr>
                <w:rFonts w:cs="Arial"/>
                <w:sz w:val="18"/>
                <w:szCs w:val="18"/>
              </w:rPr>
              <w:t>.</w:t>
            </w:r>
            <w:r w:rsidR="00327BA9" w:rsidRPr="00111F34">
              <w:rPr>
                <w:rFonts w:cs="Arial"/>
                <w:sz w:val="18"/>
                <w:szCs w:val="18"/>
              </w:rPr>
              <w:t xml:space="preserve"> </w:t>
            </w:r>
            <w:r w:rsidR="00327BA9">
              <w:rPr>
                <w:rFonts w:cs="Arial"/>
                <w:sz w:val="18"/>
                <w:szCs w:val="18"/>
              </w:rPr>
              <w:t>N</w:t>
            </w:r>
            <w:r w:rsidR="002D73D2" w:rsidRPr="00111F34">
              <w:rPr>
                <w:rFonts w:cs="Arial"/>
                <w:sz w:val="18"/>
                <w:szCs w:val="18"/>
              </w:rPr>
              <w:t xml:space="preserve">a druhou stranu </w:t>
            </w:r>
            <w:r w:rsidR="003F3B2B">
              <w:rPr>
                <w:rFonts w:cs="Arial"/>
                <w:sz w:val="18"/>
                <w:szCs w:val="18"/>
              </w:rPr>
              <w:t>nu</w:t>
            </w:r>
            <w:r w:rsidR="00760A82">
              <w:rPr>
                <w:rFonts w:cs="Arial"/>
                <w:sz w:val="18"/>
                <w:szCs w:val="18"/>
              </w:rPr>
              <w:t>l</w:t>
            </w:r>
            <w:r w:rsidR="003F3B2B">
              <w:rPr>
                <w:rFonts w:cs="Arial"/>
                <w:sz w:val="18"/>
                <w:szCs w:val="18"/>
              </w:rPr>
              <w:t xml:space="preserve">ová varianta </w:t>
            </w:r>
            <w:r w:rsidR="002D73D2" w:rsidRPr="00111F34">
              <w:rPr>
                <w:rFonts w:cs="Arial"/>
                <w:sz w:val="18"/>
                <w:szCs w:val="18"/>
              </w:rPr>
              <w:t xml:space="preserve">nevytváří územní předpoklady pro převedení dopravních zátěží na VHD, neznemožňuje realizaci SOKP. Žádná z variant tak nenabízí výrazně výhodnější řešení z hlediska hlukové zátěže, a to především s ohledem na </w:t>
            </w:r>
            <w:r w:rsidR="00D233F8" w:rsidRPr="00111F34">
              <w:rPr>
                <w:rFonts w:cs="Arial"/>
                <w:sz w:val="18"/>
                <w:szCs w:val="18"/>
              </w:rPr>
              <w:t>stávající stav a přítomné hlukově chráněné objekty v území, zejména podél ulice Kamýcká. Obě varianty jsou tak hodnoceny hodnotou 1.</w:t>
            </w:r>
          </w:p>
        </w:tc>
      </w:tr>
      <w:tr w:rsidR="001D50D4" w:rsidRPr="00111F34" w14:paraId="3702553E" w14:textId="77777777" w:rsidTr="00DA39A6">
        <w:trPr>
          <w:trHeight w:val="424"/>
        </w:trPr>
        <w:tc>
          <w:tcPr>
            <w:tcW w:w="5000" w:type="pct"/>
            <w:gridSpan w:val="16"/>
            <w:tcBorders>
              <w:top w:val="single" w:sz="4" w:space="0" w:color="auto"/>
              <w:bottom w:val="single" w:sz="4" w:space="0" w:color="auto"/>
            </w:tcBorders>
            <w:shd w:val="clear" w:color="auto" w:fill="auto"/>
          </w:tcPr>
          <w:p w14:paraId="2291309A" w14:textId="34A19AFD" w:rsidR="001D50D4" w:rsidRPr="00111F34" w:rsidRDefault="001D50D4" w:rsidP="00B47B2A">
            <w:pPr>
              <w:spacing w:beforeLines="20" w:before="48" w:afterLines="20" w:after="48"/>
              <w:rPr>
                <w:rFonts w:ascii="Arial Narrow" w:hAnsi="Arial Narrow"/>
                <w:b/>
                <w:sz w:val="18"/>
                <w:szCs w:val="18"/>
              </w:rPr>
            </w:pPr>
            <w:r w:rsidRPr="00111F34">
              <w:rPr>
                <w:rFonts w:cs="Arial"/>
                <w:sz w:val="18"/>
                <w:szCs w:val="18"/>
                <w:u w:val="single"/>
              </w:rPr>
              <w:t>Sídla, urbanizace</w:t>
            </w:r>
            <w:r w:rsidRPr="00111F34">
              <w:rPr>
                <w:rFonts w:cs="Arial"/>
                <w:sz w:val="18"/>
                <w:szCs w:val="18"/>
              </w:rPr>
              <w:t xml:space="preserve">: Hodnoceno je přispění posuzovaných možností ke zlepšení dopravního napojení, mobility, bezpečnosti dopravy a pohody bydlení ve městě. </w:t>
            </w:r>
            <w:r w:rsidR="005B289D" w:rsidRPr="00111F34">
              <w:rPr>
                <w:rFonts w:cs="Arial"/>
                <w:sz w:val="18"/>
                <w:szCs w:val="18"/>
              </w:rPr>
              <w:t>Varianta aktivní přispívá</w:t>
            </w:r>
            <w:r w:rsidR="00835B43" w:rsidRPr="00111F34">
              <w:rPr>
                <w:rFonts w:cs="Arial"/>
                <w:sz w:val="18"/>
                <w:szCs w:val="18"/>
              </w:rPr>
              <w:t xml:space="preserve"> k zásadnímu zlepšení dopravní obsluhy území </w:t>
            </w:r>
            <w:r w:rsidR="006010EB" w:rsidRPr="00111F34">
              <w:rPr>
                <w:rFonts w:cs="Arial"/>
                <w:sz w:val="18"/>
                <w:szCs w:val="18"/>
              </w:rPr>
              <w:t xml:space="preserve"> kapacitní bezemisní VHD spolu s vytvořením územních předpokladů pro záchyt dopravy z okolních regionů a převedení na VHD, zároveň přispívá ke koordinaci a optimalizaci nadřazené dopravní infrastruktury, prevenci suburbanizace prostřednictvím</w:t>
            </w:r>
            <w:r w:rsidR="005B289D" w:rsidRPr="00111F34">
              <w:rPr>
                <w:rFonts w:cs="Arial"/>
                <w:sz w:val="18"/>
                <w:szCs w:val="18"/>
              </w:rPr>
              <w:t xml:space="preserve"> zvýšení nabídky kvalitního</w:t>
            </w:r>
            <w:r w:rsidR="006010EB" w:rsidRPr="00111F34">
              <w:rPr>
                <w:rFonts w:cs="Arial"/>
                <w:sz w:val="18"/>
                <w:szCs w:val="18"/>
              </w:rPr>
              <w:t xml:space="preserve"> bydlení v hranicích města</w:t>
            </w:r>
            <w:r w:rsidR="005B289D" w:rsidRPr="00111F34">
              <w:rPr>
                <w:rFonts w:cs="Arial"/>
                <w:sz w:val="18"/>
                <w:szCs w:val="18"/>
              </w:rPr>
              <w:t xml:space="preserve">, spolu s vybavením území veřejnou vybaveností, zvýšení bezpečnosti a doplnění rekreačního zázemí a veřejných prostranství spolu s návrhem intenzity využití území umožňující vytvoření efektivních bariér a zónování území. Varianta nulová ponechává stávající stav, který nevedl k efektivní transformaci území. Z tohoto hlediska je tedy </w:t>
            </w:r>
            <w:r w:rsidR="003F3B2B">
              <w:rPr>
                <w:rFonts w:cs="Arial"/>
                <w:sz w:val="18"/>
                <w:szCs w:val="18"/>
              </w:rPr>
              <w:t xml:space="preserve">nulová varianta </w:t>
            </w:r>
            <w:r w:rsidR="005B289D" w:rsidRPr="00111F34">
              <w:rPr>
                <w:rFonts w:cs="Arial"/>
                <w:sz w:val="18"/>
                <w:szCs w:val="18"/>
              </w:rPr>
              <w:t>hodnocena jako relativně méně výhodná.</w:t>
            </w:r>
            <w:r w:rsidRPr="00111F34">
              <w:rPr>
                <w:rFonts w:cs="Arial"/>
                <w:sz w:val="18"/>
                <w:szCs w:val="18"/>
              </w:rPr>
              <w:t xml:space="preserve"> </w:t>
            </w:r>
          </w:p>
        </w:tc>
      </w:tr>
      <w:tr w:rsidR="001D50D4" w:rsidRPr="00111F34" w14:paraId="10896D28" w14:textId="77777777" w:rsidTr="00B34C98">
        <w:trPr>
          <w:trHeight w:val="689"/>
        </w:trPr>
        <w:tc>
          <w:tcPr>
            <w:tcW w:w="5000" w:type="pct"/>
            <w:gridSpan w:val="16"/>
            <w:tcBorders>
              <w:top w:val="single" w:sz="4" w:space="0" w:color="auto"/>
              <w:bottom w:val="single" w:sz="4" w:space="0" w:color="auto"/>
            </w:tcBorders>
            <w:shd w:val="clear" w:color="auto" w:fill="auto"/>
          </w:tcPr>
          <w:p w14:paraId="6F8D086F" w14:textId="31420BD2" w:rsidR="001D50D4" w:rsidRPr="00111F34" w:rsidRDefault="001D50D4" w:rsidP="00B47B2A">
            <w:pPr>
              <w:spacing w:beforeLines="20" w:before="48" w:afterLines="20" w:after="48"/>
              <w:rPr>
                <w:rFonts w:ascii="Arial Narrow" w:hAnsi="Arial Narrow"/>
                <w:b/>
                <w:sz w:val="18"/>
                <w:szCs w:val="18"/>
              </w:rPr>
            </w:pPr>
            <w:r w:rsidRPr="00111F34">
              <w:rPr>
                <w:rFonts w:cs="Arial"/>
                <w:sz w:val="18"/>
                <w:szCs w:val="18"/>
                <w:u w:val="single"/>
              </w:rPr>
              <w:t>Hmotné statky a kulturní dědictví včetně architektonického a archeologického dědictví</w:t>
            </w:r>
            <w:r w:rsidRPr="00111F34">
              <w:rPr>
                <w:rFonts w:cs="Arial"/>
                <w:sz w:val="18"/>
                <w:szCs w:val="18"/>
              </w:rPr>
              <w:t xml:space="preserve">: Hodnoceno je relativní pořadí posuzovaných možností z hlediska potenciálních střetů s hodnotami území v oblasti kulturního a architektonického a archeologického dědictví. </w:t>
            </w:r>
            <w:r w:rsidR="006010EB" w:rsidRPr="00111F34">
              <w:rPr>
                <w:rFonts w:cs="Arial"/>
                <w:sz w:val="18"/>
                <w:szCs w:val="18"/>
              </w:rPr>
              <w:t>Varianta aktivní však předpokládá umístění tramvajové trati do kontextu stávající železniční trati, která je vedena po památkově chráněném viaduktu. V tomto prostoru jsou pouze rozšířeny plochy dopravy, což je samo o sobě bez vlivu na kulturní památku. Při umisťování konkrétních staveb je však třeba přijmout takové řešení, aby nejen nedošlo k dotčení kulturní památky, ale ani ke zhoršení jejího vizuáln</w:t>
            </w:r>
            <w:r w:rsidR="00A730D3" w:rsidRPr="00111F34">
              <w:rPr>
                <w:rFonts w:cs="Arial"/>
                <w:sz w:val="18"/>
                <w:szCs w:val="18"/>
              </w:rPr>
              <w:t>í</w:t>
            </w:r>
            <w:r w:rsidR="006010EB" w:rsidRPr="00111F34">
              <w:rPr>
                <w:rFonts w:cs="Arial"/>
                <w:sz w:val="18"/>
                <w:szCs w:val="18"/>
              </w:rPr>
              <w:t>ho kontextu. To je</w:t>
            </w:r>
            <w:r w:rsidR="00A730D3" w:rsidRPr="00111F34">
              <w:rPr>
                <w:rFonts w:cs="Arial"/>
                <w:sz w:val="18"/>
                <w:szCs w:val="18"/>
              </w:rPr>
              <w:t xml:space="preserve"> sice</w:t>
            </w:r>
            <w:r w:rsidR="006010EB" w:rsidRPr="00111F34">
              <w:rPr>
                <w:rFonts w:cs="Arial"/>
                <w:sz w:val="18"/>
                <w:szCs w:val="18"/>
              </w:rPr>
              <w:t xml:space="preserve"> mimo podrobnost územního plánu</w:t>
            </w:r>
            <w:r w:rsidR="00A730D3" w:rsidRPr="00111F34">
              <w:rPr>
                <w:rFonts w:cs="Arial"/>
                <w:sz w:val="18"/>
                <w:szCs w:val="18"/>
              </w:rPr>
              <w:t>, ale potenciál pro negativní ovlivnění památky nelze ani na této úrovni zcela pominout</w:t>
            </w:r>
            <w:r w:rsidR="006010EB" w:rsidRPr="00111F34">
              <w:rPr>
                <w:rFonts w:cs="Arial"/>
                <w:sz w:val="18"/>
                <w:szCs w:val="18"/>
              </w:rPr>
              <w:t xml:space="preserve">. Vzhledem k potenciálu dotčení nemovité kulturní památky je aktivní varianta hodnocena jako relativně méně výhodná. </w:t>
            </w:r>
          </w:p>
        </w:tc>
      </w:tr>
      <w:tr w:rsidR="001D50D4" w:rsidRPr="00111F34" w14:paraId="7F01B699" w14:textId="77777777" w:rsidTr="00B34C98">
        <w:trPr>
          <w:trHeight w:val="671"/>
        </w:trPr>
        <w:tc>
          <w:tcPr>
            <w:tcW w:w="5000" w:type="pct"/>
            <w:gridSpan w:val="16"/>
            <w:tcBorders>
              <w:top w:val="single" w:sz="4" w:space="0" w:color="auto"/>
              <w:bottom w:val="single" w:sz="4" w:space="0" w:color="auto"/>
            </w:tcBorders>
            <w:shd w:val="clear" w:color="auto" w:fill="auto"/>
          </w:tcPr>
          <w:p w14:paraId="032D617D" w14:textId="7E13F890" w:rsidR="001D50D4" w:rsidRPr="00111F34" w:rsidRDefault="001D50D4" w:rsidP="00B47B2A">
            <w:pPr>
              <w:spacing w:beforeLines="20" w:before="48" w:afterLines="20" w:after="48"/>
              <w:rPr>
                <w:rFonts w:ascii="Arial Narrow" w:hAnsi="Arial Narrow"/>
                <w:b/>
                <w:sz w:val="18"/>
                <w:szCs w:val="18"/>
              </w:rPr>
            </w:pPr>
            <w:r w:rsidRPr="00111F34">
              <w:rPr>
                <w:rFonts w:cs="Arial"/>
                <w:sz w:val="18"/>
                <w:szCs w:val="18"/>
                <w:u w:val="single"/>
              </w:rPr>
              <w:lastRenderedPageBreak/>
              <w:t>Krajina</w:t>
            </w:r>
            <w:r w:rsidRPr="00111F34">
              <w:rPr>
                <w:rFonts w:cs="Arial"/>
                <w:sz w:val="18"/>
                <w:szCs w:val="18"/>
              </w:rPr>
              <w:t>: Hodnoceno je relativní pořadí posuzovaných možností z hlediska potenciálních střetů s hodnotami krajinného rázu. Z</w:t>
            </w:r>
            <w:r w:rsidR="002D73D2" w:rsidRPr="00111F34">
              <w:rPr>
                <w:rFonts w:cs="Arial"/>
                <w:sz w:val="18"/>
                <w:szCs w:val="18"/>
              </w:rPr>
              <w:t xml:space="preserve"> tohoto pohledu vytváří aktivní varianta pozitivní vliv z hlediska krajinného rázu v oblasti Nového Sedlce, kde dojde k transformaci území určeného pro výrobní funkce </w:t>
            </w:r>
            <w:r w:rsidR="00A730D3" w:rsidRPr="00111F34">
              <w:rPr>
                <w:rFonts w:cs="Arial"/>
                <w:sz w:val="18"/>
                <w:szCs w:val="18"/>
              </w:rPr>
              <w:t xml:space="preserve">se stávajícím charakterem nepřístupných výrobních, dopravních a skladovacích ploch s charakterem brownfields </w:t>
            </w:r>
            <w:r w:rsidR="002D73D2" w:rsidRPr="00111F34">
              <w:rPr>
                <w:rFonts w:cs="Arial"/>
                <w:sz w:val="18"/>
                <w:szCs w:val="18"/>
              </w:rPr>
              <w:t>do převážně rezidenčních ploch s vyšším podílem zeleně. Obě varianty vymezují krajinnou zeleň na přechodu do volné krajiny a pohledově hodnotných území. Varianta nulová znamená nižší podíl zastavěnosti a nevytváří územní předpoklady pro umístění tramvajové trati do kontextu východního úbočí skal Baby a Podbaby</w:t>
            </w:r>
            <w:r w:rsidR="005B289D" w:rsidRPr="00111F34">
              <w:rPr>
                <w:rFonts w:cs="Arial"/>
                <w:sz w:val="18"/>
                <w:szCs w:val="18"/>
              </w:rPr>
              <w:t>. Ro</w:t>
            </w:r>
            <w:r w:rsidR="00C308C4" w:rsidRPr="00111F34">
              <w:rPr>
                <w:rFonts w:cs="Arial"/>
                <w:sz w:val="18"/>
                <w:szCs w:val="18"/>
              </w:rPr>
              <w:t>z</w:t>
            </w:r>
            <w:r w:rsidR="005B289D" w:rsidRPr="00111F34">
              <w:rPr>
                <w:rFonts w:cs="Arial"/>
                <w:sz w:val="18"/>
                <w:szCs w:val="18"/>
              </w:rPr>
              <w:t xml:space="preserve">díly mezi nimi jsou </w:t>
            </w:r>
            <w:r w:rsidR="00A730D3" w:rsidRPr="00111F34">
              <w:rPr>
                <w:rFonts w:cs="Arial"/>
                <w:sz w:val="18"/>
                <w:szCs w:val="18"/>
              </w:rPr>
              <w:t xml:space="preserve">z hlediska krajinného rázu díky omezené dohlednosti území a podílu stávající zeleně </w:t>
            </w:r>
            <w:r w:rsidR="005B289D" w:rsidRPr="00111F34">
              <w:rPr>
                <w:rFonts w:cs="Arial"/>
                <w:sz w:val="18"/>
                <w:szCs w:val="18"/>
              </w:rPr>
              <w:t xml:space="preserve">nepodstatné, obě varianty tak </w:t>
            </w:r>
            <w:r w:rsidR="00C308C4" w:rsidRPr="00111F34">
              <w:rPr>
                <w:rFonts w:cs="Arial"/>
                <w:sz w:val="18"/>
                <w:szCs w:val="18"/>
              </w:rPr>
              <w:t>mají přiřazeny hodnotu 1</w:t>
            </w:r>
            <w:r w:rsidRPr="00111F34">
              <w:rPr>
                <w:rFonts w:cs="Arial"/>
                <w:sz w:val="18"/>
                <w:szCs w:val="18"/>
              </w:rPr>
              <w:t>.</w:t>
            </w:r>
          </w:p>
        </w:tc>
      </w:tr>
    </w:tbl>
    <w:p w14:paraId="10BD567A" w14:textId="58FB1F1E" w:rsidR="001D50D4" w:rsidRPr="00111F34" w:rsidRDefault="001D50D4" w:rsidP="001D50D4">
      <w:r w:rsidRPr="00111F34">
        <w:t xml:space="preserve">Z výše uvedeného </w:t>
      </w:r>
      <w:r w:rsidR="00C308C4" w:rsidRPr="00111F34">
        <w:t>vyplývá</w:t>
      </w:r>
      <w:r w:rsidR="00E6041B">
        <w:t xml:space="preserve"> </w:t>
      </w:r>
      <w:r w:rsidR="008B52B8">
        <w:t xml:space="preserve">mírně </w:t>
      </w:r>
      <w:r w:rsidR="00E6041B">
        <w:t>příznivější hodnocení aktivní varianty. R</w:t>
      </w:r>
      <w:r w:rsidR="00C308C4" w:rsidRPr="00111F34">
        <w:t xml:space="preserve">ozdíly jsou však </w:t>
      </w:r>
      <w:r w:rsidR="008B52B8">
        <w:t xml:space="preserve">velmi </w:t>
      </w:r>
      <w:r w:rsidR="00F94D3C" w:rsidRPr="00111F34">
        <w:t>malé</w:t>
      </w:r>
      <w:r w:rsidR="00F94D3C">
        <w:t>.</w:t>
      </w:r>
      <w:r w:rsidR="00C308C4" w:rsidRPr="00111F34">
        <w:t xml:space="preserve"> Obě varianty umožňují určitou podobu transformace území, byť platný územní plán k jeho realizaci nevedl. </w:t>
      </w:r>
      <w:r w:rsidR="006010EB" w:rsidRPr="00111F34">
        <w:t>S</w:t>
      </w:r>
      <w:r w:rsidR="00C308C4" w:rsidRPr="00111F34">
        <w:t xml:space="preserve">polupůsobit v obou případech </w:t>
      </w:r>
      <w:r w:rsidR="006010EB" w:rsidRPr="00111F34">
        <w:t>dostavba SOKP</w:t>
      </w:r>
      <w:r w:rsidRPr="00111F34">
        <w:t>, která má zásadní dopady do zlepšení dopravní obsluhy území a snižovaní externalit spojených s</w:t>
      </w:r>
      <w:r w:rsidR="006010EB" w:rsidRPr="00111F34">
        <w:t> </w:t>
      </w:r>
      <w:r w:rsidRPr="00111F34">
        <w:t>dopravou</w:t>
      </w:r>
      <w:r w:rsidR="006010EB" w:rsidRPr="00111F34">
        <w:t>, avšak bez řešení záchytných parkovišť, dopravního terminálů a dopravní obsluhy území kapacitní bezemisní VHD by měla zesilující negativní vliv na dopravní situaci ve východní části ulice Kamýcká</w:t>
      </w:r>
      <w:r w:rsidRPr="00111F34">
        <w:t>. Navzdory faktu, že zde posuzovaná koncepce bude mít potenciálně negativní vlivy</w:t>
      </w:r>
      <w:r w:rsidR="006010EB" w:rsidRPr="00111F34">
        <w:t xml:space="preserve"> na některé dílčí sledované charakteristiky, témata a složky životního prostředí,</w:t>
      </w:r>
      <w:r w:rsidRPr="00111F34">
        <w:t xml:space="preserve"> z hlediska porovnání dostupných možností se jeví jako racionální a umožňující naplnění závazků a cílů vyplývajících z ostatních strategických dokumentů udržitelného rozvoje, aniž by došlo k zásadnímu střetu se sledovanými charakteristikami životního prostředí a veřejného zdraví.</w:t>
      </w:r>
    </w:p>
    <w:p w14:paraId="4AAB3467" w14:textId="77777777" w:rsidR="001D50D4" w:rsidRPr="00111F34" w:rsidRDefault="001D50D4" w:rsidP="001D50D4">
      <w:r w:rsidRPr="00111F34">
        <w:t xml:space="preserve">Zpracovatel Vyhodnocení vlivů na udržitelný rozvoj území, považuje vymezení řešených ploch za odůvodněné, nepožaduje zpracování dalších variant řešení koncepce. </w:t>
      </w:r>
    </w:p>
    <w:p w14:paraId="306E5052" w14:textId="77777777" w:rsidR="00794578" w:rsidRPr="00111F34" w:rsidRDefault="00794578" w:rsidP="00BA72D5">
      <w:pPr>
        <w:pStyle w:val="Nadpis2"/>
      </w:pPr>
      <w:bookmarkStart w:id="308" w:name="_Toc138848144"/>
      <w:r w:rsidRPr="00111F34">
        <w:t>Popis navrhovaných opatření pro předcházení, snížení nebo kompenzaci všech zjištěných nebo předpokládaných závažných záporných vlivů na životní prostředí</w:t>
      </w:r>
      <w:bookmarkEnd w:id="302"/>
      <w:bookmarkEnd w:id="303"/>
      <w:bookmarkEnd w:id="308"/>
    </w:p>
    <w:p w14:paraId="3DFC6F0D" w14:textId="77777777" w:rsidR="00573E07" w:rsidRPr="00111F34" w:rsidRDefault="00573E07" w:rsidP="00573E07">
      <w:pPr>
        <w:rPr>
          <w:rFonts w:cs="Arial"/>
        </w:rPr>
      </w:pPr>
      <w:bookmarkStart w:id="309" w:name="_Toc531606278"/>
      <w:r w:rsidRPr="00111F34">
        <w:rPr>
          <w:rFonts w:cs="Arial"/>
        </w:rPr>
        <w:t>Níže uvádíme přehled všech zjištěných nebo předpokládaných záporných vlivů na životní prostředí a opatření pro jejich snížení nebo kompenzaci, která jsou v souvislosti s těmito identifikovanými negativními vlivy navrhována.</w:t>
      </w:r>
    </w:p>
    <w:p w14:paraId="183D2436" w14:textId="77777777" w:rsidR="00573E07" w:rsidRPr="00111F34" w:rsidRDefault="00573E07" w:rsidP="00573E07">
      <w:pPr>
        <w:rPr>
          <w:rFonts w:cs="Arial"/>
        </w:rPr>
      </w:pPr>
      <w:r w:rsidRPr="00111F34">
        <w:rPr>
          <w:rFonts w:cs="Arial"/>
        </w:rPr>
        <w:t>Identifikovány byly následující negativní vlivy:</w:t>
      </w:r>
    </w:p>
    <w:p w14:paraId="22622364" w14:textId="4345FE77" w:rsidR="00D233F8" w:rsidRPr="00111F34" w:rsidRDefault="00D233F8">
      <w:pPr>
        <w:pStyle w:val="Odstavecseseznamem"/>
        <w:numPr>
          <w:ilvl w:val="0"/>
          <w:numId w:val="41"/>
        </w:numPr>
        <w:rPr>
          <w:rFonts w:cs="Arial"/>
        </w:rPr>
      </w:pPr>
      <w:bookmarkStart w:id="310" w:name="_Hlk139972535"/>
      <w:r w:rsidRPr="00111F34">
        <w:rPr>
          <w:rFonts w:cs="Arial"/>
        </w:rPr>
        <w:t>Mírně negativní vliv na faunu, flóru, biodiverzitu a ochranu přírody a krajiny</w:t>
      </w:r>
    </w:p>
    <w:p w14:paraId="023995C5" w14:textId="534335B9" w:rsidR="00D233F8" w:rsidRPr="00111F34" w:rsidRDefault="00D233F8">
      <w:pPr>
        <w:pStyle w:val="Odstavecseseznamem"/>
        <w:numPr>
          <w:ilvl w:val="0"/>
          <w:numId w:val="41"/>
        </w:numPr>
        <w:rPr>
          <w:rFonts w:cs="Arial"/>
        </w:rPr>
      </w:pPr>
      <w:r w:rsidRPr="00111F34">
        <w:rPr>
          <w:rFonts w:cs="Arial"/>
        </w:rPr>
        <w:t>Mírně negativní vliv na půdu</w:t>
      </w:r>
    </w:p>
    <w:p w14:paraId="2032C610" w14:textId="6F3FEB7A" w:rsidR="00573E07" w:rsidRPr="00111F34" w:rsidRDefault="00573E07">
      <w:pPr>
        <w:pStyle w:val="Odstavecseseznamem"/>
        <w:numPr>
          <w:ilvl w:val="0"/>
          <w:numId w:val="41"/>
        </w:numPr>
        <w:rPr>
          <w:rFonts w:cs="Arial"/>
        </w:rPr>
      </w:pPr>
      <w:r w:rsidRPr="00111F34">
        <w:rPr>
          <w:rFonts w:cs="Arial"/>
        </w:rPr>
        <w:t>Mírně negativní vliv na horninové prostředí</w:t>
      </w:r>
    </w:p>
    <w:p w14:paraId="56E50C02" w14:textId="7F08986E" w:rsidR="00573E07" w:rsidRPr="00111F34" w:rsidRDefault="00573E07">
      <w:pPr>
        <w:pStyle w:val="Odstavecseseznamem"/>
        <w:numPr>
          <w:ilvl w:val="0"/>
          <w:numId w:val="41"/>
        </w:numPr>
        <w:rPr>
          <w:rFonts w:cs="Arial"/>
        </w:rPr>
      </w:pPr>
      <w:r w:rsidRPr="00111F34">
        <w:rPr>
          <w:rFonts w:cs="Arial"/>
        </w:rPr>
        <w:t xml:space="preserve">Mírně negativní vliv na retenční funkci krajiny </w:t>
      </w:r>
      <w:r w:rsidR="00D233F8" w:rsidRPr="00111F34">
        <w:rPr>
          <w:rFonts w:cs="Arial"/>
        </w:rPr>
        <w:t xml:space="preserve">se synergickým spolupůsobením </w:t>
      </w:r>
    </w:p>
    <w:p w14:paraId="2C0A8B69" w14:textId="437FE207" w:rsidR="00573E07" w:rsidRPr="00111F34" w:rsidRDefault="00573E07">
      <w:pPr>
        <w:pStyle w:val="Odstavecseseznamem"/>
        <w:numPr>
          <w:ilvl w:val="0"/>
          <w:numId w:val="41"/>
        </w:numPr>
        <w:rPr>
          <w:rFonts w:cs="Arial"/>
        </w:rPr>
      </w:pPr>
      <w:r w:rsidRPr="00111F34">
        <w:rPr>
          <w:rFonts w:cs="Arial"/>
        </w:rPr>
        <w:t xml:space="preserve">Mírně negativní vliv na klima </w:t>
      </w:r>
    </w:p>
    <w:p w14:paraId="2B92F717" w14:textId="57854790" w:rsidR="00573E07" w:rsidRPr="00111F34" w:rsidRDefault="00573E07">
      <w:pPr>
        <w:pStyle w:val="Odstavecseseznamem"/>
        <w:numPr>
          <w:ilvl w:val="0"/>
          <w:numId w:val="41"/>
        </w:numPr>
        <w:rPr>
          <w:rFonts w:cs="Arial"/>
        </w:rPr>
      </w:pPr>
      <w:r w:rsidRPr="00111F34">
        <w:rPr>
          <w:rFonts w:cs="Arial"/>
        </w:rPr>
        <w:t>Mírně negativní vliv na hlukovou zátěž se synergickým spolupůsobením</w:t>
      </w:r>
    </w:p>
    <w:p w14:paraId="628CDAB1" w14:textId="127C2377" w:rsidR="00D233F8" w:rsidRPr="00111F34" w:rsidRDefault="00D233F8">
      <w:pPr>
        <w:pStyle w:val="Odstavecseseznamem"/>
        <w:numPr>
          <w:ilvl w:val="0"/>
          <w:numId w:val="41"/>
        </w:numPr>
        <w:rPr>
          <w:rFonts w:cs="Arial"/>
        </w:rPr>
      </w:pPr>
      <w:r w:rsidRPr="00111F34">
        <w:rPr>
          <w:rFonts w:cs="Arial"/>
        </w:rPr>
        <w:t>Mírně negativní vliv na kulturní dědictví</w:t>
      </w:r>
    </w:p>
    <w:p w14:paraId="4392B65E" w14:textId="394F8A9E" w:rsidR="00D233F8" w:rsidRPr="00111F34" w:rsidRDefault="00D233F8">
      <w:pPr>
        <w:pStyle w:val="Odstavecseseznamem"/>
        <w:numPr>
          <w:ilvl w:val="0"/>
          <w:numId w:val="41"/>
        </w:numPr>
        <w:rPr>
          <w:rFonts w:cs="Arial"/>
        </w:rPr>
      </w:pPr>
      <w:r w:rsidRPr="00111F34">
        <w:rPr>
          <w:rFonts w:cs="Arial"/>
        </w:rPr>
        <w:t>Mírně negativní vliv na krajinný ráz se synergickým spolupůsobením</w:t>
      </w:r>
    </w:p>
    <w:bookmarkEnd w:id="310"/>
    <w:p w14:paraId="1034839F" w14:textId="24AC698E" w:rsidR="00573E07" w:rsidRPr="00111F34" w:rsidRDefault="00573E07" w:rsidP="00573E07">
      <w:pPr>
        <w:rPr>
          <w:rFonts w:cs="Arial"/>
        </w:rPr>
      </w:pPr>
      <w:r w:rsidRPr="00111F34">
        <w:rPr>
          <w:rFonts w:cs="Arial"/>
        </w:rPr>
        <w:t>Návrhy opatření k vyloučení, omezení, případně kompenzaci identifikovaných negativních vlivů jsou formulovány na základě zjištění a vyhodnocení potenciálních vlivů provedených v kap. A.VI. a A.VII. Uvedená opatření jsou rozdělena dle jejich charakteru na opatření, která vyplývají z legislativy a opatření, která vyplynula ze SEA, členěno dle jednotlivých sledovaných složek životního prostředí a veřejného zdraví a problémových okruhů územního plánování.</w:t>
      </w:r>
    </w:p>
    <w:p w14:paraId="17E38537" w14:textId="401AF0F3" w:rsidR="00E90855" w:rsidRPr="00111F34" w:rsidRDefault="00E90855" w:rsidP="00E90855">
      <w:pPr>
        <w:pStyle w:val="Podnadpis10"/>
        <w:rPr>
          <w:lang w:val="cs-CZ"/>
        </w:rPr>
      </w:pPr>
      <w:r w:rsidRPr="00111F34">
        <w:t xml:space="preserve">Složková </w:t>
      </w:r>
      <w:r w:rsidR="004941CF" w:rsidRPr="00111F34">
        <w:rPr>
          <w:lang w:val="cs-CZ"/>
        </w:rPr>
        <w:t>opatření</w:t>
      </w:r>
    </w:p>
    <w:p w14:paraId="0BAA97B8" w14:textId="58F265FF" w:rsidR="00A332E5" w:rsidRPr="00111F34" w:rsidRDefault="00A332E5" w:rsidP="00A332E5">
      <w:pPr>
        <w:pStyle w:val="Podnadpis1"/>
      </w:pPr>
      <w:bookmarkStart w:id="311" w:name="_Hlk139972725"/>
      <w:r w:rsidRPr="00111F34">
        <w:t>Fauna, flóra, biodiverzita, ochrana přírody a krajiny</w:t>
      </w:r>
    </w:p>
    <w:p w14:paraId="2A8B327B" w14:textId="57C3946D" w:rsidR="00A332E5" w:rsidRPr="00111F34" w:rsidRDefault="00A332E5" w:rsidP="00760A82">
      <w:pPr>
        <w:pStyle w:val="Odrky1"/>
        <w:spacing w:before="120"/>
        <w:ind w:left="357" w:hanging="357"/>
        <w:rPr>
          <w:lang w:eastAsia="cs-CZ"/>
        </w:rPr>
      </w:pPr>
      <w:bookmarkStart w:id="312" w:name="_Hlk139972814"/>
      <w:bookmarkEnd w:id="311"/>
      <w:r w:rsidRPr="00111F34">
        <w:rPr>
          <w:lang w:eastAsia="cs-CZ"/>
        </w:rPr>
        <w:t xml:space="preserve">Identifikován potenciálně mírně negativní vliv s místním dopadem vůči ohniskům biodiverzity a mimolesní zeleni v kontextu stávajícího využití území – především zastavěných a zpevněných ploch a brownfields s nízkým podílem zeleně z hlediska potenciálu </w:t>
      </w:r>
      <w:r w:rsidR="00A77562" w:rsidRPr="00111F34">
        <w:rPr>
          <w:lang w:eastAsia="cs-CZ"/>
        </w:rPr>
        <w:t xml:space="preserve">změny </w:t>
      </w:r>
      <w:r w:rsidRPr="00111F34">
        <w:rPr>
          <w:lang w:eastAsia="cs-CZ"/>
        </w:rPr>
        <w:t>pro kácení zeleně především podél ulice Kamýcká a transformace ploch se stávajícím zastoupením mimolesní zeleně v prostoru Nového Sedlce</w:t>
      </w:r>
      <w:r w:rsidR="00A77562" w:rsidRPr="00111F34">
        <w:rPr>
          <w:lang w:eastAsia="cs-CZ"/>
        </w:rPr>
        <w:t xml:space="preserve"> a nepřímému působení zlepšení prostupnosti území na potenciální návštěvnosti PP Podbabské skály</w:t>
      </w:r>
      <w:r w:rsidRPr="00111F34">
        <w:rPr>
          <w:lang w:eastAsia="cs-CZ"/>
        </w:rPr>
        <w:t>.</w:t>
      </w:r>
    </w:p>
    <w:p w14:paraId="391C5AD9" w14:textId="40A39C0E" w:rsidR="00A332E5" w:rsidRPr="00111F34" w:rsidRDefault="00A332E5" w:rsidP="00A332E5">
      <w:pPr>
        <w:rPr>
          <w:lang w:eastAsia="cs-CZ"/>
        </w:rPr>
      </w:pPr>
      <w:r w:rsidRPr="00111F34">
        <w:rPr>
          <w:lang w:eastAsia="cs-CZ"/>
        </w:rPr>
        <w:t xml:space="preserve">V posuzované změně obsažená </w:t>
      </w:r>
      <w:r w:rsidR="00D8692E" w:rsidRPr="00111F34">
        <w:rPr>
          <w:lang w:eastAsia="cs-CZ"/>
        </w:rPr>
        <w:t xml:space="preserve">územně plánovací </w:t>
      </w:r>
      <w:r w:rsidRPr="00111F34">
        <w:rPr>
          <w:lang w:eastAsia="cs-CZ"/>
        </w:rPr>
        <w:t>opatření</w:t>
      </w:r>
      <w:r w:rsidR="00D8692E" w:rsidRPr="00111F34">
        <w:rPr>
          <w:lang w:eastAsia="cs-CZ"/>
        </w:rPr>
        <w:t xml:space="preserve"> pro minimalizaci vlivů</w:t>
      </w:r>
      <w:r w:rsidRPr="00111F34">
        <w:rPr>
          <w:lang w:eastAsia="cs-CZ"/>
        </w:rPr>
        <w:t xml:space="preserve">: vymezení ploch zeleně ZMK a ZP, stabilizace systému zeleně, vymezení biocentra, zlepšení propojení systému SCZ a prostupnosti území. </w:t>
      </w:r>
    </w:p>
    <w:p w14:paraId="0FD5F939" w14:textId="77777777" w:rsidR="00A332E5" w:rsidRPr="00111F34" w:rsidRDefault="00A332E5" w:rsidP="00A332E5">
      <w:r w:rsidRPr="00111F34">
        <w:t xml:space="preserve">Navrhovaná zmírňující opatření vyplývající ze SEA, která je možné uplatnit v navazujících řízeních: </w:t>
      </w:r>
    </w:p>
    <w:p w14:paraId="1EC6B0A3" w14:textId="0023CF46" w:rsidR="00A332E5" w:rsidRPr="00111F34" w:rsidRDefault="00A332E5" w:rsidP="00A332E5">
      <w:pPr>
        <w:pStyle w:val="Odrky1"/>
        <w:numPr>
          <w:ilvl w:val="0"/>
          <w:numId w:val="0"/>
        </w:numPr>
        <w:spacing w:before="120"/>
        <w:ind w:left="360" w:hanging="360"/>
        <w:rPr>
          <w:lang w:eastAsia="cs-CZ"/>
        </w:rPr>
      </w:pPr>
      <w:r w:rsidRPr="00111F34">
        <w:rPr>
          <w:lang w:eastAsia="cs-CZ"/>
        </w:rPr>
        <w:lastRenderedPageBreak/>
        <w:t>•</w:t>
      </w:r>
      <w:r w:rsidRPr="00111F34">
        <w:rPr>
          <w:lang w:eastAsia="cs-CZ"/>
        </w:rPr>
        <w:tab/>
        <w:t xml:space="preserve">V případě kácení vzrostlé zeleně provést adekvátní náhradní výsadbu. V navazujících řízeních dbát na maximální zastínění nově vznikajících betonových povrchů a realizaci vzrostlé zeleně (stromového patra) v uličních prostranstvích, vnitroblocích a plochách ZMK a ZP. (Jedná se o doporučené opatření z hlediska identifikovaného mírně negativního vlivu vůči stávající zeleni v území, které nelze uplatnit přímo na úrovni výrokové části posuzované ÚPD, částečně vyplývá z legislativních požadavků v oblasti ochrany ovzduší – náhradní výsadba). </w:t>
      </w:r>
    </w:p>
    <w:p w14:paraId="534BB244" w14:textId="39E16F4E" w:rsidR="00A332E5" w:rsidRPr="00111F34" w:rsidRDefault="00A332E5" w:rsidP="00A332E5">
      <w:pPr>
        <w:pStyle w:val="Odrky1"/>
        <w:numPr>
          <w:ilvl w:val="0"/>
          <w:numId w:val="50"/>
        </w:numPr>
        <w:spacing w:before="120"/>
        <w:ind w:left="284" w:hanging="284"/>
        <w:rPr>
          <w:lang w:eastAsia="cs-CZ"/>
        </w:rPr>
      </w:pPr>
      <w:r w:rsidRPr="00111F34">
        <w:rPr>
          <w:lang w:eastAsia="cs-CZ"/>
        </w:rPr>
        <w:t>Provést managementová a organizační opatření pro ochranu horní partie Podbabských skal před zvýšenou návštěvností. Koordinovat stavební činnost v okolí s příslušnými orgány ochrany přírody. (Jedná se o opatření mimo podrobnost územního plánu, která je možné uplatnit v rámci aktualizace plánu péče o EVL Kaňon Vltavy u Sedlce. a PP Podbabské Skály</w:t>
      </w:r>
      <w:r w:rsidR="00A77562" w:rsidRPr="00111F34">
        <w:rPr>
          <w:lang w:eastAsia="cs-CZ"/>
        </w:rPr>
        <w:t>, např. instalace cedulí zamezujících vstup na horní partii skal)</w:t>
      </w:r>
      <w:r w:rsidRPr="00111F34">
        <w:rPr>
          <w:lang w:eastAsia="cs-CZ"/>
        </w:rPr>
        <w:t xml:space="preserve">. </w:t>
      </w:r>
    </w:p>
    <w:p w14:paraId="47732825" w14:textId="4BBA97D2" w:rsidR="00A332E5" w:rsidRPr="00111F34" w:rsidRDefault="00A332E5" w:rsidP="00A332E5">
      <w:r w:rsidRPr="00111F34">
        <w:t>Odůvodnění: Vymezené plochy z hlediska zásahu do stávající zeleně i zeleně vymezené v platném ÚPD</w:t>
      </w:r>
      <w:r w:rsidR="00E96AF9">
        <w:t xml:space="preserve"> jsou</w:t>
      </w:r>
      <w:r w:rsidR="007D7104">
        <w:t xml:space="preserve"> </w:t>
      </w:r>
      <w:r w:rsidRPr="00111F34">
        <w:t>optimalizovány z hlediska propojení CSZ, vymezení parkových ploch a ploch krajinné a izolační zeleně a jejich vzájemné propojení a návaznost na okolí. Tato obsažená opatření na úrovni posuzované změny považujeme z hlediska potenciálního vlivu na biotickou složku krajiny za dostatečná a navrhujeme je v navazující fázi projektové přípravy doplnit o výše zmíněná opatření uplatnitelná při územním řízení a realizaci stavby</w:t>
      </w:r>
      <w:r w:rsidR="00A77562" w:rsidRPr="00111F34">
        <w:t xml:space="preserve"> a v rámci péče o PP Podbabské skály</w:t>
      </w:r>
      <w:r w:rsidRPr="00111F34">
        <w:t>.</w:t>
      </w:r>
    </w:p>
    <w:p w14:paraId="6CC0D375" w14:textId="0629287D" w:rsidR="00E442E1" w:rsidRPr="00111F34" w:rsidRDefault="00E442E1" w:rsidP="00E442E1">
      <w:pPr>
        <w:pStyle w:val="Podnadpis1"/>
      </w:pPr>
      <w:bookmarkStart w:id="313" w:name="_Toc30188467"/>
      <w:bookmarkStart w:id="314" w:name="_Toc29298366"/>
      <w:bookmarkEnd w:id="312"/>
      <w:bookmarkEnd w:id="313"/>
      <w:r w:rsidRPr="00111F34">
        <w:t>Ovzduší</w:t>
      </w:r>
      <w:r w:rsidR="00573E07" w:rsidRPr="00111F34">
        <w:t xml:space="preserve"> a klima</w:t>
      </w:r>
    </w:p>
    <w:p w14:paraId="7402EB92" w14:textId="2F4220E7" w:rsidR="00573E07" w:rsidRPr="00111F34" w:rsidRDefault="00573E07" w:rsidP="00760A82">
      <w:pPr>
        <w:pStyle w:val="Odrky1"/>
        <w:spacing w:before="120"/>
        <w:ind w:left="357" w:hanging="357"/>
        <w:rPr>
          <w:lang w:eastAsia="cs-CZ"/>
        </w:rPr>
      </w:pPr>
      <w:bookmarkStart w:id="315" w:name="_Hlk139973065"/>
      <w:r w:rsidRPr="00111F34">
        <w:rPr>
          <w:lang w:eastAsia="cs-CZ"/>
        </w:rPr>
        <w:t>Identifikován potenciálně mírně negativní vliv s místním dopadem vůči mikroklimatu v kontextu stávajícího využití území – především zastavěných a zpevněných ploch a brownfields s nízkým podílem zeleně z hlediska zvyšování teplot povrchů a rozšiřování tepelného působení městského ostrova v důsledku zintenzivnění zastavění území, kterému je posuzovanou změnou dáván rámec.</w:t>
      </w:r>
      <w:r w:rsidR="00FA67CE" w:rsidRPr="00111F34">
        <w:rPr>
          <w:lang w:eastAsia="cs-CZ"/>
        </w:rPr>
        <w:t xml:space="preserve"> </w:t>
      </w:r>
    </w:p>
    <w:p w14:paraId="1D49A066" w14:textId="15A2456D" w:rsidR="00573E07" w:rsidRPr="00111F34" w:rsidRDefault="00D8692E" w:rsidP="00573E07">
      <w:pPr>
        <w:rPr>
          <w:lang w:eastAsia="cs-CZ"/>
        </w:rPr>
      </w:pPr>
      <w:r w:rsidRPr="00111F34">
        <w:rPr>
          <w:lang w:eastAsia="cs-CZ"/>
        </w:rPr>
        <w:t xml:space="preserve">V posuzované změně obsažená územně plánovací opatření pro minimalizaci vlivů: </w:t>
      </w:r>
      <w:r w:rsidR="00573E07" w:rsidRPr="00111F34">
        <w:rPr>
          <w:lang w:eastAsia="cs-CZ"/>
        </w:rPr>
        <w:t>vymezení ploch zeleně ZMK a ZP, stabilizace systému zeleně.</w:t>
      </w:r>
      <w:r w:rsidR="00FA67CE" w:rsidRPr="00111F34">
        <w:rPr>
          <w:lang w:eastAsia="cs-CZ"/>
        </w:rPr>
        <w:t xml:space="preserve"> Vytvoření územních předpokladů pro realizaci TT, dopravního terminálu a P+R spolu s koordinací SOKP: Změna samotná je opatřením pro snížení emisí CO</w:t>
      </w:r>
      <w:r w:rsidR="00FA67CE" w:rsidRPr="00111F34">
        <w:rPr>
          <w:vertAlign w:val="subscript"/>
          <w:lang w:eastAsia="cs-CZ"/>
        </w:rPr>
        <w:t>2</w:t>
      </w:r>
      <w:r w:rsidR="00FA67CE" w:rsidRPr="00111F34">
        <w:rPr>
          <w:lang w:eastAsia="cs-CZ"/>
        </w:rPr>
        <w:t>.</w:t>
      </w:r>
    </w:p>
    <w:p w14:paraId="63EA4D23" w14:textId="77777777" w:rsidR="00573E07" w:rsidRPr="00111F34" w:rsidRDefault="00573E07" w:rsidP="00573E07">
      <w:r w:rsidRPr="00111F34">
        <w:t xml:space="preserve">Navrhovaná zmírňující opatření vyplývající ze SEA, která je možné uplatnit v navazujících řízeních: </w:t>
      </w:r>
    </w:p>
    <w:p w14:paraId="3672AEF5" w14:textId="34AC612E" w:rsidR="00F6674D" w:rsidRPr="00111F34" w:rsidRDefault="00F6674D" w:rsidP="00F6674D">
      <w:pPr>
        <w:pStyle w:val="Odrky1"/>
        <w:numPr>
          <w:ilvl w:val="0"/>
          <w:numId w:val="0"/>
        </w:numPr>
        <w:spacing w:before="120"/>
        <w:ind w:left="360" w:hanging="360"/>
        <w:rPr>
          <w:lang w:eastAsia="cs-CZ"/>
        </w:rPr>
      </w:pPr>
      <w:r w:rsidRPr="00111F34">
        <w:rPr>
          <w:lang w:eastAsia="cs-CZ"/>
        </w:rPr>
        <w:t>•</w:t>
      </w:r>
      <w:r w:rsidRPr="00111F34">
        <w:rPr>
          <w:lang w:eastAsia="cs-CZ"/>
        </w:rPr>
        <w:tab/>
        <w:t xml:space="preserve">V případě kácení vzrostlé zeleně provést adekvátní náhradní výsadbu. V navazujících řízeních dbát na maximální zastínění nově vznikajících betonových povrchů a realizaci vzrostlé zeleně (stromového patra) v uličních prostranstvích, vnitroblocích a plochách ZMK a ZP. (Jedná se o doporučené opatření z hlediska identifikovaného mírně negativního vlivu vůči rozšiřování tepelného ostrova města, které nelze uplatnit přímo na úrovni </w:t>
      </w:r>
      <w:r w:rsidR="003E48DA" w:rsidRPr="00111F34">
        <w:rPr>
          <w:lang w:eastAsia="cs-CZ"/>
        </w:rPr>
        <w:t xml:space="preserve">výrokové části </w:t>
      </w:r>
      <w:r w:rsidRPr="00111F34">
        <w:rPr>
          <w:lang w:eastAsia="cs-CZ"/>
        </w:rPr>
        <w:t xml:space="preserve">posuzované ÚPD, </w:t>
      </w:r>
      <w:r w:rsidR="003E48DA" w:rsidRPr="00111F34">
        <w:rPr>
          <w:lang w:eastAsia="cs-CZ"/>
        </w:rPr>
        <w:t>částečně vyplývá</w:t>
      </w:r>
      <w:r w:rsidRPr="00111F34">
        <w:rPr>
          <w:lang w:eastAsia="cs-CZ"/>
        </w:rPr>
        <w:t xml:space="preserve"> z legislativních požadavků v oblasti ochrany ovzduší</w:t>
      </w:r>
      <w:r w:rsidR="003E48DA" w:rsidRPr="00111F34">
        <w:rPr>
          <w:lang w:eastAsia="cs-CZ"/>
        </w:rPr>
        <w:t xml:space="preserve"> – náhradní výsadba</w:t>
      </w:r>
      <w:r w:rsidRPr="00111F34">
        <w:rPr>
          <w:lang w:eastAsia="cs-CZ"/>
        </w:rPr>
        <w:t xml:space="preserve">). </w:t>
      </w:r>
    </w:p>
    <w:bookmarkEnd w:id="315"/>
    <w:p w14:paraId="519BA9BA" w14:textId="4E8DFCFC" w:rsidR="00F6674D" w:rsidRPr="00111F34" w:rsidRDefault="00F6674D" w:rsidP="00F6674D">
      <w:r w:rsidRPr="00111F34">
        <w:t xml:space="preserve">Odůvodnění: </w:t>
      </w:r>
      <w:r w:rsidR="009A0D2F" w:rsidRPr="00111F34">
        <w:t>Vymezené plochy</w:t>
      </w:r>
      <w:r w:rsidRPr="00111F34">
        <w:t xml:space="preserve"> z hlediska zásahu do stávající zeleně i zeleně vymezené v platném ÚPD </w:t>
      </w:r>
      <w:r w:rsidR="00E96AF9">
        <w:t xml:space="preserve">jsou </w:t>
      </w:r>
      <w:r w:rsidRPr="00111F34">
        <w:t xml:space="preserve">optimalizovány z hlediska propojení CSZ, </w:t>
      </w:r>
      <w:r w:rsidR="00FA67CE" w:rsidRPr="00111F34">
        <w:t xml:space="preserve">vymezení parkových ploch a ploch krajinné a izolační zeleně a jejich vzájemné propojení a návaznost na okolí. </w:t>
      </w:r>
      <w:r w:rsidRPr="00111F34">
        <w:t xml:space="preserve">Územní plán obsahuje obecné regulativy ohledně hospodaření s dešťovou vodu a odkanalizování území. Tato obsažená opatření na úrovni posuzované </w:t>
      </w:r>
      <w:r w:rsidR="00A77562" w:rsidRPr="00111F34">
        <w:t>ÚPD</w:t>
      </w:r>
      <w:r w:rsidRPr="00111F34">
        <w:t xml:space="preserve"> považujeme </w:t>
      </w:r>
      <w:r w:rsidR="00FA67CE" w:rsidRPr="00111F34">
        <w:t xml:space="preserve">z hlediska potenciálního vlivu na klima </w:t>
      </w:r>
      <w:r w:rsidRPr="00111F34">
        <w:t>za dostatečná a navrhujeme je v navazující fázi projektové přípravy doplnit o výše zmíněná opatření uplatnitelná při územním řízení a realizaci stavby.</w:t>
      </w:r>
    </w:p>
    <w:p w14:paraId="287111F4" w14:textId="4B557F17" w:rsidR="00E442E1" w:rsidRPr="00111F34" w:rsidRDefault="00F6674D" w:rsidP="00E442E1">
      <w:pPr>
        <w:pStyle w:val="Podnadpis1"/>
      </w:pPr>
      <w:r w:rsidRPr="00111F34">
        <w:t>Voda</w:t>
      </w:r>
    </w:p>
    <w:p w14:paraId="47860F31" w14:textId="0A538870" w:rsidR="00F6674D" w:rsidRPr="00111F34" w:rsidRDefault="00F6674D" w:rsidP="00760A82">
      <w:pPr>
        <w:pStyle w:val="Odrky1"/>
        <w:spacing w:before="120"/>
        <w:ind w:left="357" w:hanging="357"/>
        <w:rPr>
          <w:lang w:eastAsia="cs-CZ"/>
        </w:rPr>
      </w:pPr>
      <w:bookmarkStart w:id="316" w:name="_Hlk139973234"/>
      <w:r w:rsidRPr="00111F34">
        <w:rPr>
          <w:lang w:eastAsia="cs-CZ"/>
        </w:rPr>
        <w:t>Identifikován potenciálně mírně negativní vliv s místním dopadem</w:t>
      </w:r>
      <w:r w:rsidR="00822DEB" w:rsidRPr="00111F34">
        <w:rPr>
          <w:lang w:eastAsia="cs-CZ"/>
        </w:rPr>
        <w:t xml:space="preserve"> a mírně negativním spolupůsobením</w:t>
      </w:r>
      <w:r w:rsidRPr="00111F34">
        <w:rPr>
          <w:lang w:eastAsia="cs-CZ"/>
        </w:rPr>
        <w:t xml:space="preserve"> vůči retenční schopnosti území v kontextu stávajícího využití území</w:t>
      </w:r>
      <w:r w:rsidR="009A0D2F" w:rsidRPr="00111F34">
        <w:rPr>
          <w:lang w:eastAsia="cs-CZ"/>
        </w:rPr>
        <w:t xml:space="preserve"> </w:t>
      </w:r>
      <w:r w:rsidRPr="00111F34">
        <w:rPr>
          <w:lang w:eastAsia="cs-CZ"/>
        </w:rPr>
        <w:t>a</w:t>
      </w:r>
      <w:r w:rsidR="00822DEB" w:rsidRPr="00111F34">
        <w:rPr>
          <w:lang w:eastAsia="cs-CZ"/>
        </w:rPr>
        <w:t xml:space="preserve"> zvýšení rozsahu zastavitelných ploch</w:t>
      </w:r>
      <w:r w:rsidRPr="00111F34">
        <w:rPr>
          <w:lang w:eastAsia="cs-CZ"/>
        </w:rPr>
        <w:t xml:space="preserve"> v důsledku projednávané změn</w:t>
      </w:r>
      <w:r w:rsidR="009A0D2F" w:rsidRPr="00111F34">
        <w:rPr>
          <w:lang w:eastAsia="cs-CZ"/>
        </w:rPr>
        <w:t>y</w:t>
      </w:r>
      <w:r w:rsidRPr="00111F34">
        <w:rPr>
          <w:lang w:eastAsia="cs-CZ"/>
        </w:rPr>
        <w:t xml:space="preserve"> v důsledku zintenzivnění </w:t>
      </w:r>
      <w:r w:rsidR="00822DEB" w:rsidRPr="00111F34">
        <w:rPr>
          <w:lang w:eastAsia="cs-CZ"/>
        </w:rPr>
        <w:t>využití</w:t>
      </w:r>
      <w:r w:rsidRPr="00111F34">
        <w:rPr>
          <w:lang w:eastAsia="cs-CZ"/>
        </w:rPr>
        <w:t xml:space="preserve"> území, kterému je posuzovanou změnou dáván rámec.</w:t>
      </w:r>
    </w:p>
    <w:p w14:paraId="7D01B6D8" w14:textId="6AF79134" w:rsidR="00F6674D" w:rsidRPr="00111F34" w:rsidRDefault="00D8692E" w:rsidP="00F6674D">
      <w:pPr>
        <w:rPr>
          <w:lang w:eastAsia="cs-CZ"/>
        </w:rPr>
      </w:pPr>
      <w:r w:rsidRPr="00111F34">
        <w:rPr>
          <w:lang w:eastAsia="cs-CZ"/>
        </w:rPr>
        <w:t xml:space="preserve">V posuzované změně obsažená územně plánovací opatření pro minimalizaci vlivů: </w:t>
      </w:r>
      <w:r w:rsidR="00F6674D" w:rsidRPr="00111F34">
        <w:rPr>
          <w:lang w:eastAsia="cs-CZ"/>
        </w:rPr>
        <w:t>vymezení ploch zeleně ZMK a ZP, stabilizace systému zeleně</w:t>
      </w:r>
      <w:r w:rsidR="00822DEB" w:rsidRPr="00111F34">
        <w:rPr>
          <w:lang w:eastAsia="cs-CZ"/>
        </w:rPr>
        <w:t>, transformace ploch DH a VN v Novém Sedlci</w:t>
      </w:r>
      <w:r w:rsidR="00F6674D" w:rsidRPr="00111F34">
        <w:rPr>
          <w:lang w:eastAsia="cs-CZ"/>
        </w:rPr>
        <w:t>.</w:t>
      </w:r>
    </w:p>
    <w:p w14:paraId="45D079D3" w14:textId="77777777" w:rsidR="00F6674D" w:rsidRPr="00111F34" w:rsidRDefault="00F6674D" w:rsidP="00F6674D">
      <w:r w:rsidRPr="00111F34">
        <w:t xml:space="preserve">Navrhovaná zmírňující opatření vyplývající ze SEA, která je možné uplatnit v navazujících řízeních: </w:t>
      </w:r>
    </w:p>
    <w:p w14:paraId="1F402B19" w14:textId="2807A86C" w:rsidR="009A0D2F" w:rsidRPr="00111F34" w:rsidRDefault="00F6674D" w:rsidP="009A0D2F">
      <w:pPr>
        <w:pStyle w:val="Odrky1"/>
        <w:numPr>
          <w:ilvl w:val="0"/>
          <w:numId w:val="0"/>
        </w:numPr>
        <w:spacing w:before="120"/>
        <w:ind w:left="360" w:hanging="360"/>
        <w:rPr>
          <w:lang w:eastAsia="cs-CZ"/>
        </w:rPr>
      </w:pPr>
      <w:r w:rsidRPr="00111F34">
        <w:rPr>
          <w:lang w:eastAsia="cs-CZ"/>
        </w:rPr>
        <w:t>•</w:t>
      </w:r>
      <w:r w:rsidRPr="00111F34">
        <w:rPr>
          <w:lang w:eastAsia="cs-CZ"/>
        </w:rPr>
        <w:tab/>
      </w:r>
      <w:r w:rsidR="009A0D2F" w:rsidRPr="00111F34">
        <w:rPr>
          <w:lang w:eastAsia="cs-CZ"/>
        </w:rPr>
        <w:t>V navazujících řízeních minimalizovat podíl zastavěných a zpevněných povrchů, realizovat modrozelenou infrastrukturu. (Jedná se o doporučené opatření z hlediska identifikovaného mírně negativního vlivu vůči snižování retenční schopnosti území</w:t>
      </w:r>
      <w:r w:rsidR="00822DEB" w:rsidRPr="00111F34">
        <w:rPr>
          <w:lang w:eastAsia="cs-CZ"/>
        </w:rPr>
        <w:t xml:space="preserve"> včetně synergického spolupůsobení</w:t>
      </w:r>
      <w:r w:rsidR="009A0D2F" w:rsidRPr="00111F34">
        <w:rPr>
          <w:lang w:eastAsia="cs-CZ"/>
        </w:rPr>
        <w:t>, které nelze uplatnit přímo na úrovni posuzované ÚPD, vyplývá však z legislativních požadavků na odkanalizování území</w:t>
      </w:r>
      <w:r w:rsidR="00A77562" w:rsidRPr="00111F34">
        <w:rPr>
          <w:lang w:eastAsia="cs-CZ"/>
        </w:rPr>
        <w:t xml:space="preserve"> a hospodaření s dešťovou vodou v rámci pozemků</w:t>
      </w:r>
      <w:r w:rsidR="009A0D2F" w:rsidRPr="00111F34">
        <w:rPr>
          <w:lang w:eastAsia="cs-CZ"/>
        </w:rPr>
        <w:t xml:space="preserve">). </w:t>
      </w:r>
    </w:p>
    <w:bookmarkEnd w:id="316"/>
    <w:p w14:paraId="3C5B16AD" w14:textId="6D5B3A4E" w:rsidR="009A0D2F" w:rsidRPr="00111F34" w:rsidRDefault="009A0D2F" w:rsidP="009A0D2F">
      <w:r w:rsidRPr="00111F34">
        <w:lastRenderedPageBreak/>
        <w:t xml:space="preserve">Odůvodnění: Vymezené plochy </w:t>
      </w:r>
      <w:r w:rsidR="00A77562" w:rsidRPr="00111F34">
        <w:t xml:space="preserve">s rozdílným způsobem využití </w:t>
      </w:r>
      <w:r w:rsidRPr="00111F34">
        <w:t xml:space="preserve">jsou </w:t>
      </w:r>
      <w:r w:rsidR="00A77562" w:rsidRPr="00111F34">
        <w:t xml:space="preserve">převážně </w:t>
      </w:r>
      <w:r w:rsidRPr="00111F34">
        <w:t>zastavitelné stejně jako plochy v platném územním plánu, z hlediska své struktury jsou optimalizovány z hlediska propojení CSZ tak, aby na sebe navazovaly a umožňovaly prostupnost územím a propojení k rozsáhlejším plochám zeleně v souvisejícím území. To umožní rovněž realizaci prvků hospodaření s dešťovou vodou. Územní plán obsahuje obecné regulativy ohledně hospodaření s dešťovou vodu a odkanalizování území. Na druhou stranu dojde v některých částech území ke zvýšení míry intenzity využití území</w:t>
      </w:r>
      <w:r w:rsidR="0057587D" w:rsidRPr="00111F34">
        <w:t>,</w:t>
      </w:r>
      <w:r w:rsidRPr="00111F34">
        <w:t xml:space="preserve"> a tím i snížení koeficientu zeleně jako předpokladu zachování rostlého terénu umožňujícího vsakování</w:t>
      </w:r>
      <w:r w:rsidR="00822DEB" w:rsidRPr="00111F34">
        <w:t>, zároveň dochází i k nahrazení ploch DH a VN plochami s předpokladem vyššího podílu zeleně na rostlém terénu</w:t>
      </w:r>
      <w:r w:rsidRPr="00111F34">
        <w:t xml:space="preserve">. </w:t>
      </w:r>
      <w:r w:rsidR="00A77562" w:rsidRPr="00111F34">
        <w:t>Celkové dopady změny tak považujeme z hlediska retenční schopnosti území spíše za marginální. O</w:t>
      </w:r>
      <w:r w:rsidRPr="00111F34">
        <w:t xml:space="preserve">bsažená opatření na úrovni posuzované </w:t>
      </w:r>
      <w:r w:rsidR="00A77562" w:rsidRPr="00111F34">
        <w:t>ÚPD</w:t>
      </w:r>
      <w:r w:rsidRPr="00111F34">
        <w:t xml:space="preserve"> považujeme za dostatečná a navrhujeme je v navazující fázi projektové přípravy doplnit o výše zmíněná opatření uplatnitelná při územním řízení a realizaci stavby.</w:t>
      </w:r>
    </w:p>
    <w:p w14:paraId="375966F0" w14:textId="33062D6B" w:rsidR="00E442E1" w:rsidRPr="00111F34" w:rsidRDefault="00E442E1" w:rsidP="00E442E1">
      <w:pPr>
        <w:pStyle w:val="Podnadpis1"/>
      </w:pPr>
      <w:r w:rsidRPr="00111F34">
        <w:t>Horninové prostředí a nerostné zdroje</w:t>
      </w:r>
    </w:p>
    <w:p w14:paraId="6671DCC8" w14:textId="38AF0C4D" w:rsidR="00BB52D7" w:rsidRPr="00111F34" w:rsidRDefault="00BB52D7" w:rsidP="00760A82">
      <w:pPr>
        <w:pStyle w:val="Odstavecseseznamem"/>
        <w:numPr>
          <w:ilvl w:val="0"/>
          <w:numId w:val="42"/>
        </w:numPr>
        <w:spacing w:after="160" w:line="259" w:lineRule="auto"/>
        <w:ind w:left="284" w:hanging="284"/>
      </w:pPr>
      <w:r w:rsidRPr="00111F34">
        <w:t>Identifikován mírně negativní vliv z hlediska potenciálního zásahu do horninového prostředí v územích s předpokládanými starými ekologickými zátěžemi</w:t>
      </w:r>
      <w:r w:rsidR="00822DEB" w:rsidRPr="00111F34">
        <w:t xml:space="preserve"> </w:t>
      </w:r>
      <w:bookmarkStart w:id="317" w:name="_Hlk139973354"/>
      <w:r w:rsidR="00822DEB" w:rsidRPr="00111F34">
        <w:t>a geor</w:t>
      </w:r>
      <w:r w:rsidR="00970EA1" w:rsidRPr="00111F34">
        <w:t>i</w:t>
      </w:r>
      <w:r w:rsidR="00822DEB" w:rsidRPr="00111F34">
        <w:t>z</w:t>
      </w:r>
      <w:r w:rsidR="00970EA1" w:rsidRPr="00111F34">
        <w:t>i</w:t>
      </w:r>
      <w:r w:rsidR="00822DEB" w:rsidRPr="00111F34">
        <w:t>ky</w:t>
      </w:r>
      <w:bookmarkEnd w:id="317"/>
      <w:r w:rsidRPr="00111F34">
        <w:t>.</w:t>
      </w:r>
    </w:p>
    <w:p w14:paraId="1C4F7AB4" w14:textId="25C312B2" w:rsidR="00FE78F0" w:rsidRPr="00111F34" w:rsidRDefault="00FE78F0" w:rsidP="00FE78F0">
      <w:pPr>
        <w:spacing w:before="0" w:after="160" w:line="259" w:lineRule="auto"/>
        <w:jc w:val="left"/>
      </w:pPr>
      <w:r w:rsidRPr="00111F34">
        <w:t>V samotné posuzované ÚPD nejsou obsažena zmírňující opatření.</w:t>
      </w:r>
    </w:p>
    <w:p w14:paraId="7AE7BA8F" w14:textId="77777777" w:rsidR="00BB52D7" w:rsidRPr="00111F34" w:rsidRDefault="00BB52D7" w:rsidP="00BB52D7">
      <w:r w:rsidRPr="00111F34">
        <w:t xml:space="preserve">Navrhovaná zmírňující opatření: </w:t>
      </w:r>
    </w:p>
    <w:p w14:paraId="50CBF312" w14:textId="64091ECC" w:rsidR="00BB52D7" w:rsidRPr="00111F34" w:rsidRDefault="00BB52D7" w:rsidP="00BD7256">
      <w:pPr>
        <w:pStyle w:val="Odrka1"/>
        <w:numPr>
          <w:ilvl w:val="0"/>
          <w:numId w:val="45"/>
        </w:numPr>
        <w:jc w:val="both"/>
      </w:pPr>
      <w:r w:rsidRPr="00111F34">
        <w:t>V navazujících řízeních</w:t>
      </w:r>
      <w:bookmarkStart w:id="318" w:name="_Hlk139973409"/>
      <w:r w:rsidRPr="00111F34">
        <w:t xml:space="preserve"> je </w:t>
      </w:r>
      <w:r w:rsidR="003E48DA" w:rsidRPr="00111F34">
        <w:t>třeba</w:t>
      </w:r>
      <w:r w:rsidRPr="00111F34">
        <w:t xml:space="preserve"> zpracovat podrobný </w:t>
      </w:r>
      <w:r w:rsidR="00822DEB" w:rsidRPr="00111F34">
        <w:t xml:space="preserve">inženýrskogeologický, </w:t>
      </w:r>
      <w:r w:rsidRPr="00111F34">
        <w:t>hydrogeologický a</w:t>
      </w:r>
      <w:r w:rsidR="003E48DA" w:rsidRPr="00111F34">
        <w:t xml:space="preserve"> případně</w:t>
      </w:r>
      <w:r w:rsidRPr="00111F34">
        <w:t xml:space="preserve"> sanační průzkum</w:t>
      </w:r>
      <w:r w:rsidR="003E48DA" w:rsidRPr="00111F34">
        <w:t xml:space="preserve"> a v případě prokázání</w:t>
      </w:r>
      <w:r w:rsidR="00822DEB" w:rsidRPr="00111F34">
        <w:t xml:space="preserve"> rizik</w:t>
      </w:r>
      <w:r w:rsidR="003E48DA" w:rsidRPr="00111F34">
        <w:t xml:space="preserve"> je </w:t>
      </w:r>
      <w:r w:rsidRPr="00111F34">
        <w:t>nutné přijmout opatření pro zamezení negativního ovlivnění budoucích staveb</w:t>
      </w:r>
      <w:r w:rsidR="00B065C0" w:rsidRPr="00111F34">
        <w:t xml:space="preserve"> pro bydlení a veřejnou infrastrukturu</w:t>
      </w:r>
      <w:r w:rsidRPr="00111F34">
        <w:t>, resp. jejich uživatelů např. pomocí odtěžení kontaminovaných zemin a jejich likvidace v souladu se zákonem o odpadech</w:t>
      </w:r>
      <w:r w:rsidR="00822DEB" w:rsidRPr="00111F34">
        <w:t xml:space="preserve"> nebo</w:t>
      </w:r>
      <w:r w:rsidR="00B065C0" w:rsidRPr="00111F34">
        <w:t xml:space="preserve"> stanovení bezpečných</w:t>
      </w:r>
      <w:r w:rsidR="00822DEB" w:rsidRPr="00111F34">
        <w:t xml:space="preserve"> zakládacích podmínek staveb</w:t>
      </w:r>
      <w:r w:rsidRPr="00111F34">
        <w:t>.</w:t>
      </w:r>
    </w:p>
    <w:p w14:paraId="79184385" w14:textId="2740A22A" w:rsidR="00BB52D7" w:rsidRPr="00111F34" w:rsidRDefault="00BB52D7" w:rsidP="00BB52D7">
      <w:bookmarkStart w:id="319" w:name="_Hlk116376617"/>
      <w:bookmarkEnd w:id="318"/>
      <w:r w:rsidRPr="00111F34">
        <w:t xml:space="preserve">Odůvodnění: V navazující fázi projektové přípravy staveb umisťovaných v plochách s rizikem kontaminace </w:t>
      </w:r>
      <w:r w:rsidR="00E409D2" w:rsidRPr="00111F34">
        <w:t>(</w:t>
      </w:r>
      <w:r w:rsidRPr="00111F34">
        <w:t xml:space="preserve">tj. </w:t>
      </w:r>
      <w:r w:rsidR="00822DEB" w:rsidRPr="00111F34">
        <w:t>prostor bývalých těžeben s provedenými terénními úpravami a navážkami</w:t>
      </w:r>
      <w:r w:rsidR="00B065C0" w:rsidRPr="00111F34">
        <w:t>)</w:t>
      </w:r>
      <w:r w:rsidRPr="00111F34">
        <w:t xml:space="preserve"> je třeba provést podrobný </w:t>
      </w:r>
      <w:r w:rsidR="00822DEB" w:rsidRPr="00111F34">
        <w:t xml:space="preserve">inženýrskogeologický a </w:t>
      </w:r>
      <w:r w:rsidRPr="00111F34">
        <w:t xml:space="preserve">hydrogeologický </w:t>
      </w:r>
      <w:r w:rsidR="00E409D2" w:rsidRPr="00111F34">
        <w:t xml:space="preserve">průzkum a v případě prokázání </w:t>
      </w:r>
      <w:r w:rsidR="00822DEB" w:rsidRPr="00111F34">
        <w:t>rizik</w:t>
      </w:r>
      <w:r w:rsidR="00E409D2" w:rsidRPr="00111F34">
        <w:t xml:space="preserve"> provést rizikovou analýzu a navrhnout sanační opatření pro zamezení identifikovaných rizik.</w:t>
      </w:r>
      <w:bookmarkEnd w:id="319"/>
      <w:r w:rsidR="00B065C0" w:rsidRPr="00111F34">
        <w:t xml:space="preserve"> Toto opatření je třeba uplatnit jako požadavek na rozhodování o změnách v území.</w:t>
      </w:r>
    </w:p>
    <w:p w14:paraId="417849E0" w14:textId="77777777" w:rsidR="00E442E1" w:rsidRPr="00111F34" w:rsidRDefault="00E442E1" w:rsidP="00E442E1">
      <w:pPr>
        <w:pStyle w:val="Podnadpis1"/>
      </w:pPr>
      <w:r w:rsidRPr="00111F34">
        <w:t>Hluk</w:t>
      </w:r>
    </w:p>
    <w:p w14:paraId="35206540" w14:textId="601661DE" w:rsidR="00E409D2" w:rsidRPr="00111F34" w:rsidRDefault="00E409D2" w:rsidP="00760A82">
      <w:pPr>
        <w:pStyle w:val="Odstavecseseznamem"/>
        <w:numPr>
          <w:ilvl w:val="0"/>
          <w:numId w:val="42"/>
        </w:numPr>
        <w:spacing w:after="160" w:line="259" w:lineRule="auto"/>
        <w:ind w:left="284" w:hanging="284"/>
      </w:pPr>
      <w:bookmarkStart w:id="320" w:name="_Hlk135921308"/>
      <w:r w:rsidRPr="00111F34">
        <w:t xml:space="preserve">Identifikován potenciálně mírně negativní vliv </w:t>
      </w:r>
      <w:bookmarkStart w:id="321" w:name="_Hlk139973574"/>
      <w:r w:rsidRPr="00111F34">
        <w:t xml:space="preserve">s dopadem do bezprostředního okolí řešených ploch v místech dopravního napojení se synergickým spolupůsobením v důsledku vložení nového zdroje </w:t>
      </w:r>
      <w:r w:rsidR="0057587D" w:rsidRPr="00111F34">
        <w:t>vyvolané dopravy</w:t>
      </w:r>
      <w:r w:rsidRPr="00111F34">
        <w:t xml:space="preserve"> do území. Mírně negativní spolupůsobení bylo identifikováno z hlediska vložení nových zdrojů vyvolané dopravy do území s ohledem na navrhované zintenzivnění </w:t>
      </w:r>
      <w:r w:rsidR="0039090C" w:rsidRPr="00111F34">
        <w:t xml:space="preserve">využití </w:t>
      </w:r>
      <w:r w:rsidRPr="00111F34">
        <w:t>území</w:t>
      </w:r>
      <w:r w:rsidR="0039090C" w:rsidRPr="00111F34">
        <w:t xml:space="preserve"> a změnu jeho funkce</w:t>
      </w:r>
      <w:r w:rsidR="00F351C3">
        <w:t>.</w:t>
      </w:r>
      <w:r w:rsidRPr="00111F34">
        <w:t xml:space="preserve"> </w:t>
      </w:r>
      <w:r w:rsidR="00F351C3">
        <w:t>N</w:t>
      </w:r>
      <w:r w:rsidRPr="00111F34">
        <w:t>a druhou stranu</w:t>
      </w:r>
      <w:r w:rsidR="005607CA" w:rsidRPr="00111F34">
        <w:t xml:space="preserve"> změna umožní zásadní zlepšení </w:t>
      </w:r>
      <w:r w:rsidRPr="00111F34">
        <w:t>dopravní dostupností hromadnou dopravou</w:t>
      </w:r>
      <w:r w:rsidR="00F351C3">
        <w:t>,</w:t>
      </w:r>
      <w:r w:rsidR="005607CA" w:rsidRPr="00111F34">
        <w:t xml:space="preserve"> včetně řešení přestupních vazeb a kapacit parkování na okraji metropole</w:t>
      </w:r>
      <w:r w:rsidRPr="00111F34">
        <w:t xml:space="preserve">, a tím i prevenci suburbanizace s jí vyvolanými dopravními vztahy kde spolupůsobí především </w:t>
      </w:r>
      <w:r w:rsidR="005607CA" w:rsidRPr="00111F34">
        <w:t>dostav</w:t>
      </w:r>
      <w:r w:rsidR="00B065C0" w:rsidRPr="00111F34">
        <w:t>b</w:t>
      </w:r>
      <w:r w:rsidR="005607CA" w:rsidRPr="00111F34">
        <w:t>a pražského okruhu</w:t>
      </w:r>
      <w:r w:rsidRPr="00111F34">
        <w:t>.</w:t>
      </w:r>
      <w:bookmarkEnd w:id="321"/>
    </w:p>
    <w:bookmarkEnd w:id="320"/>
    <w:p w14:paraId="36D90551" w14:textId="40FF03EB" w:rsidR="00E409D2" w:rsidRPr="009B2CC0" w:rsidRDefault="00D8692E" w:rsidP="00E409D2">
      <w:r w:rsidRPr="00111F34">
        <w:rPr>
          <w:lang w:eastAsia="cs-CZ"/>
        </w:rPr>
        <w:t xml:space="preserve">V posuzované změně obsažená </w:t>
      </w:r>
      <w:bookmarkStart w:id="322" w:name="_Hlk139973647"/>
      <w:r w:rsidRPr="00111F34">
        <w:rPr>
          <w:lang w:eastAsia="cs-CZ"/>
        </w:rPr>
        <w:t xml:space="preserve">územně plánovací opatření pro </w:t>
      </w:r>
      <w:r w:rsidR="00B065C0" w:rsidRPr="00111F34">
        <w:rPr>
          <w:lang w:eastAsia="cs-CZ"/>
        </w:rPr>
        <w:t>zmírnění negativních</w:t>
      </w:r>
      <w:r w:rsidRPr="00111F34">
        <w:rPr>
          <w:lang w:eastAsia="cs-CZ"/>
        </w:rPr>
        <w:t xml:space="preserve"> vlivů: </w:t>
      </w:r>
      <w:r w:rsidR="00E409D2" w:rsidRPr="00111F34">
        <w:t>Struktura vymezených ploch</w:t>
      </w:r>
      <w:r w:rsidR="0039090C" w:rsidRPr="00111F34">
        <w:t xml:space="preserve"> převážně</w:t>
      </w:r>
      <w:r w:rsidR="00E409D2" w:rsidRPr="00111F34">
        <w:t xml:space="preserve"> umožňující realizaci bariérové zástavby podél </w:t>
      </w:r>
      <w:r w:rsidR="005607CA" w:rsidRPr="00111F34">
        <w:t>tramvajové trati</w:t>
      </w:r>
      <w:r w:rsidR="00B065C0" w:rsidRPr="00111F34">
        <w:t>, resp. umístění objektů v rámci pozemků tak, aby nebyly hlukově chráněné objekty nesměřovány k dopravním stavbám</w:t>
      </w:r>
      <w:r w:rsidR="00E409D2" w:rsidRPr="00111F34">
        <w:t xml:space="preserve">, oddálení </w:t>
      </w:r>
      <w:r w:rsidR="005607CA" w:rsidRPr="00111F34">
        <w:t>vyústění tunelu Rybářka od obytné zástavby, vytvoření územních předpokladů pro parkoviště P+R a kapacitní VHD</w:t>
      </w:r>
      <w:r w:rsidR="00E409D2" w:rsidRPr="00111F34">
        <w:t>.</w:t>
      </w:r>
      <w:r w:rsidR="0039090C" w:rsidRPr="00111F34">
        <w:t xml:space="preserve"> </w:t>
      </w:r>
      <w:r w:rsidR="0039090C" w:rsidRPr="009B2CC0">
        <w:t xml:space="preserve">Výjimkou je </w:t>
      </w:r>
      <w:r w:rsidR="0057161B" w:rsidRPr="009B2CC0">
        <w:t xml:space="preserve">návrhová </w:t>
      </w:r>
      <w:r w:rsidR="0039090C" w:rsidRPr="009B2CC0">
        <w:t xml:space="preserve">plocha OB-D ve východní části Nového Sedlce mezi ulicí Kamýcká a novou tramvajovou tratí, která vzhledem ke svojí rozloze, tvaru a orientaci vůči světovým stranám </w:t>
      </w:r>
      <w:r w:rsidR="0057161B" w:rsidRPr="009B2CC0">
        <w:t xml:space="preserve">a navrhovanému </w:t>
      </w:r>
      <w:r w:rsidR="0039090C" w:rsidRPr="009B2CC0">
        <w:t>funkčnímu využití pro čisté bydlení je v </w:t>
      </w:r>
      <w:r w:rsidR="00C51945" w:rsidRPr="009B2CC0">
        <w:t>současnosti,</w:t>
      </w:r>
      <w:r w:rsidR="0039090C" w:rsidRPr="009B2CC0">
        <w:t xml:space="preserve"> a i v budoucnu bude</w:t>
      </w:r>
      <w:r w:rsidR="0057161B" w:rsidRPr="009B2CC0">
        <w:t>,</w:t>
      </w:r>
      <w:r w:rsidR="0039090C" w:rsidRPr="009B2CC0">
        <w:t xml:space="preserve"> natolik zatížena hlukem z provozu po ulici Kamýcká, křižovatky Kamýcká/ Roztocká, železniční trati a budoucí tramvajové trati, že nenaplňuje požadavky na umístění čistého bydlení. V této souvislosti jsou navrženy opatření pro předcházení negativním vlivům viz níže. </w:t>
      </w:r>
      <w:bookmarkEnd w:id="322"/>
    </w:p>
    <w:p w14:paraId="3EADCFB0" w14:textId="3392B8F5" w:rsidR="00E409D2" w:rsidRPr="00111F34" w:rsidRDefault="00E409D2" w:rsidP="00E409D2">
      <w:r w:rsidRPr="00111F34">
        <w:t xml:space="preserve">Navrhovaná zmírňující opatření, která vyplynula ze SEA: </w:t>
      </w:r>
    </w:p>
    <w:p w14:paraId="054EFBD6" w14:textId="77777777" w:rsidR="0039090C" w:rsidRPr="00111F34" w:rsidRDefault="00033D6D" w:rsidP="00BD7256">
      <w:pPr>
        <w:pStyle w:val="Odrka1"/>
        <w:numPr>
          <w:ilvl w:val="0"/>
          <w:numId w:val="46"/>
        </w:numPr>
        <w:jc w:val="both"/>
      </w:pPr>
      <w:r w:rsidRPr="00111F34">
        <w:lastRenderedPageBreak/>
        <w:t>Před umístěním stavby do území v další fázi projektové přípravy stavby prokázat, že vlivem realizace záměru, kterému dává posuzovaná koncepce rámec, včetně souvisejících staveb a přeložek při zohlednění spolupůsobení stávajících i uvažovaných záměrů v dopravně souvisejícím území nedojde k novým překročením hygienických limitů z hlediska hluku u nejbližších hlukově chráněných objektů</w:t>
      </w:r>
      <w:r w:rsidR="00B065C0" w:rsidRPr="00111F34">
        <w:t xml:space="preserve">, </w:t>
      </w:r>
      <w:bookmarkStart w:id="323" w:name="_Hlk139975921"/>
      <w:r w:rsidR="00B065C0" w:rsidRPr="00111F34">
        <w:t>resp. v plochách určených pro čisté bydlení</w:t>
      </w:r>
      <w:r w:rsidRPr="00111F34">
        <w:t>, opatření je třeba uplatnit v navazujících řízeních, jako požadavek na rozhodování v území.</w:t>
      </w:r>
      <w:bookmarkStart w:id="324" w:name="_Hlk103768223"/>
      <w:r w:rsidRPr="00111F34">
        <w:t xml:space="preserve"> </w:t>
      </w:r>
      <w:r w:rsidR="00E409D2" w:rsidRPr="00111F34">
        <w:t>(Jedná se o opatření z hlediska identifikovaného mírně negativního vlivu vůči hlukové zátěži včetně synergických vlivů, které dále rozvíjí v koncepci obsažená opatření přímo vyplývá z postupů povolování staveb a zákona o ochraně veřejného zdraví a jeho prováděcích předpisů a jako takové bude uplatněno v rámci EIA a územního a kolaudačního řízení).</w:t>
      </w:r>
    </w:p>
    <w:p w14:paraId="38D0F243" w14:textId="42EACB7B" w:rsidR="004C1933" w:rsidRPr="00111F34" w:rsidRDefault="0039090C" w:rsidP="004C1933">
      <w:pPr>
        <w:pStyle w:val="Odrka1"/>
        <w:numPr>
          <w:ilvl w:val="0"/>
          <w:numId w:val="46"/>
        </w:numPr>
        <w:jc w:val="both"/>
      </w:pPr>
      <w:r w:rsidRPr="00111F34">
        <w:t xml:space="preserve">Při umisťování hlukově chráněných prostor s hlukově chráněnými fasádami orientovanými k nové tramvajové trati </w:t>
      </w:r>
      <w:bookmarkEnd w:id="324"/>
      <w:r w:rsidRPr="00111F34">
        <w:t xml:space="preserve">prokázat v navazujících řízeních (stavební řízení) dodržení hlukových limitů. </w:t>
      </w:r>
      <w:r w:rsidR="004C1933" w:rsidRPr="00111F34">
        <w:t>(Jedná se o opatření z hlediska identifikovaného mírně negativního vlivu vůči hlukové zátěži včetně synergických vlivů, které dále rozvíjí v koncepci obsažená opatření přímo vyplývá z postupů povolování staveb a zákona o ochraně veřejného zdraví a jeho prováděcích předpisů a jako takové bude uplatněno v rámci EIA a územního a kolaudačního řízení).</w:t>
      </w:r>
    </w:p>
    <w:p w14:paraId="0E17F1C2" w14:textId="2B3C7D98" w:rsidR="004C1933" w:rsidRPr="009B2CC0" w:rsidRDefault="004C1933" w:rsidP="004C1933">
      <w:pPr>
        <w:pStyle w:val="Odrka1"/>
        <w:numPr>
          <w:ilvl w:val="0"/>
          <w:numId w:val="46"/>
        </w:numPr>
        <w:jc w:val="both"/>
      </w:pPr>
      <w:r w:rsidRPr="009B2CC0">
        <w:t xml:space="preserve">Plochu OB-D ve východní části Nového Sedlce mezi ulicí Kamýcká a novou tramvajovou tratí navrhujeme převést </w:t>
      </w:r>
      <w:r w:rsidR="009B2CC0" w:rsidRPr="009B2CC0">
        <w:t xml:space="preserve">např. </w:t>
      </w:r>
      <w:r w:rsidRPr="009B2CC0">
        <w:t>do funkce smíšených ploch, která lépe odpovídá stávající i budoucí zátěži plochy z hlediska hluku. (Jedná se o opatření z hlediska identifikovaného mírně negativního vlivu vůči hlukové zátěži včetně synergických vlivů, které je třeba zapracovat do výrokové části posuzované změny územního plánu</w:t>
      </w:r>
      <w:r w:rsidR="00A3243C" w:rsidRPr="009B2CC0">
        <w:t xml:space="preserve"> v podobě změny funkčního využití plochy na funkci, která odpovídá očekávaným zátěžím z hlediska hluku</w:t>
      </w:r>
      <w:r w:rsidRPr="009B2CC0">
        <w:t xml:space="preserve">, využití plochy jako čisté bydlení odporuje zátěžím, které v ploše v současnosti </w:t>
      </w:r>
      <w:r w:rsidR="00C51945" w:rsidRPr="009B2CC0">
        <w:t>jsou,</w:t>
      </w:r>
      <w:r w:rsidRPr="009B2CC0">
        <w:t xml:space="preserve"> a i v budoucnosti budou z hlediska veřejného zdraví</w:t>
      </w:r>
      <w:r w:rsidR="00A3243C" w:rsidRPr="009B2CC0">
        <w:t>. Zároveň by plocha čistého bydlení v této poloze mohla způsobovat potíže při případné realizaci tramvajové trati, jej</w:t>
      </w:r>
      <w:r w:rsidR="009B2CC0" w:rsidRPr="009B2CC0">
        <w:t>í</w:t>
      </w:r>
      <w:r w:rsidR="00A3243C" w:rsidRPr="009B2CC0">
        <w:t>ž technické řešení i prosté umístění by významně omezila</w:t>
      </w:r>
      <w:r w:rsidR="009B2CC0" w:rsidRPr="009B2CC0">
        <w:t>, resp. znemožnila</w:t>
      </w:r>
      <w:r w:rsidRPr="009B2CC0">
        <w:t>).</w:t>
      </w:r>
    </w:p>
    <w:bookmarkEnd w:id="323"/>
    <w:p w14:paraId="7AB00613" w14:textId="09BF750F" w:rsidR="00E442E1" w:rsidRPr="00111F34" w:rsidRDefault="00E409D2" w:rsidP="00033D6D">
      <w:r w:rsidRPr="00111F34">
        <w:t xml:space="preserve">Odůvodnění: Potenciálně mírně negativní vliv lze očekávat v důsledku vložení nového zdroje </w:t>
      </w:r>
      <w:r w:rsidR="00033D6D" w:rsidRPr="00111F34">
        <w:t xml:space="preserve">vyvolané dopravy a zároveň vytvoření územních předpokladů pro vznik smíšené </w:t>
      </w:r>
      <w:r w:rsidR="004C1933" w:rsidRPr="00111F34">
        <w:t xml:space="preserve">a obytné </w:t>
      </w:r>
      <w:r w:rsidR="00033D6D" w:rsidRPr="00111F34">
        <w:t xml:space="preserve">zástavby, která může obsahovat i hlukově chráněné prostory </w:t>
      </w:r>
      <w:r w:rsidRPr="00111F34">
        <w:t>dojít</w:t>
      </w:r>
      <w:r w:rsidR="00033D6D" w:rsidRPr="00111F34">
        <w:t>, zejména v případě umístění hlukově chráněných fasád směrem k</w:t>
      </w:r>
      <w:r w:rsidR="00822DEB" w:rsidRPr="00111F34">
        <w:t xml:space="preserve"> tramvajové trati </w:t>
      </w:r>
      <w:r w:rsidRPr="00111F34">
        <w:t>překročení hlukových limitů</w:t>
      </w:r>
      <w:r w:rsidR="00033D6D" w:rsidRPr="00111F34">
        <w:t xml:space="preserve"> u těchto chráněných objektů</w:t>
      </w:r>
      <w:r w:rsidRPr="00111F34">
        <w:t>.</w:t>
      </w:r>
      <w:r w:rsidR="00033D6D" w:rsidRPr="00111F34">
        <w:t xml:space="preserve"> Při umisťování hlukově chráněných prostor do území je tak třeba prokázat dodržení hlukových limitů. V budoucnu bude hluková situace v území pravděpodobně ovlivněna přerozdělením dopravních zátěží ve prospěch zklidnění ulice </w:t>
      </w:r>
      <w:r w:rsidR="00822DEB" w:rsidRPr="00111F34">
        <w:t>Kamýcká</w:t>
      </w:r>
      <w:r w:rsidR="004C1933" w:rsidRPr="00111F34">
        <w:t xml:space="preserve"> v její západní části</w:t>
      </w:r>
      <w:r w:rsidR="00033D6D" w:rsidRPr="00111F34">
        <w:t xml:space="preserve"> v souvislosti s</w:t>
      </w:r>
      <w:r w:rsidR="00822DEB" w:rsidRPr="00111F34">
        <w:t> dostavbou SOKP a realizací záměrů dopravní infrastruktury, kterým dává rámec zde posuzovaná změna</w:t>
      </w:r>
      <w:r w:rsidR="00033D6D" w:rsidRPr="00111F34">
        <w:t>.</w:t>
      </w:r>
    </w:p>
    <w:p w14:paraId="1B550FBA" w14:textId="6B24F953" w:rsidR="00D360CD" w:rsidRPr="00111F34" w:rsidRDefault="00A332E5" w:rsidP="00D360CD">
      <w:pPr>
        <w:pStyle w:val="Podnadpis1"/>
      </w:pPr>
      <w:r w:rsidRPr="00111F34">
        <w:t>H</w:t>
      </w:r>
      <w:bookmarkStart w:id="325" w:name="_Hlk139976040"/>
      <w:r w:rsidRPr="00111F34">
        <w:t>motné statky</w:t>
      </w:r>
      <w:r w:rsidR="00D360CD" w:rsidRPr="00111F34">
        <w:t xml:space="preserve"> </w:t>
      </w:r>
      <w:r w:rsidRPr="00111F34">
        <w:t>a kulturní dědictví včetně architektonického a archeologického dědictví</w:t>
      </w:r>
      <w:bookmarkEnd w:id="325"/>
    </w:p>
    <w:p w14:paraId="11FA86A5" w14:textId="77560FE6" w:rsidR="00A332E5" w:rsidRPr="00111F34" w:rsidRDefault="00A332E5" w:rsidP="00D360CD">
      <w:pPr>
        <w:pStyle w:val="Odrky1"/>
        <w:rPr>
          <w:lang w:eastAsia="cs-CZ"/>
        </w:rPr>
      </w:pPr>
      <w:r w:rsidRPr="00111F34">
        <w:rPr>
          <w:lang w:eastAsia="cs-CZ"/>
        </w:rPr>
        <w:t xml:space="preserve">Identifikován potenciálně mírně negativní vliv s místním dopadem </w:t>
      </w:r>
      <w:bookmarkStart w:id="326" w:name="_Hlk139976088"/>
      <w:r w:rsidRPr="00111F34">
        <w:rPr>
          <w:lang w:eastAsia="cs-CZ"/>
        </w:rPr>
        <w:t xml:space="preserve">vůči </w:t>
      </w:r>
      <w:r w:rsidR="00D360CD" w:rsidRPr="00111F34">
        <w:rPr>
          <w:lang w:eastAsia="cs-CZ"/>
        </w:rPr>
        <w:t>nemovité kulturní památce Viadukt v ulici V Podbabě</w:t>
      </w:r>
      <w:r w:rsidRPr="00111F34">
        <w:rPr>
          <w:lang w:eastAsia="cs-CZ"/>
        </w:rPr>
        <w:t xml:space="preserve"> v kontextu stávajícího využití území – především zastavěných a zpevněných ploch a </w:t>
      </w:r>
      <w:r w:rsidR="00D360CD" w:rsidRPr="00111F34">
        <w:rPr>
          <w:lang w:eastAsia="cs-CZ"/>
        </w:rPr>
        <w:t>ulice Podbabská.</w:t>
      </w:r>
    </w:p>
    <w:p w14:paraId="33104543" w14:textId="77777777" w:rsidR="00D8692E" w:rsidRPr="00111F34" w:rsidRDefault="00D8692E" w:rsidP="00A332E5">
      <w:pPr>
        <w:rPr>
          <w:lang w:eastAsia="cs-CZ"/>
        </w:rPr>
      </w:pPr>
      <w:r w:rsidRPr="00111F34">
        <w:rPr>
          <w:lang w:eastAsia="cs-CZ"/>
        </w:rPr>
        <w:t>V samotné posuzované ÚPD nejsou obsažena zmírňující opatření.</w:t>
      </w:r>
    </w:p>
    <w:p w14:paraId="16617D0F" w14:textId="3440BFF1" w:rsidR="00A332E5" w:rsidRPr="00111F34" w:rsidRDefault="00A332E5" w:rsidP="00A332E5">
      <w:r w:rsidRPr="00111F34">
        <w:t xml:space="preserve">Navrhovaná zmírňující opatření vyplývající ze SEA, která je možné uplatnit v navazujících řízeních: </w:t>
      </w:r>
    </w:p>
    <w:p w14:paraId="76922270" w14:textId="411889A8" w:rsidR="00A332E5" w:rsidRPr="00111F34" w:rsidRDefault="00A332E5" w:rsidP="004C1933">
      <w:pPr>
        <w:pStyle w:val="Odrky1"/>
        <w:numPr>
          <w:ilvl w:val="0"/>
          <w:numId w:val="0"/>
        </w:numPr>
        <w:spacing w:before="120"/>
        <w:ind w:left="360" w:hanging="360"/>
        <w:rPr>
          <w:lang w:eastAsia="cs-CZ"/>
        </w:rPr>
      </w:pPr>
      <w:r w:rsidRPr="00111F34">
        <w:rPr>
          <w:lang w:eastAsia="cs-CZ"/>
        </w:rPr>
        <w:t>•</w:t>
      </w:r>
      <w:r w:rsidRPr="00111F34">
        <w:rPr>
          <w:lang w:eastAsia="cs-CZ"/>
        </w:rPr>
        <w:tab/>
      </w:r>
      <w:r w:rsidR="00970EA1" w:rsidRPr="00111F34">
        <w:rPr>
          <w:lang w:eastAsia="cs-CZ"/>
        </w:rPr>
        <w:t>Při umisťování tramvajové trati v prostoru podél skalních výchozů Baba a Podbabské skály a ve vizuálním kontaktu s železničním viaduktem při ulici V Podbabě zajistit posouzení záměru na krajinný ráz dle §12 zákona č. 114/1992 Sb</w:t>
      </w:r>
      <w:r w:rsidR="0027327C">
        <w:rPr>
          <w:lang w:eastAsia="cs-CZ"/>
        </w:rPr>
        <w:t>.</w:t>
      </w:r>
      <w:r w:rsidR="00970EA1" w:rsidRPr="00111F34">
        <w:rPr>
          <w:lang w:eastAsia="cs-CZ"/>
        </w:rPr>
        <w:t>, o ochraně přírody a krajiny, a zároveň stavbu koordinovat s příslušnými orgány památkové ochrany.</w:t>
      </w:r>
      <w:r w:rsidR="004C1933" w:rsidRPr="00111F34">
        <w:rPr>
          <w:lang w:eastAsia="cs-CZ"/>
        </w:rPr>
        <w:t xml:space="preserve"> (</w:t>
      </w:r>
      <w:r w:rsidRPr="00111F34">
        <w:rPr>
          <w:lang w:eastAsia="cs-CZ"/>
        </w:rPr>
        <w:t xml:space="preserve">Jedná se o opatření mimo podrobnost územního plánu, která je možné uplatnit v rámci </w:t>
      </w:r>
      <w:r w:rsidR="00D360CD" w:rsidRPr="00111F34">
        <w:rPr>
          <w:lang w:eastAsia="cs-CZ"/>
        </w:rPr>
        <w:t>územního řízení</w:t>
      </w:r>
      <w:r w:rsidR="004B15CD" w:rsidRPr="00111F34">
        <w:rPr>
          <w:lang w:eastAsia="cs-CZ"/>
        </w:rPr>
        <w:t>. O</w:t>
      </w:r>
      <w:r w:rsidR="004B15CD" w:rsidRPr="00111F34">
        <w:t>patření je třeba uplatnit v navazujících řízeních, jako požadavek na rozhodování v</w:t>
      </w:r>
      <w:r w:rsidR="004C1933" w:rsidRPr="00111F34">
        <w:t> </w:t>
      </w:r>
      <w:r w:rsidR="004B15CD" w:rsidRPr="00111F34">
        <w:t>území</w:t>
      </w:r>
      <w:r w:rsidR="004C1933" w:rsidRPr="00111F34">
        <w:t>)</w:t>
      </w:r>
      <w:r w:rsidR="004B15CD" w:rsidRPr="00111F34">
        <w:t>.</w:t>
      </w:r>
    </w:p>
    <w:bookmarkEnd w:id="326"/>
    <w:p w14:paraId="5F4024FC" w14:textId="4AE468DA" w:rsidR="00A332E5" w:rsidRPr="00111F34" w:rsidRDefault="00A332E5" w:rsidP="00A332E5">
      <w:r w:rsidRPr="00111F34">
        <w:t>Odůvodnění: Vymezené plochy z hlediska zásahu do stávající zeleně i zeleně vymezené v platném ÚPD optimalizovány</w:t>
      </w:r>
      <w:r w:rsidR="00970EA1" w:rsidRPr="00111F34">
        <w:t>, stejně jako vedení tramvajové trati, na úrovni ÚPD nelze učinit další zmírňující opatření. V</w:t>
      </w:r>
      <w:r w:rsidRPr="00111F34">
        <w:t> navazující fázi projektové přípravy</w:t>
      </w:r>
      <w:r w:rsidR="00970EA1" w:rsidRPr="00111F34">
        <w:t xml:space="preserve"> je třeba je</w:t>
      </w:r>
      <w:r w:rsidRPr="00111F34">
        <w:t xml:space="preserve"> doplnit o výše zmíněná opatření uplatnitelná při územním řízení a realizaci stavby.</w:t>
      </w:r>
    </w:p>
    <w:p w14:paraId="0F37541D" w14:textId="720F49FE" w:rsidR="00970EA1" w:rsidRPr="00111F34" w:rsidRDefault="00970EA1" w:rsidP="00970EA1">
      <w:pPr>
        <w:pStyle w:val="Podnadpis1"/>
      </w:pPr>
      <w:bookmarkStart w:id="327" w:name="_Hlk139976200"/>
      <w:r w:rsidRPr="00111F34">
        <w:t>Krajinný ráz</w:t>
      </w:r>
    </w:p>
    <w:bookmarkEnd w:id="327"/>
    <w:p w14:paraId="58A299E6" w14:textId="618017F0" w:rsidR="00970EA1" w:rsidRPr="00111F34" w:rsidRDefault="00970EA1" w:rsidP="00970EA1">
      <w:pPr>
        <w:pStyle w:val="Odrky1"/>
        <w:rPr>
          <w:lang w:eastAsia="cs-CZ"/>
        </w:rPr>
      </w:pPr>
      <w:r w:rsidRPr="00111F34">
        <w:rPr>
          <w:lang w:eastAsia="cs-CZ"/>
        </w:rPr>
        <w:t xml:space="preserve">Identifikován potenciálně mírně negativní vliv </w:t>
      </w:r>
      <w:bookmarkStart w:id="328" w:name="_Hlk139976256"/>
      <w:r w:rsidRPr="00111F34">
        <w:rPr>
          <w:lang w:eastAsia="cs-CZ"/>
        </w:rPr>
        <w:t>s místním dopadem a mírně negativním synergickým spolupůsobením vůči vizuálním přírodním i historickým hodnotám řešeného území, které jsou zároveň chráněny dle zákona č. 114/1992 Sb., o ochraně přírody a krajiny v platném znění, a jsou součástí PP Šárky Lysolaje v kontextu stávajícího využití území – především zastavěných a zpevněných ploch a ulice Podbabská.</w:t>
      </w:r>
    </w:p>
    <w:p w14:paraId="41BFAEB1" w14:textId="5BF2F07A" w:rsidR="00D8692E" w:rsidRPr="00111F34" w:rsidRDefault="00D8692E" w:rsidP="00D8692E">
      <w:pPr>
        <w:pStyle w:val="Odrky1"/>
        <w:numPr>
          <w:ilvl w:val="0"/>
          <w:numId w:val="0"/>
        </w:numPr>
        <w:rPr>
          <w:lang w:eastAsia="cs-CZ"/>
        </w:rPr>
      </w:pPr>
      <w:r w:rsidRPr="00111F34">
        <w:rPr>
          <w:lang w:eastAsia="cs-CZ"/>
        </w:rPr>
        <w:lastRenderedPageBreak/>
        <w:t>V posuzované změně obsažená územně plánovací opatření pro minimalizaci vlivů: vymezení ploch zeleně, rekreace a veřejných prostranství při přechodu do krajiny, stabilizace systému zeleně, transformace ploch DH a VN v Novém Sedlci.</w:t>
      </w:r>
    </w:p>
    <w:p w14:paraId="4F556FCC" w14:textId="4AEC0EA8" w:rsidR="00970EA1" w:rsidRPr="00111F34" w:rsidRDefault="00970EA1" w:rsidP="00970EA1">
      <w:r w:rsidRPr="00111F34">
        <w:t xml:space="preserve">Navrhovaná zmírňující opatření vyplývající ze SEA, která je možné uplatnit v navazujících řízeních: </w:t>
      </w:r>
    </w:p>
    <w:p w14:paraId="19CF02BA" w14:textId="2F91FF08" w:rsidR="00970EA1" w:rsidRPr="00111F34" w:rsidRDefault="00970EA1" w:rsidP="004C1933">
      <w:pPr>
        <w:pStyle w:val="Odrky1"/>
        <w:numPr>
          <w:ilvl w:val="0"/>
          <w:numId w:val="0"/>
        </w:numPr>
        <w:spacing w:before="120"/>
        <w:ind w:left="360" w:hanging="360"/>
        <w:rPr>
          <w:lang w:eastAsia="cs-CZ"/>
        </w:rPr>
      </w:pPr>
      <w:r w:rsidRPr="00111F34">
        <w:rPr>
          <w:lang w:eastAsia="cs-CZ"/>
        </w:rPr>
        <w:t>•</w:t>
      </w:r>
      <w:r w:rsidRPr="00111F34">
        <w:rPr>
          <w:lang w:eastAsia="cs-CZ"/>
        </w:rPr>
        <w:tab/>
        <w:t xml:space="preserve">Při umisťování tramvajové trati v prostoru podél skalních výchozů Baba a Podbabské skály a ve vizuálním kontaktu s železničním viaduktem při ulici V Podbabě zajistit posouzení záměru na krajinný ráz dle §12 zákona č. 114/1992 </w:t>
      </w:r>
      <w:r w:rsidR="00F94D3C" w:rsidRPr="00111F34">
        <w:rPr>
          <w:lang w:eastAsia="cs-CZ"/>
        </w:rPr>
        <w:t>Sb.</w:t>
      </w:r>
      <w:r w:rsidRPr="00111F34">
        <w:rPr>
          <w:lang w:eastAsia="cs-CZ"/>
        </w:rPr>
        <w:t>, o ochraně přírody a krajiny, a zároveň stavbu koordinovat s příslušnými orgány památkové ochrany a ochrany přírody.</w:t>
      </w:r>
      <w:r w:rsidR="004C1933" w:rsidRPr="00111F34">
        <w:rPr>
          <w:lang w:eastAsia="cs-CZ"/>
        </w:rPr>
        <w:t xml:space="preserve"> </w:t>
      </w:r>
      <w:r w:rsidRPr="00111F34">
        <w:rPr>
          <w:lang w:eastAsia="cs-CZ"/>
        </w:rPr>
        <w:t>(</w:t>
      </w:r>
      <w:r w:rsidR="004B15CD" w:rsidRPr="00111F34">
        <w:rPr>
          <w:lang w:eastAsia="cs-CZ"/>
        </w:rPr>
        <w:t>Jedná se o opatření mimo podrobnost územního plánu, která je možné uplatnit v rámci územního řízení. O</w:t>
      </w:r>
      <w:r w:rsidR="004B15CD" w:rsidRPr="00111F34">
        <w:t>patření je třeba uplatnit v navazujících řízeních, jako požadavek na rozhodování v území).</w:t>
      </w:r>
    </w:p>
    <w:bookmarkEnd w:id="328"/>
    <w:p w14:paraId="35A86553" w14:textId="23047401" w:rsidR="00970EA1" w:rsidRDefault="00970EA1" w:rsidP="00970EA1">
      <w:r w:rsidRPr="00111F34">
        <w:t>Odůvodnění: Vymezené plochy z hlediska zásahu do stávající zeleně i zeleně vymezené v platném ÚPD optimalizovány, stejně jako vedení tramvajové trati, na úrovni ÚPD nelze učinit další zmírňující opatření. V navazující fázi projektové přípravy je třeba je doplnit o výše zmíněná opatření uplatnitelná při územním řízení a realizaci stavby.</w:t>
      </w:r>
    </w:p>
    <w:p w14:paraId="2187ADDD" w14:textId="77777777" w:rsidR="00DA39A6" w:rsidRPr="00DA39A6" w:rsidRDefault="00DA39A6" w:rsidP="00DA39A6">
      <w:pPr>
        <w:pStyle w:val="Podnadpis1"/>
      </w:pPr>
      <w:bookmarkStart w:id="329" w:name="_Hlk139976502"/>
      <w:r w:rsidRPr="00DA39A6">
        <w:t>Lokality soustavy Natura 2000</w:t>
      </w:r>
    </w:p>
    <w:p w14:paraId="6D25AA89" w14:textId="77777777" w:rsidR="00DA39A6" w:rsidRPr="00DA39A6" w:rsidRDefault="00DA39A6" w:rsidP="00DA39A6">
      <w:bookmarkStart w:id="330" w:name="_Hlk139976532"/>
      <w:bookmarkEnd w:id="329"/>
      <w:r w:rsidRPr="00DA39A6">
        <w:rPr>
          <w:b/>
        </w:rPr>
        <w:t>U předmětné koncepce byl významně negativní vliv na území soustavy Natura 2000 vyloučen.</w:t>
      </w:r>
      <w:r w:rsidRPr="00DA39A6">
        <w:t xml:space="preserve"> </w:t>
      </w:r>
    </w:p>
    <w:p w14:paraId="590C2CE6" w14:textId="77777777" w:rsidR="00DA39A6" w:rsidRPr="00DA39A6" w:rsidRDefault="00DA39A6" w:rsidP="00DA39A6">
      <w:r w:rsidRPr="00DA39A6">
        <w:t xml:space="preserve">Navrhovaná zmírňující opatření vyplývající ze SEA, která je možné uplatnit v navazujících řízeních: </w:t>
      </w:r>
    </w:p>
    <w:p w14:paraId="43235962" w14:textId="77777777" w:rsidR="00DA39A6" w:rsidRPr="00DA39A6" w:rsidRDefault="00DA39A6" w:rsidP="00DA39A6">
      <w:pPr>
        <w:pStyle w:val="Odstavecseseznamem"/>
        <w:numPr>
          <w:ilvl w:val="0"/>
          <w:numId w:val="58"/>
        </w:numPr>
        <w:ind w:left="714" w:hanging="357"/>
        <w:contextualSpacing w:val="0"/>
      </w:pPr>
      <w:r w:rsidRPr="00DA39A6">
        <w:t xml:space="preserve">Z důvodu předběžné opatrnosti doporučujeme, aby ještě před fázi přípravy území pro výstavbu v rozvojovém území Nový Sedlec, byla v součinnosti s územně příslušným orgánem ochrany přírody a krajiny stanovena a vyznačena jednoznačná hranice, za kterou stavební čára nesmí překročit. Jedná se především o to, aby úpravy terénu pro výstavbu spojené s odtěžováním, vyhrnováním a přesouváním zemin v areálu cihelny severně, do prostoru EVL zbytečně nezasáhly. V této souvislosti se jeví jako vhodné zesouladit průběh hranic PP Podbabské skály a segmentu EVL, a tyto hranice v kontaktní zóně se změnou Z 3827/00 dle odborných kritérií upravit. Jedná se o opatření v kompetenci příslušného orgánu ochrany přírody. </w:t>
      </w:r>
    </w:p>
    <w:p w14:paraId="5E601F88" w14:textId="109DE47B" w:rsidR="00DA39A6" w:rsidRPr="00111F34" w:rsidRDefault="00DA39A6" w:rsidP="00970EA1">
      <w:pPr>
        <w:pStyle w:val="Odstavecseseznamem"/>
        <w:numPr>
          <w:ilvl w:val="0"/>
          <w:numId w:val="58"/>
        </w:numPr>
        <w:ind w:left="714" w:hanging="357"/>
        <w:contextualSpacing w:val="0"/>
      </w:pPr>
      <w:r w:rsidRPr="00DA39A6">
        <w:t xml:space="preserve">Potenciálnímu riziku zvýšené zátěže EVL, spojené se zvýšenou návštěvností, lze částečně předejít i návrhem příp. organizačních opatření z hlediska regulace návštěvnosti, zákazu vstupu cyklistů či venčení psů, příp. i oplocením části EVL (avšak s ohledem na zachování prostupnosti v území podél jihozápadního okraje EVL, mimo koridor stezky vedoucí od severu k jihu podél zídky do ulice Pod Babou). Takovému opatření by po realizaci záměrů v rozvojové lokalitě ale měl předcházet monitoring území, spojený se sledováním míry návštěvnosti lokality, a stavu přírodních stanovišť. Jedná se o opatření v kompetenci příslušného orgánu ochrany přírody v rámci prováděného managementu péče o EVL. </w:t>
      </w:r>
    </w:p>
    <w:p w14:paraId="320C7E0D" w14:textId="1B1BCF1C" w:rsidR="00794578" w:rsidRPr="00111F34" w:rsidRDefault="00794578" w:rsidP="00792E96">
      <w:pPr>
        <w:pStyle w:val="Nadpis2"/>
      </w:pPr>
      <w:bookmarkStart w:id="331" w:name="_Toc138848145"/>
      <w:bookmarkEnd w:id="330"/>
      <w:r w:rsidRPr="00111F34">
        <w:t xml:space="preserve">Zhodnocení způsobu zapracování </w:t>
      </w:r>
      <w:r w:rsidR="00344921" w:rsidRPr="00111F34">
        <w:t xml:space="preserve">vnitrostátních </w:t>
      </w:r>
      <w:r w:rsidRPr="00111F34">
        <w:t>cílů ochrany životního prostředí do územně plánovací dokumentace a jejich zohlednění při výběru variant řešení.</w:t>
      </w:r>
      <w:bookmarkEnd w:id="309"/>
      <w:bookmarkEnd w:id="314"/>
      <w:bookmarkEnd w:id="331"/>
    </w:p>
    <w:p w14:paraId="244C8C45" w14:textId="77777777" w:rsidR="00794578" w:rsidRPr="00111F34" w:rsidRDefault="00794578" w:rsidP="00A34ABB">
      <w:pPr>
        <w:keepNext/>
      </w:pPr>
      <w:r w:rsidRPr="00111F34">
        <w:t xml:space="preserve">Podkladem pro posuzování byly následující dokumenty: </w:t>
      </w:r>
    </w:p>
    <w:p w14:paraId="0F616BAD" w14:textId="2075957C" w:rsidR="004645D8" w:rsidRPr="00111F34" w:rsidRDefault="00794578" w:rsidP="004645D8">
      <w:r w:rsidRPr="00111F34">
        <w:t xml:space="preserve">Návrh </w:t>
      </w:r>
      <w:r w:rsidR="00B9398C" w:rsidRPr="00111F34">
        <w:t>předkládané změny</w:t>
      </w:r>
      <w:r w:rsidR="00C75487" w:rsidRPr="00111F34">
        <w:t xml:space="preserve"> územního </w:t>
      </w:r>
      <w:r w:rsidR="003577E4" w:rsidRPr="00111F34">
        <w:t>plánu – textová</w:t>
      </w:r>
      <w:r w:rsidR="004941CF" w:rsidRPr="00111F34">
        <w:t xml:space="preserve"> i grafická část, koordinovaná stanoviska</w:t>
      </w:r>
      <w:r w:rsidRPr="00111F34">
        <w:t xml:space="preserve"> </w:t>
      </w:r>
      <w:r w:rsidR="00D56D6E" w:rsidRPr="00111F34">
        <w:t>Magistrátu hlavního města Prahy</w:t>
      </w:r>
      <w:r w:rsidRPr="00111F34">
        <w:t>,</w:t>
      </w:r>
      <w:r w:rsidR="005C39AE" w:rsidRPr="00111F34">
        <w:t xml:space="preserve"> pokyny pro úpravu návrhu změny,</w:t>
      </w:r>
      <w:r w:rsidRPr="00111F34">
        <w:t xml:space="preserve"> územně analytické podklady, strategické dokumenty města, </w:t>
      </w:r>
      <w:r w:rsidR="00F33A1B" w:rsidRPr="00111F34">
        <w:t>SEA</w:t>
      </w:r>
      <w:r w:rsidR="00982EEC" w:rsidRPr="00111F34">
        <w:t xml:space="preserve"> související ÚPD</w:t>
      </w:r>
      <w:r w:rsidR="00F33A1B" w:rsidRPr="00111F34">
        <w:t xml:space="preserve">, </w:t>
      </w:r>
      <w:r w:rsidR="00FE1375" w:rsidRPr="00111F34">
        <w:t xml:space="preserve">územní studie, </w:t>
      </w:r>
      <w:r w:rsidR="00B41EDB" w:rsidRPr="00111F34">
        <w:t xml:space="preserve">podklady čerpané z veřejně dostupných dokumentů v rámci EIA, </w:t>
      </w:r>
      <w:r w:rsidR="009E7B98" w:rsidRPr="00111F34">
        <w:t>Dopravně inženýrský průzkum</w:t>
      </w:r>
      <w:r w:rsidR="00AD7451" w:rsidRPr="00111F34">
        <w:t xml:space="preserve">, </w:t>
      </w:r>
      <w:r w:rsidRPr="00111F34">
        <w:t>informace z</w:t>
      </w:r>
      <w:r w:rsidR="0090597A" w:rsidRPr="00111F34">
        <w:t> </w:t>
      </w:r>
      <w:r w:rsidRPr="00111F34">
        <w:t>terénního průzkumu a odborné literatury, veřejně dostupných informací a archiv zpracovatele.</w:t>
      </w:r>
      <w:r w:rsidR="00481600" w:rsidRPr="00111F34">
        <w:t xml:space="preserve"> </w:t>
      </w:r>
    </w:p>
    <w:p w14:paraId="587D311F" w14:textId="2F2F691E" w:rsidR="00794578" w:rsidRPr="00111F34" w:rsidRDefault="00794578" w:rsidP="002B4E65">
      <w:r w:rsidRPr="00111F34">
        <w:t xml:space="preserve">Posouzení vlivů na </w:t>
      </w:r>
      <w:r w:rsidR="00EF6455" w:rsidRPr="00111F34">
        <w:t>životní prostředí</w:t>
      </w:r>
      <w:r w:rsidRPr="00111F34">
        <w:t xml:space="preserve"> bylo provedeno na základě informací o konfigura</w:t>
      </w:r>
      <w:r w:rsidR="001630FB" w:rsidRPr="00111F34">
        <w:t xml:space="preserve">ci terénu, z mapových podkladů </w:t>
      </w:r>
      <w:r w:rsidRPr="00111F34">
        <w:t>a vlastní prohlídky jednotlivých lokalit, dále byly využity informace ČHMÚ</w:t>
      </w:r>
      <w:r w:rsidR="004645D8" w:rsidRPr="00111F34">
        <w:t>, ČSÚ, ÚZIS,</w:t>
      </w:r>
      <w:r w:rsidR="004C7DEF" w:rsidRPr="00111F34">
        <w:t xml:space="preserve"> AOPK,</w:t>
      </w:r>
      <w:r w:rsidR="004645D8" w:rsidRPr="00111F34">
        <w:t xml:space="preserve"> geoportál města </w:t>
      </w:r>
      <w:r w:rsidR="0082081D" w:rsidRPr="00111F34">
        <w:t>Prahy, atlas životního prostředí Prahy</w:t>
      </w:r>
      <w:r w:rsidR="004645D8" w:rsidRPr="00111F34">
        <w:t>, geoportál ministerstva zdravotnictví</w:t>
      </w:r>
      <w:r w:rsidRPr="00111F34">
        <w:t xml:space="preserve"> a </w:t>
      </w:r>
      <w:r w:rsidR="004645D8" w:rsidRPr="00111F34">
        <w:t xml:space="preserve">geoportál České informační agentury životního prostředí </w:t>
      </w:r>
      <w:r w:rsidRPr="00111F34">
        <w:t>CENIA</w:t>
      </w:r>
      <w:r w:rsidR="00110B3C" w:rsidRPr="00111F34">
        <w:t xml:space="preserve"> </w:t>
      </w:r>
      <w:r w:rsidR="004645D8" w:rsidRPr="00111F34">
        <w:t xml:space="preserve">a jednotlivé podrobnější databáze (systém evidence kontaminovaných míst, Geofond, </w:t>
      </w:r>
      <w:r w:rsidR="004C7DEF" w:rsidRPr="00111F34">
        <w:t xml:space="preserve">Surovinový informační systém, Nálezová databáze AOPK, </w:t>
      </w:r>
      <w:r w:rsidR="004645D8" w:rsidRPr="00111F34">
        <w:t>Ústřední seznam ochrany přírody, Památkový katalog, informační systém EIA a SEA a další). Všechny použité zdroje jsou uvedeny v seznamu použitých zdrojů informací v úvodu tohoto dokumentu</w:t>
      </w:r>
      <w:r w:rsidRPr="00111F34">
        <w:t>. Rozsah a vypovídající schopnost použitých podkladů byly pro vyhodnocení dostatečné.</w:t>
      </w:r>
    </w:p>
    <w:p w14:paraId="55D24761" w14:textId="736DF065" w:rsidR="00794578" w:rsidRPr="00111F34" w:rsidRDefault="00794578" w:rsidP="002B4E65">
      <w:r w:rsidRPr="00111F34">
        <w:lastRenderedPageBreak/>
        <w:t>Zhodnocení vztahu předkládaného dokumentu k cílům ochrany životního prostředí přijatých v jednotlivých dokumentech, jež byly použity pro stanovení referenčního rámce hodnocení vlivů předkládané územně plánovací dokumentace na životní prostředí a veřejné zdraví je uvedeno v kapitole A.IV. Údaje o současném stavu životního prostředí v dotčeném území jsou shrnuty v kapitole A.III. Vývoj životního prostředí bez provedení koncepce je popsán v kapitole A.III.1</w:t>
      </w:r>
      <w:r w:rsidR="0017530C" w:rsidRPr="00111F34">
        <w:t>2</w:t>
      </w:r>
      <w:r w:rsidRPr="00111F34">
        <w:t xml:space="preserve"> a vlivy koncepce jsou </w:t>
      </w:r>
      <w:r w:rsidR="0017530C" w:rsidRPr="00111F34">
        <w:t xml:space="preserve">identifikovány v kapitole A.VI. a </w:t>
      </w:r>
      <w:r w:rsidRPr="00111F34">
        <w:t>popsány v kapitole A.VI</w:t>
      </w:r>
      <w:r w:rsidR="0017530C" w:rsidRPr="00111F34">
        <w:t>I</w:t>
      </w:r>
      <w:r w:rsidRPr="00111F34">
        <w:t>.</w:t>
      </w:r>
    </w:p>
    <w:p w14:paraId="7F093B43" w14:textId="06AB49DB" w:rsidR="00794578" w:rsidRPr="00111F34" w:rsidRDefault="00794578" w:rsidP="002B4E65">
      <w:pPr>
        <w:rPr>
          <w:rFonts w:cs="Arial"/>
        </w:rPr>
      </w:pPr>
      <w:r w:rsidRPr="00111F34">
        <w:rPr>
          <w:rFonts w:cs="Arial"/>
        </w:rPr>
        <w:t>Na základě</w:t>
      </w:r>
      <w:r w:rsidR="00EF6455" w:rsidRPr="00111F34">
        <w:rPr>
          <w:rFonts w:cs="Arial"/>
        </w:rPr>
        <w:t xml:space="preserve"> přijatých</w:t>
      </w:r>
      <w:r w:rsidRPr="00111F34">
        <w:rPr>
          <w:rFonts w:cs="Arial"/>
        </w:rPr>
        <w:t xml:space="preserve"> relevantních cílů národních strategických dokumentů (viz kapitola A.I.) spolu s analýzou stavu a hlavních problémů životního prostředí v řešeném území byl stanoven referenční rámec pro hodnocení vlivů</w:t>
      </w:r>
      <w:r w:rsidR="00553668" w:rsidRPr="00111F34">
        <w:rPr>
          <w:rFonts w:cs="Arial"/>
        </w:rPr>
        <w:t xml:space="preserve"> změn</w:t>
      </w:r>
      <w:r w:rsidRPr="00111F34">
        <w:rPr>
          <w:rFonts w:cs="Arial"/>
        </w:rPr>
        <w:t xml:space="preserve"> územního plánu na životní prostředí v podobě sady referenčních cílů ochrany ŽP. Tyto cíle reprezentují pozitivní trendy v ochraně životního prostředí a veřejného zdraví dle jeho jednotlivých složek</w:t>
      </w:r>
      <w:r w:rsidR="00EF6455" w:rsidRPr="00111F34">
        <w:rPr>
          <w:rFonts w:cs="Arial"/>
        </w:rPr>
        <w:t xml:space="preserve"> a</w:t>
      </w:r>
      <w:r w:rsidR="00FD6CEE" w:rsidRPr="00111F34">
        <w:rPr>
          <w:rFonts w:cs="Arial"/>
        </w:rPr>
        <w:t> </w:t>
      </w:r>
      <w:r w:rsidR="00EF6455" w:rsidRPr="00111F34">
        <w:rPr>
          <w:rFonts w:cs="Arial"/>
        </w:rPr>
        <w:t>problematických okruhů</w:t>
      </w:r>
      <w:r w:rsidRPr="00111F34">
        <w:rPr>
          <w:rFonts w:cs="Arial"/>
        </w:rPr>
        <w:t xml:space="preserve">. </w:t>
      </w:r>
      <w:r w:rsidR="004B21B7" w:rsidRPr="00111F34">
        <w:rPr>
          <w:rFonts w:cs="Arial"/>
        </w:rPr>
        <w:t>Návrh</w:t>
      </w:r>
      <w:r w:rsidRPr="00111F34">
        <w:rPr>
          <w:rFonts w:cs="Arial"/>
        </w:rPr>
        <w:t xml:space="preserve"> </w:t>
      </w:r>
      <w:r w:rsidR="008705CE" w:rsidRPr="00111F34">
        <w:rPr>
          <w:rFonts w:cs="Arial"/>
        </w:rPr>
        <w:t>změny</w:t>
      </w:r>
      <w:r w:rsidR="0082081D" w:rsidRPr="00111F34">
        <w:rPr>
          <w:rFonts w:cs="Arial"/>
        </w:rPr>
        <w:t xml:space="preserve"> územního plánu</w:t>
      </w:r>
      <w:r w:rsidR="004B21B7" w:rsidRPr="00111F34">
        <w:rPr>
          <w:rFonts w:cs="Arial"/>
        </w:rPr>
        <w:t xml:space="preserve"> předložený</w:t>
      </w:r>
      <w:r w:rsidR="001630FB" w:rsidRPr="00111F34">
        <w:rPr>
          <w:rFonts w:cs="Arial"/>
        </w:rPr>
        <w:t xml:space="preserve"> k hodnocení by měl</w:t>
      </w:r>
      <w:r w:rsidRPr="00111F34">
        <w:rPr>
          <w:rFonts w:cs="Arial"/>
        </w:rPr>
        <w:t xml:space="preserve"> v optimálním případě přispět k plnění těchto trendů a z tohoto hlediska j</w:t>
      </w:r>
      <w:r w:rsidR="001630FB" w:rsidRPr="00111F34">
        <w:rPr>
          <w:rFonts w:cs="Arial"/>
        </w:rPr>
        <w:t>e</w:t>
      </w:r>
      <w:r w:rsidRPr="00111F34">
        <w:rPr>
          <w:rFonts w:cs="Arial"/>
        </w:rPr>
        <w:t xml:space="preserve"> v rámci posouzení vlivů na životní prostředí a</w:t>
      </w:r>
      <w:r w:rsidR="00870621" w:rsidRPr="00111F34">
        <w:rPr>
          <w:rFonts w:cs="Arial"/>
        </w:rPr>
        <w:t> </w:t>
      </w:r>
      <w:r w:rsidRPr="00111F34">
        <w:rPr>
          <w:rFonts w:cs="Arial"/>
        </w:rPr>
        <w:t>veřejné zdraví hodnocen.</w:t>
      </w:r>
    </w:p>
    <w:p w14:paraId="2033702E" w14:textId="63D7AC88" w:rsidR="00794578" w:rsidRPr="00111F34" w:rsidRDefault="00794578" w:rsidP="00794578">
      <w:r w:rsidRPr="00111F34">
        <w:t xml:space="preserve">Výsledkem vyhodnocení </w:t>
      </w:r>
      <w:r w:rsidR="009E7B98" w:rsidRPr="00111F34">
        <w:t>posuzované</w:t>
      </w:r>
      <w:r w:rsidR="004941CF" w:rsidRPr="00111F34">
        <w:t xml:space="preserve"> změn</w:t>
      </w:r>
      <w:r w:rsidR="009E7B98" w:rsidRPr="00111F34">
        <w:t>y</w:t>
      </w:r>
      <w:r w:rsidR="00E442E1" w:rsidRPr="00111F34">
        <w:t xml:space="preserve"> </w:t>
      </w:r>
      <w:r w:rsidR="00A04E8C" w:rsidRPr="00111F34">
        <w:t>územního plánu</w:t>
      </w:r>
      <w:r w:rsidRPr="00111F34">
        <w:t xml:space="preserve"> </w:t>
      </w:r>
      <w:r w:rsidR="00D56D6E" w:rsidRPr="00111F34">
        <w:t>hlavního města Prahy</w:t>
      </w:r>
      <w:r w:rsidRPr="00111F34">
        <w:t xml:space="preserve"> na životní prostředí je tedy rovněž zhodnocení, zda je územně plánovací dokumentace v souladu s cíli ochrany životního prostředí přijatými na vnitrostátní úrovni, které sloužily jako podklad pro stanovení referenčního rámce a identifikace a vyhodnocení základních střetů se stanovenými pr</w:t>
      </w:r>
      <w:r w:rsidRPr="00111F34">
        <w:rPr>
          <w:rFonts w:ascii="Tahoma" w:hAnsi="Tahoma" w:cs="Tahoma"/>
          <w:color w:val="000000"/>
          <w:sz w:val="21"/>
          <w:szCs w:val="21"/>
          <w:shd w:val="clear" w:color="auto" w:fill="FFFEFB"/>
        </w:rPr>
        <w:t>i</w:t>
      </w:r>
      <w:r w:rsidRPr="00111F34">
        <w:t>oritními pozitivními trendy v ochraně životního prostředí. To</w:t>
      </w:r>
      <w:r w:rsidR="00870621" w:rsidRPr="00111F34">
        <w:t> </w:t>
      </w:r>
      <w:r w:rsidRPr="00111F34">
        <w:t>je</w:t>
      </w:r>
      <w:r w:rsidR="00870621" w:rsidRPr="00111F34">
        <w:t> </w:t>
      </w:r>
      <w:r w:rsidRPr="00111F34">
        <w:t xml:space="preserve">provedeno přímo pomocí zhodnocení přínosu </w:t>
      </w:r>
      <w:r w:rsidR="00EF6455" w:rsidRPr="00111F34">
        <w:t>posuzované ÚPD</w:t>
      </w:r>
      <w:r w:rsidRPr="00111F34">
        <w:t xml:space="preserve"> vůči vybraným relevantním cílům v</w:t>
      </w:r>
      <w:r w:rsidR="00870621" w:rsidRPr="00111F34">
        <w:t> </w:t>
      </w:r>
      <w:r w:rsidRPr="00111F34">
        <w:t>oblasti ochrany životního prostředí a veřejného zdraví u strategických dokumentů na vnitrostátní úrovni, u</w:t>
      </w:r>
      <w:r w:rsidR="00870621" w:rsidRPr="00111F34">
        <w:t> </w:t>
      </w:r>
      <w:r w:rsidRPr="00111F34">
        <w:t xml:space="preserve">kterých byl prokázán významný vztah vůči </w:t>
      </w:r>
      <w:r w:rsidR="005308CC" w:rsidRPr="00111F34">
        <w:t>posuzované</w:t>
      </w:r>
      <w:r w:rsidR="00EF6455" w:rsidRPr="00111F34">
        <w:t xml:space="preserve"> ÚPD</w:t>
      </w:r>
      <w:r w:rsidRPr="00111F34">
        <w:t>. Posouzení bylo poté provedeno podrobně vůči referenčnímu rámci, který reprezentuje jednak relevantní strategické cíle přijaté ve vybraných koncepcích na vnitrostátní úrovni a jednak žádoucí pozitivní trendy životního prostředí a veřejného zdraví, které vyplynuly z analýzy životního prostředí v řešeném území a z potřeby řešení problémů stanovených v</w:t>
      </w:r>
      <w:r w:rsidR="00B7424E" w:rsidRPr="00111F34">
        <w:t> </w:t>
      </w:r>
      <w:r w:rsidRPr="00111F34">
        <w:t>územně plánovacích podkladech. Na základě provedeného hodnocení byl konstatován soulad či nesoulad návrh</w:t>
      </w:r>
      <w:r w:rsidR="0097418D" w:rsidRPr="00111F34">
        <w:t>u</w:t>
      </w:r>
      <w:r w:rsidRPr="00111F34">
        <w:t xml:space="preserve"> předložené </w:t>
      </w:r>
      <w:r w:rsidR="00584239" w:rsidRPr="00111F34">
        <w:t>ÚPD</w:t>
      </w:r>
      <w:r w:rsidRPr="00111F34">
        <w:t xml:space="preserve"> a na národní a komunitární úrovni přijatých cílů ochrany životního prostředí (viz</w:t>
      </w:r>
      <w:r w:rsidR="00870621" w:rsidRPr="00111F34">
        <w:t> </w:t>
      </w:r>
      <w:r w:rsidRPr="00111F34">
        <w:t xml:space="preserve">kapitola A.II.). Na základě podrobného vyhodnocení vlivů </w:t>
      </w:r>
      <w:r w:rsidR="00584239" w:rsidRPr="00111F34">
        <w:t>předložené ÚPD</w:t>
      </w:r>
      <w:r w:rsidRPr="00111F34">
        <w:t xml:space="preserve"> vůči jednotlivým složkám životního prostředí a veřejného zdraví a jim odpovídajícímu referenčnímu rámci byl</w:t>
      </w:r>
      <w:r w:rsidR="0057587D" w:rsidRPr="00111F34">
        <w:t>a</w:t>
      </w:r>
      <w:r w:rsidRPr="00111F34">
        <w:t xml:space="preserve"> </w:t>
      </w:r>
      <w:r w:rsidR="000B4E10" w:rsidRPr="00111F34">
        <w:t>změn</w:t>
      </w:r>
      <w:r w:rsidR="0057587D" w:rsidRPr="00111F34">
        <w:t>a</w:t>
      </w:r>
      <w:r w:rsidRPr="00111F34">
        <w:t xml:space="preserve"> doporučen</w:t>
      </w:r>
      <w:r w:rsidR="0017530C" w:rsidRPr="00111F34">
        <w:t>a,</w:t>
      </w:r>
      <w:r w:rsidRPr="00111F34">
        <w:t xml:space="preserve"> resp. nedoporučen</w:t>
      </w:r>
      <w:r w:rsidR="0017530C" w:rsidRPr="00111F34">
        <w:t>a</w:t>
      </w:r>
      <w:r w:rsidRPr="00111F34">
        <w:t xml:space="preserve"> k realizaci a byl</w:t>
      </w:r>
      <w:r w:rsidR="0017530C" w:rsidRPr="00111F34">
        <w:t>a</w:t>
      </w:r>
      <w:r w:rsidRPr="00111F34">
        <w:t xml:space="preserve"> </w:t>
      </w:r>
      <w:r w:rsidR="0017530C" w:rsidRPr="00111F34">
        <w:t>navržen</w:t>
      </w:r>
      <w:r w:rsidRPr="00111F34">
        <w:t>a opatření pro eliminaci</w:t>
      </w:r>
      <w:r w:rsidR="0017530C" w:rsidRPr="00111F34">
        <w:t>,</w:t>
      </w:r>
      <w:r w:rsidRPr="00111F34">
        <w:t xml:space="preserve"> resp. snížení negativních vlivů realizace </w:t>
      </w:r>
      <w:r w:rsidR="00EF6455" w:rsidRPr="00111F34">
        <w:t>ÚPD</w:t>
      </w:r>
      <w:r w:rsidRPr="00111F34">
        <w:t xml:space="preserve"> na životní prostředí a veřejné zdraví (viz kapitoly A.V</w:t>
      </w:r>
      <w:r w:rsidR="0057587D" w:rsidRPr="00111F34">
        <w:t>I</w:t>
      </w:r>
      <w:r w:rsidRPr="00111F34">
        <w:t>II a A.</w:t>
      </w:r>
      <w:r w:rsidR="0057587D" w:rsidRPr="00111F34">
        <w:t>XI</w:t>
      </w:r>
      <w:r w:rsidRPr="00111F34">
        <w:t xml:space="preserve">). </w:t>
      </w:r>
    </w:p>
    <w:p w14:paraId="597DB55A" w14:textId="77777777" w:rsidR="000B4E10" w:rsidRPr="00111F34" w:rsidRDefault="000B4E10" w:rsidP="000B4E10">
      <w:r w:rsidRPr="00111F34">
        <w:t>Z koncepčních dokumentů specifikovaných v kap. A.I.3. byly vybrány cíle a priority s jednoznačnou vazbou na problematiku ochrany životního prostředí a zdraví obyvatelstva, které jsou relevantní vůči předkládané územně plánovací dokumentaci. Následně byl vyhodnocen vztah těchto cílů vůči předkládané ÚPD pomocí jednoduché symboliky, která v tomto případě vyjadřuje, do jaké míry může ÚPD (v rámci svých kompetencí definovaných stavebním zákonem) přispět k jejich dosažení či nikoli viz níže uvedený tabulkový přehled.</w:t>
      </w:r>
    </w:p>
    <w:p w14:paraId="2C53A56C" w14:textId="1ADE4133" w:rsidR="00794578" w:rsidRPr="00111F34" w:rsidRDefault="00794578" w:rsidP="00794578">
      <w:pPr>
        <w:ind w:left="1440" w:hanging="720"/>
      </w:pPr>
      <w:r w:rsidRPr="00111F34">
        <w:t xml:space="preserve">+ </w:t>
      </w:r>
      <w:r w:rsidRPr="00111F34">
        <w:tab/>
        <w:t xml:space="preserve">Řešení předkládané ÚPD má pozitivní vazbu na dosažení cíle, cíl byl zapracován v rámci </w:t>
      </w:r>
      <w:r w:rsidR="00CE61C4" w:rsidRPr="00111F34">
        <w:t>řešení ÚPD</w:t>
      </w:r>
      <w:r w:rsidR="0097418D" w:rsidRPr="00111F34">
        <w:t>.</w:t>
      </w:r>
    </w:p>
    <w:p w14:paraId="1FFDDDE7" w14:textId="248A2576" w:rsidR="00794578" w:rsidRPr="00111F34" w:rsidRDefault="00A04E8C" w:rsidP="00794578">
      <w:pPr>
        <w:ind w:left="1440" w:hanging="720"/>
      </w:pPr>
      <w:r w:rsidRPr="00111F34">
        <w:t xml:space="preserve">0 </w:t>
      </w:r>
      <w:r w:rsidRPr="00111F34">
        <w:tab/>
        <w:t xml:space="preserve">Řešení předkládané </w:t>
      </w:r>
      <w:r w:rsidR="00794578" w:rsidRPr="00111F34">
        <w:t xml:space="preserve">ÚPD nemá na dosažení cíle žádný vliv (cíl není z hlediska </w:t>
      </w:r>
      <w:r w:rsidR="00CE61C4" w:rsidRPr="00111F34">
        <w:t>řešené ÚPD</w:t>
      </w:r>
      <w:r w:rsidR="00794578" w:rsidRPr="00111F34">
        <w:t xml:space="preserve"> relevantní)</w:t>
      </w:r>
      <w:r w:rsidR="0097418D" w:rsidRPr="00111F34">
        <w:t>.</w:t>
      </w:r>
    </w:p>
    <w:p w14:paraId="6936AD33" w14:textId="4D5DD02E" w:rsidR="00794578" w:rsidRPr="00111F34" w:rsidRDefault="00794578" w:rsidP="00A15CC5">
      <w:pPr>
        <w:pStyle w:val="Odstavecseseznamem"/>
        <w:numPr>
          <w:ilvl w:val="0"/>
          <w:numId w:val="11"/>
        </w:numPr>
        <w:ind w:left="1418" w:hanging="698"/>
      </w:pPr>
      <w:r w:rsidRPr="00111F34">
        <w:t xml:space="preserve">Řešení předkládané </w:t>
      </w:r>
      <w:r w:rsidR="00A04E8C" w:rsidRPr="00111F34">
        <w:t>ÚPD</w:t>
      </w:r>
      <w:r w:rsidRPr="00111F34">
        <w:t xml:space="preserve"> má negativní vazbu na dosažení cíle, cíl je s řešením </w:t>
      </w:r>
      <w:r w:rsidR="00F957E4" w:rsidRPr="00111F34">
        <w:t>ÚPD</w:t>
      </w:r>
      <w:r w:rsidRPr="00111F34">
        <w:t xml:space="preserve"> v dílčím rozporu, je třeba přijmout opatření pro zamezení negativních vlivů </w:t>
      </w:r>
      <w:r w:rsidR="00773A58" w:rsidRPr="00111F34">
        <w:t>implementace ÚPD</w:t>
      </w:r>
      <w:r w:rsidRPr="00111F34">
        <w:t xml:space="preserve"> na životní prostředí a veřejné zdraví</w:t>
      </w:r>
      <w:r w:rsidR="0097418D" w:rsidRPr="00111F34">
        <w:t>.</w:t>
      </w:r>
    </w:p>
    <w:p w14:paraId="1ACD8FC8" w14:textId="46FD488E" w:rsidR="0039098B" w:rsidRPr="00111F34" w:rsidRDefault="0039098B" w:rsidP="009449A1">
      <w:pPr>
        <w:pStyle w:val="Tabulkanzev"/>
      </w:pPr>
      <w:bookmarkStart w:id="332" w:name="_Toc138848179"/>
      <w:r w:rsidRPr="00111F34">
        <w:t>Zapracování cílů ochrany životního prostředí přijatých na vnitrostátní úrovni</w:t>
      </w:r>
      <w:bookmarkEnd w:id="332"/>
    </w:p>
    <w:tbl>
      <w:tblPr>
        <w:tblW w:w="4929" w:type="pct"/>
        <w:tblInd w:w="70" w:type="dxa"/>
        <w:tblLayout w:type="fixed"/>
        <w:tblCellMar>
          <w:left w:w="70" w:type="dxa"/>
          <w:right w:w="70" w:type="dxa"/>
        </w:tblCellMar>
        <w:tblLook w:val="04A0" w:firstRow="1" w:lastRow="0" w:firstColumn="1" w:lastColumn="0" w:noHBand="0" w:noVBand="1"/>
      </w:tblPr>
      <w:tblGrid>
        <w:gridCol w:w="4892"/>
        <w:gridCol w:w="1074"/>
        <w:gridCol w:w="36"/>
        <w:gridCol w:w="21"/>
        <w:gridCol w:w="3468"/>
      </w:tblGrid>
      <w:tr w:rsidR="002E185B" w:rsidRPr="00111F34" w14:paraId="26176A96" w14:textId="77777777" w:rsidTr="0017530C">
        <w:trPr>
          <w:trHeight w:val="151"/>
          <w:tblHeader/>
        </w:trPr>
        <w:tc>
          <w:tcPr>
            <w:tcW w:w="2577" w:type="pct"/>
            <w:vMerge w:val="restart"/>
            <w:tcBorders>
              <w:left w:val="single" w:sz="4" w:space="0" w:color="auto"/>
              <w:right w:val="single" w:sz="4" w:space="0" w:color="auto"/>
            </w:tcBorders>
            <w:shd w:val="clear" w:color="auto" w:fill="233845"/>
            <w:noWrap/>
            <w:vAlign w:val="center"/>
          </w:tcPr>
          <w:p w14:paraId="29707D10" w14:textId="77777777" w:rsidR="002E185B" w:rsidRPr="00111F34" w:rsidRDefault="002E185B" w:rsidP="00010A9E">
            <w:pPr>
              <w:spacing w:before="0"/>
              <w:jc w:val="left"/>
              <w:rPr>
                <w:rFonts w:eastAsia="Times New Roman" w:cs="Arial"/>
                <w:b/>
                <w:bCs/>
                <w:color w:val="FFFFFF" w:themeColor="background1"/>
                <w:sz w:val="16"/>
                <w:szCs w:val="16"/>
                <w:lang w:eastAsia="cs-CZ"/>
              </w:rPr>
            </w:pPr>
            <w:r w:rsidRPr="00111F34">
              <w:rPr>
                <w:rFonts w:eastAsia="Times New Roman" w:cs="Arial"/>
                <w:b/>
                <w:bCs/>
                <w:color w:val="FFFFFF" w:themeColor="background1"/>
                <w:sz w:val="16"/>
                <w:szCs w:val="16"/>
                <w:lang w:eastAsia="cs-CZ"/>
              </w:rPr>
              <w:t>Cíle ochrany životního prostředí přijaté na vnitrostátní úrovni relevantní vůči předkládané ÚPD</w:t>
            </w:r>
          </w:p>
        </w:tc>
        <w:tc>
          <w:tcPr>
            <w:tcW w:w="566" w:type="pct"/>
            <w:tcBorders>
              <w:top w:val="single" w:sz="4" w:space="0" w:color="auto"/>
              <w:left w:val="nil"/>
              <w:bottom w:val="single" w:sz="4" w:space="0" w:color="auto"/>
              <w:right w:val="single" w:sz="4" w:space="0" w:color="auto"/>
            </w:tcBorders>
            <w:shd w:val="clear" w:color="auto" w:fill="233845"/>
            <w:noWrap/>
            <w:vAlign w:val="center"/>
          </w:tcPr>
          <w:p w14:paraId="5B7AA0B5" w14:textId="77777777" w:rsidR="002E185B" w:rsidRPr="00111F34" w:rsidRDefault="002E185B" w:rsidP="00010A9E">
            <w:pPr>
              <w:spacing w:before="0"/>
              <w:jc w:val="center"/>
              <w:rPr>
                <w:rFonts w:eastAsia="Times New Roman" w:cs="Arial"/>
                <w:b/>
                <w:bCs/>
                <w:color w:val="FFFFFF" w:themeColor="background1"/>
                <w:sz w:val="16"/>
                <w:szCs w:val="16"/>
                <w:lang w:eastAsia="cs-CZ"/>
              </w:rPr>
            </w:pPr>
            <w:r w:rsidRPr="00111F34">
              <w:rPr>
                <w:rFonts w:eastAsia="Times New Roman" w:cs="Arial"/>
                <w:b/>
                <w:bCs/>
                <w:color w:val="FFFFFF" w:themeColor="background1"/>
                <w:sz w:val="16"/>
                <w:szCs w:val="16"/>
                <w:lang w:eastAsia="cs-CZ"/>
              </w:rPr>
              <w:t>Hodnocení</w:t>
            </w:r>
          </w:p>
        </w:tc>
        <w:tc>
          <w:tcPr>
            <w:tcW w:w="1857" w:type="pct"/>
            <w:gridSpan w:val="3"/>
            <w:vMerge w:val="restart"/>
            <w:tcBorders>
              <w:top w:val="single" w:sz="4" w:space="0" w:color="auto"/>
              <w:left w:val="nil"/>
              <w:right w:val="single" w:sz="4" w:space="0" w:color="auto"/>
            </w:tcBorders>
            <w:shd w:val="clear" w:color="auto" w:fill="233845"/>
            <w:vAlign w:val="center"/>
          </w:tcPr>
          <w:p w14:paraId="0A742E0D" w14:textId="77777777" w:rsidR="002E185B" w:rsidRPr="00111F34" w:rsidRDefault="002E185B" w:rsidP="00010A9E">
            <w:pPr>
              <w:spacing w:before="0"/>
              <w:jc w:val="center"/>
              <w:rPr>
                <w:rFonts w:eastAsia="Times New Roman" w:cs="Arial"/>
                <w:b/>
                <w:bCs/>
                <w:color w:val="FFFFFF" w:themeColor="background1"/>
                <w:sz w:val="16"/>
                <w:szCs w:val="16"/>
                <w:lang w:eastAsia="cs-CZ"/>
              </w:rPr>
            </w:pPr>
            <w:r w:rsidRPr="00111F34">
              <w:rPr>
                <w:rFonts w:eastAsia="Times New Roman" w:cs="Arial"/>
                <w:b/>
                <w:bCs/>
                <w:color w:val="FFFFFF" w:themeColor="background1"/>
                <w:sz w:val="16"/>
                <w:szCs w:val="16"/>
                <w:lang w:eastAsia="cs-CZ"/>
              </w:rPr>
              <w:t>Komentář</w:t>
            </w:r>
          </w:p>
        </w:tc>
      </w:tr>
      <w:tr w:rsidR="002E185B" w:rsidRPr="00111F34" w14:paraId="00038022" w14:textId="77777777" w:rsidTr="0017530C">
        <w:trPr>
          <w:trHeight w:val="150"/>
          <w:tblHeader/>
        </w:trPr>
        <w:tc>
          <w:tcPr>
            <w:tcW w:w="2577" w:type="pct"/>
            <w:vMerge/>
            <w:tcBorders>
              <w:left w:val="single" w:sz="4" w:space="0" w:color="auto"/>
              <w:bottom w:val="single" w:sz="4" w:space="0" w:color="auto"/>
              <w:right w:val="single" w:sz="4" w:space="0" w:color="auto"/>
            </w:tcBorders>
            <w:shd w:val="clear" w:color="auto" w:fill="233845"/>
            <w:noWrap/>
            <w:vAlign w:val="center"/>
          </w:tcPr>
          <w:p w14:paraId="6B60C95E" w14:textId="77777777" w:rsidR="002E185B" w:rsidRPr="00111F34" w:rsidRDefault="002E185B" w:rsidP="00010A9E">
            <w:pPr>
              <w:spacing w:before="0"/>
              <w:jc w:val="left"/>
              <w:rPr>
                <w:rFonts w:eastAsia="Times New Roman" w:cs="Arial"/>
                <w:b/>
                <w:bCs/>
                <w:color w:val="FFFFFF" w:themeColor="background1"/>
                <w:sz w:val="16"/>
                <w:szCs w:val="16"/>
                <w:lang w:eastAsia="cs-CZ"/>
              </w:rPr>
            </w:pPr>
          </w:p>
        </w:tc>
        <w:tc>
          <w:tcPr>
            <w:tcW w:w="566" w:type="pct"/>
            <w:tcBorders>
              <w:top w:val="single" w:sz="4" w:space="0" w:color="auto"/>
              <w:left w:val="nil"/>
              <w:bottom w:val="single" w:sz="4" w:space="0" w:color="auto"/>
              <w:right w:val="single" w:sz="4" w:space="0" w:color="auto"/>
            </w:tcBorders>
            <w:shd w:val="clear" w:color="auto" w:fill="233845"/>
            <w:noWrap/>
            <w:vAlign w:val="center"/>
          </w:tcPr>
          <w:p w14:paraId="7B1A02EC" w14:textId="283C6781" w:rsidR="002E185B" w:rsidRPr="00111F34" w:rsidRDefault="00F80CDD" w:rsidP="00010A9E">
            <w:pPr>
              <w:spacing w:before="0"/>
              <w:jc w:val="center"/>
              <w:rPr>
                <w:rFonts w:eastAsia="Times New Roman" w:cs="Arial"/>
                <w:b/>
                <w:bCs/>
                <w:color w:val="FFFFFF" w:themeColor="background1"/>
                <w:sz w:val="16"/>
                <w:szCs w:val="16"/>
                <w:lang w:eastAsia="cs-CZ"/>
              </w:rPr>
            </w:pPr>
            <w:r w:rsidRPr="00111F34">
              <w:rPr>
                <w:rFonts w:eastAsia="Times New Roman" w:cs="Arial"/>
                <w:b/>
                <w:bCs/>
                <w:color w:val="FFFFFF" w:themeColor="background1"/>
                <w:sz w:val="16"/>
                <w:szCs w:val="16"/>
                <w:lang w:eastAsia="cs-CZ"/>
              </w:rPr>
              <w:t>Z</w:t>
            </w:r>
            <w:r w:rsidR="001663EA" w:rsidRPr="00111F34">
              <w:rPr>
                <w:rFonts w:eastAsia="Times New Roman" w:cs="Arial"/>
                <w:b/>
                <w:bCs/>
                <w:color w:val="FFFFFF" w:themeColor="background1"/>
                <w:sz w:val="16"/>
                <w:szCs w:val="16"/>
                <w:lang w:eastAsia="cs-CZ"/>
              </w:rPr>
              <w:t>3827</w:t>
            </w:r>
            <w:r w:rsidRPr="00111F34">
              <w:rPr>
                <w:rFonts w:eastAsia="Times New Roman" w:cs="Arial"/>
                <w:b/>
                <w:bCs/>
                <w:color w:val="FFFFFF" w:themeColor="background1"/>
                <w:sz w:val="16"/>
                <w:szCs w:val="16"/>
                <w:lang w:eastAsia="cs-CZ"/>
              </w:rPr>
              <w:t>/00</w:t>
            </w:r>
          </w:p>
        </w:tc>
        <w:tc>
          <w:tcPr>
            <w:tcW w:w="1857" w:type="pct"/>
            <w:gridSpan w:val="3"/>
            <w:vMerge/>
            <w:tcBorders>
              <w:left w:val="nil"/>
              <w:bottom w:val="single" w:sz="4" w:space="0" w:color="auto"/>
              <w:right w:val="single" w:sz="4" w:space="0" w:color="auto"/>
            </w:tcBorders>
            <w:shd w:val="clear" w:color="auto" w:fill="233845"/>
            <w:vAlign w:val="center"/>
          </w:tcPr>
          <w:p w14:paraId="2FEF079B" w14:textId="77777777" w:rsidR="002E185B" w:rsidRPr="00111F34" w:rsidRDefault="002E185B" w:rsidP="00010A9E">
            <w:pPr>
              <w:spacing w:before="0"/>
              <w:jc w:val="center"/>
              <w:rPr>
                <w:rFonts w:eastAsia="Times New Roman" w:cs="Arial"/>
                <w:b/>
                <w:bCs/>
                <w:color w:val="FFFFFF" w:themeColor="background1"/>
                <w:sz w:val="16"/>
                <w:szCs w:val="16"/>
                <w:lang w:eastAsia="cs-CZ"/>
              </w:rPr>
            </w:pPr>
          </w:p>
        </w:tc>
      </w:tr>
      <w:tr w:rsidR="002E185B" w:rsidRPr="00111F34" w14:paraId="2AA650FA" w14:textId="77777777" w:rsidTr="009742E2">
        <w:trPr>
          <w:trHeight w:val="30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1573C05" w14:textId="77777777" w:rsidR="002E185B" w:rsidRPr="00111F34" w:rsidRDefault="002E185B" w:rsidP="00010A9E">
            <w:pPr>
              <w:pStyle w:val="Podnadpis1"/>
              <w:spacing w:beforeLines="40" w:before="96" w:after="40"/>
              <w:jc w:val="center"/>
              <w:rPr>
                <w:sz w:val="16"/>
                <w:szCs w:val="16"/>
              </w:rPr>
            </w:pPr>
            <w:r w:rsidRPr="00111F34">
              <w:rPr>
                <w:sz w:val="16"/>
                <w:szCs w:val="16"/>
              </w:rPr>
              <w:t>Politika územního rozvoje (PÚR)</w:t>
            </w:r>
          </w:p>
        </w:tc>
      </w:tr>
      <w:tr w:rsidR="002E185B" w:rsidRPr="00111F34" w14:paraId="292CF05C" w14:textId="77777777" w:rsidTr="0017530C">
        <w:trPr>
          <w:trHeight w:val="531"/>
        </w:trPr>
        <w:tc>
          <w:tcPr>
            <w:tcW w:w="2577" w:type="pct"/>
            <w:tcBorders>
              <w:top w:val="nil"/>
              <w:left w:val="single" w:sz="4" w:space="0" w:color="auto"/>
              <w:bottom w:val="single" w:sz="4" w:space="0" w:color="auto"/>
              <w:right w:val="single" w:sz="4" w:space="0" w:color="auto"/>
            </w:tcBorders>
            <w:shd w:val="clear" w:color="auto" w:fill="auto"/>
            <w:noWrap/>
            <w:vAlign w:val="center"/>
          </w:tcPr>
          <w:p w14:paraId="497D6139" w14:textId="77777777" w:rsidR="002E185B" w:rsidRPr="00111F34" w:rsidRDefault="002E185B" w:rsidP="00010A9E">
            <w:pPr>
              <w:pStyle w:val="Odrky1"/>
              <w:jc w:val="left"/>
              <w:rPr>
                <w:sz w:val="16"/>
                <w:szCs w:val="16"/>
              </w:rPr>
            </w:pPr>
            <w:r w:rsidRPr="00111F34">
              <w:rPr>
                <w:sz w:val="16"/>
                <w:szCs w:val="16"/>
              </w:rPr>
              <w:t>Ve veřejném zájmu chránit a rozvíjet přírodní, civilizační a kulturní hodnoty území, včetně urbanistického, architektonického a archeologického dědictví. Zachovat ráz jedinečné urbanistické struktury území, struktury osídlení a jedinečné kulturní krajiny, které jsou výrazem identity území, jeho historie a tradice.</w:t>
            </w:r>
          </w:p>
        </w:tc>
        <w:tc>
          <w:tcPr>
            <w:tcW w:w="566" w:type="pct"/>
            <w:tcBorders>
              <w:top w:val="nil"/>
              <w:left w:val="nil"/>
              <w:bottom w:val="single" w:sz="4" w:space="0" w:color="auto"/>
              <w:right w:val="single" w:sz="4" w:space="0" w:color="auto"/>
            </w:tcBorders>
            <w:shd w:val="clear" w:color="auto" w:fill="auto"/>
            <w:noWrap/>
            <w:vAlign w:val="center"/>
          </w:tcPr>
          <w:p w14:paraId="6A079418" w14:textId="7928BCAB" w:rsidR="002E185B" w:rsidRPr="00111F34" w:rsidRDefault="002E185B" w:rsidP="00010A9E">
            <w:pPr>
              <w:spacing w:before="0"/>
              <w:jc w:val="center"/>
              <w:rPr>
                <w:rFonts w:eastAsia="Times New Roman" w:cs="Arial"/>
                <w:color w:val="000000"/>
                <w:sz w:val="16"/>
                <w:szCs w:val="16"/>
                <w:lang w:eastAsia="cs-CZ"/>
              </w:rPr>
            </w:pPr>
            <w:r w:rsidRPr="00111F34">
              <w:rPr>
                <w:rFonts w:eastAsia="Times New Roman" w:cs="Arial"/>
                <w:color w:val="000000"/>
                <w:sz w:val="16"/>
                <w:szCs w:val="16"/>
                <w:lang w:eastAsia="cs-CZ"/>
              </w:rPr>
              <w:t>+</w:t>
            </w:r>
          </w:p>
        </w:tc>
        <w:tc>
          <w:tcPr>
            <w:tcW w:w="1857" w:type="pct"/>
            <w:gridSpan w:val="3"/>
            <w:tcBorders>
              <w:top w:val="nil"/>
              <w:left w:val="nil"/>
              <w:bottom w:val="single" w:sz="4" w:space="0" w:color="auto"/>
              <w:right w:val="single" w:sz="4" w:space="0" w:color="auto"/>
            </w:tcBorders>
            <w:vAlign w:val="center"/>
          </w:tcPr>
          <w:p w14:paraId="3FC950C8" w14:textId="61A88598" w:rsidR="002E185B" w:rsidRPr="00111F34" w:rsidRDefault="002E185B" w:rsidP="00010A9E">
            <w:pPr>
              <w:spacing w:before="0"/>
              <w:jc w:val="center"/>
              <w:rPr>
                <w:rFonts w:eastAsia="Times New Roman" w:cs="Arial"/>
                <w:color w:val="000000"/>
                <w:sz w:val="16"/>
                <w:szCs w:val="16"/>
                <w:lang w:eastAsia="cs-CZ"/>
              </w:rPr>
            </w:pPr>
            <w:r w:rsidRPr="00111F34">
              <w:rPr>
                <w:rFonts w:eastAsia="Times New Roman" w:cs="Arial"/>
                <w:color w:val="000000"/>
                <w:sz w:val="16"/>
                <w:szCs w:val="16"/>
                <w:lang w:eastAsia="cs-CZ"/>
              </w:rPr>
              <w:t>ÚPD respektuje urbanistický ráz území</w:t>
            </w:r>
            <w:r w:rsidR="0017530C" w:rsidRPr="00111F34">
              <w:rPr>
                <w:rFonts w:eastAsia="Times New Roman" w:cs="Arial"/>
                <w:color w:val="000000"/>
                <w:sz w:val="16"/>
                <w:szCs w:val="16"/>
                <w:lang w:eastAsia="cs-CZ"/>
              </w:rPr>
              <w:t>, transformuje brownfields a vytváří územní předpoklady pro realizaci moderní městské čtvrti</w:t>
            </w:r>
            <w:r w:rsidR="00037554" w:rsidRPr="00111F34">
              <w:rPr>
                <w:rFonts w:eastAsia="Times New Roman" w:cs="Arial"/>
                <w:color w:val="000000"/>
                <w:sz w:val="16"/>
                <w:szCs w:val="16"/>
                <w:lang w:eastAsia="cs-CZ"/>
              </w:rPr>
              <w:t xml:space="preserve"> a vybavení území dopravní infrastrukturou</w:t>
            </w:r>
            <w:r w:rsidR="0017530C" w:rsidRPr="00111F34">
              <w:rPr>
                <w:rFonts w:eastAsia="Times New Roman" w:cs="Arial"/>
                <w:color w:val="000000"/>
                <w:sz w:val="16"/>
                <w:szCs w:val="16"/>
                <w:lang w:eastAsia="cs-CZ"/>
              </w:rPr>
              <w:t xml:space="preserve">. </w:t>
            </w:r>
          </w:p>
        </w:tc>
      </w:tr>
      <w:tr w:rsidR="002E185B" w:rsidRPr="00111F34" w14:paraId="734D2621" w14:textId="77777777" w:rsidTr="0017530C">
        <w:trPr>
          <w:trHeight w:val="531"/>
        </w:trPr>
        <w:tc>
          <w:tcPr>
            <w:tcW w:w="2577" w:type="pct"/>
            <w:tcBorders>
              <w:top w:val="nil"/>
              <w:left w:val="single" w:sz="4" w:space="0" w:color="auto"/>
              <w:bottom w:val="single" w:sz="4" w:space="0" w:color="auto"/>
              <w:right w:val="single" w:sz="4" w:space="0" w:color="auto"/>
            </w:tcBorders>
            <w:shd w:val="clear" w:color="auto" w:fill="auto"/>
            <w:noWrap/>
            <w:vAlign w:val="center"/>
          </w:tcPr>
          <w:p w14:paraId="757A2223" w14:textId="77777777" w:rsidR="002E185B" w:rsidRPr="00111F34" w:rsidRDefault="002E185B" w:rsidP="00010A9E">
            <w:pPr>
              <w:pStyle w:val="Odrky1"/>
              <w:jc w:val="left"/>
              <w:rPr>
                <w:sz w:val="16"/>
                <w:szCs w:val="16"/>
              </w:rPr>
            </w:pPr>
            <w:r w:rsidRPr="00111F34">
              <w:rPr>
                <w:sz w:val="16"/>
                <w:szCs w:val="16"/>
              </w:rPr>
              <w:t xml:space="preserve">Vytvářet předpoklady pro polyfunkční využívání opuštěných areálů a ploch. Hospodárně využívat zastavěné území (podpora přestaveb revitalizací a sanací území) a zajistit ochranu nezastavěného území (zejména zemědělské a lesní </w:t>
            </w:r>
            <w:r w:rsidRPr="00111F34">
              <w:rPr>
                <w:sz w:val="16"/>
                <w:szCs w:val="16"/>
              </w:rPr>
              <w:lastRenderedPageBreak/>
              <w:t>půdy) a zachování veřejné zeleně, včetně minimalizace její fragmentace.</w:t>
            </w:r>
          </w:p>
        </w:tc>
        <w:tc>
          <w:tcPr>
            <w:tcW w:w="566" w:type="pct"/>
            <w:tcBorders>
              <w:top w:val="nil"/>
              <w:left w:val="nil"/>
              <w:bottom w:val="single" w:sz="4" w:space="0" w:color="auto"/>
              <w:right w:val="single" w:sz="4" w:space="0" w:color="auto"/>
            </w:tcBorders>
            <w:shd w:val="clear" w:color="auto" w:fill="auto"/>
            <w:noWrap/>
            <w:vAlign w:val="center"/>
          </w:tcPr>
          <w:p w14:paraId="697C9D1C" w14:textId="77777777" w:rsidR="002E185B" w:rsidRPr="00111F34" w:rsidRDefault="002E185B" w:rsidP="00010A9E">
            <w:pPr>
              <w:spacing w:before="0"/>
              <w:jc w:val="center"/>
              <w:rPr>
                <w:rFonts w:eastAsia="Times New Roman" w:cs="Arial"/>
                <w:color w:val="000000"/>
                <w:sz w:val="16"/>
                <w:szCs w:val="16"/>
                <w:lang w:eastAsia="cs-CZ"/>
              </w:rPr>
            </w:pPr>
            <w:r w:rsidRPr="00111F34">
              <w:rPr>
                <w:rFonts w:eastAsia="Times New Roman" w:cs="Arial"/>
                <w:color w:val="000000"/>
                <w:sz w:val="16"/>
                <w:szCs w:val="16"/>
                <w:lang w:eastAsia="cs-CZ"/>
              </w:rPr>
              <w:lastRenderedPageBreak/>
              <w:t>+</w:t>
            </w:r>
          </w:p>
        </w:tc>
        <w:tc>
          <w:tcPr>
            <w:tcW w:w="1857" w:type="pct"/>
            <w:gridSpan w:val="3"/>
            <w:tcBorders>
              <w:top w:val="nil"/>
              <w:left w:val="nil"/>
              <w:bottom w:val="single" w:sz="4" w:space="0" w:color="auto"/>
              <w:right w:val="single" w:sz="4" w:space="0" w:color="auto"/>
            </w:tcBorders>
            <w:vAlign w:val="center"/>
          </w:tcPr>
          <w:p w14:paraId="6CA439E0" w14:textId="7BF4404B" w:rsidR="002E185B" w:rsidRPr="00111F34" w:rsidRDefault="002E185B" w:rsidP="00010A9E">
            <w:pPr>
              <w:spacing w:before="0"/>
              <w:jc w:val="center"/>
              <w:rPr>
                <w:rFonts w:eastAsia="Times New Roman" w:cs="Arial"/>
                <w:color w:val="000000"/>
                <w:sz w:val="16"/>
                <w:szCs w:val="16"/>
                <w:lang w:eastAsia="cs-CZ"/>
              </w:rPr>
            </w:pPr>
            <w:r w:rsidRPr="00111F34">
              <w:rPr>
                <w:rFonts w:eastAsia="Times New Roman" w:cs="Arial"/>
                <w:color w:val="000000"/>
                <w:sz w:val="16"/>
                <w:szCs w:val="16"/>
                <w:lang w:eastAsia="cs-CZ"/>
              </w:rPr>
              <w:t xml:space="preserve">ÚPD částečně využívá </w:t>
            </w:r>
            <w:r w:rsidR="00010A9E" w:rsidRPr="00111F34">
              <w:rPr>
                <w:rFonts w:eastAsia="Times New Roman" w:cs="Arial"/>
                <w:color w:val="000000"/>
                <w:sz w:val="16"/>
                <w:szCs w:val="16"/>
                <w:lang w:eastAsia="cs-CZ"/>
              </w:rPr>
              <w:t>již zastavěné území</w:t>
            </w:r>
            <w:r w:rsidRPr="00111F34">
              <w:rPr>
                <w:rFonts w:eastAsia="Times New Roman" w:cs="Arial"/>
                <w:color w:val="000000"/>
                <w:sz w:val="16"/>
                <w:szCs w:val="16"/>
                <w:lang w:eastAsia="cs-CZ"/>
              </w:rPr>
              <w:t>.</w:t>
            </w:r>
            <w:r w:rsidR="004C7DEF" w:rsidRPr="00111F34">
              <w:rPr>
                <w:rFonts w:eastAsia="Times New Roman" w:cs="Arial"/>
                <w:color w:val="000000"/>
                <w:sz w:val="16"/>
                <w:szCs w:val="16"/>
                <w:lang w:eastAsia="cs-CZ"/>
              </w:rPr>
              <w:t xml:space="preserve"> Cíl přímo rozvíjí.</w:t>
            </w:r>
            <w:r w:rsidR="00037554" w:rsidRPr="00111F34">
              <w:rPr>
                <w:rFonts w:eastAsia="Times New Roman" w:cs="Arial"/>
                <w:color w:val="000000"/>
                <w:sz w:val="16"/>
                <w:szCs w:val="16"/>
                <w:lang w:eastAsia="cs-CZ"/>
              </w:rPr>
              <w:t xml:space="preserve"> </w:t>
            </w:r>
          </w:p>
        </w:tc>
      </w:tr>
      <w:tr w:rsidR="0017530C" w:rsidRPr="00111F34" w14:paraId="32EC83AD" w14:textId="77777777" w:rsidTr="0017530C">
        <w:trPr>
          <w:trHeight w:val="531"/>
        </w:trPr>
        <w:tc>
          <w:tcPr>
            <w:tcW w:w="2577" w:type="pct"/>
            <w:tcBorders>
              <w:top w:val="nil"/>
              <w:left w:val="single" w:sz="4" w:space="0" w:color="auto"/>
              <w:bottom w:val="single" w:sz="4" w:space="0" w:color="auto"/>
              <w:right w:val="single" w:sz="4" w:space="0" w:color="auto"/>
            </w:tcBorders>
            <w:shd w:val="clear" w:color="auto" w:fill="auto"/>
            <w:noWrap/>
            <w:vAlign w:val="center"/>
            <w:hideMark/>
          </w:tcPr>
          <w:p w14:paraId="64F16B92" w14:textId="1AA70EC2" w:rsidR="0017530C" w:rsidRPr="00111F34" w:rsidRDefault="0017530C" w:rsidP="0017530C">
            <w:pPr>
              <w:pStyle w:val="Odrky1"/>
              <w:jc w:val="left"/>
              <w:rPr>
                <w:rFonts w:eastAsia="Times New Roman"/>
                <w:color w:val="00B0B9"/>
                <w:sz w:val="16"/>
                <w:szCs w:val="16"/>
                <w:lang w:eastAsia="cs-CZ"/>
              </w:rPr>
            </w:pPr>
            <w:r w:rsidRPr="00111F34">
              <w:rPr>
                <w:sz w:val="16"/>
                <w:szCs w:val="16"/>
                <w:lang w:eastAsia="cs-CZ"/>
              </w:rPr>
              <w:t>(</w:t>
            </w:r>
            <w:r w:rsidR="003577E4" w:rsidRPr="00111F34">
              <w:rPr>
                <w:sz w:val="16"/>
                <w:szCs w:val="16"/>
                <w:lang w:eastAsia="cs-CZ"/>
              </w:rPr>
              <w:t>24 a</w:t>
            </w:r>
            <w:r w:rsidRPr="00111F34">
              <w:rPr>
                <w:sz w:val="16"/>
                <w:szCs w:val="16"/>
                <w:lang w:eastAsia="cs-CZ"/>
              </w:rPr>
              <w:t>) Na územích, kde dochází dlouhodobě k překračování zákonem stanovených mezních hodnot imisních limitů pro ochranu lidského zdraví, je nutné předcházet dalšímu významnému zhoršování stavu. Vhodným uspořádáním ploch v území obcí vytvářet podmínky pro minimalizaci negativních vlivů koncentrované výrobní činnosti na bydlení. Vymezovat plochy pro novou obytnou zástavbu tak, aby byl zachován dostatečný odstup od průmyslových nebo zemědělských areálů.</w:t>
            </w:r>
          </w:p>
        </w:tc>
        <w:tc>
          <w:tcPr>
            <w:tcW w:w="566" w:type="pct"/>
            <w:tcBorders>
              <w:top w:val="nil"/>
              <w:left w:val="nil"/>
              <w:bottom w:val="single" w:sz="4" w:space="0" w:color="auto"/>
              <w:right w:val="single" w:sz="4" w:space="0" w:color="auto"/>
            </w:tcBorders>
            <w:shd w:val="clear" w:color="auto" w:fill="auto"/>
            <w:noWrap/>
            <w:vAlign w:val="center"/>
          </w:tcPr>
          <w:p w14:paraId="1CB89B28" w14:textId="172C2DAF" w:rsidR="0017530C" w:rsidRPr="00111F34" w:rsidRDefault="0017530C" w:rsidP="0017530C">
            <w:pPr>
              <w:spacing w:before="0"/>
              <w:jc w:val="center"/>
              <w:rPr>
                <w:rFonts w:eastAsia="Times New Roman" w:cs="Arial"/>
                <w:color w:val="000000"/>
                <w:sz w:val="16"/>
                <w:szCs w:val="16"/>
                <w:lang w:eastAsia="cs-CZ"/>
              </w:rPr>
            </w:pPr>
            <w:r w:rsidRPr="00111F34">
              <w:rPr>
                <w:rFonts w:eastAsia="Times New Roman" w:cs="Arial"/>
                <w:color w:val="000000"/>
                <w:sz w:val="16"/>
                <w:szCs w:val="16"/>
                <w:lang w:eastAsia="cs-CZ"/>
              </w:rPr>
              <w:t>+</w:t>
            </w:r>
            <w:r w:rsidR="00037554" w:rsidRPr="00111F34">
              <w:rPr>
                <w:rFonts w:eastAsia="Times New Roman" w:cs="Arial"/>
                <w:color w:val="000000"/>
                <w:sz w:val="16"/>
                <w:szCs w:val="16"/>
                <w:lang w:eastAsia="cs-CZ"/>
              </w:rPr>
              <w:t>/-</w:t>
            </w:r>
          </w:p>
        </w:tc>
        <w:tc>
          <w:tcPr>
            <w:tcW w:w="1857" w:type="pct"/>
            <w:gridSpan w:val="3"/>
            <w:tcBorders>
              <w:top w:val="nil"/>
              <w:left w:val="nil"/>
              <w:bottom w:val="single" w:sz="4" w:space="0" w:color="auto"/>
              <w:right w:val="single" w:sz="4" w:space="0" w:color="auto"/>
            </w:tcBorders>
            <w:vAlign w:val="center"/>
          </w:tcPr>
          <w:p w14:paraId="7124FC35" w14:textId="19747789" w:rsidR="0017530C" w:rsidRPr="00111F34" w:rsidRDefault="0017530C" w:rsidP="0017530C">
            <w:pPr>
              <w:spacing w:before="0"/>
              <w:jc w:val="center"/>
              <w:rPr>
                <w:rFonts w:eastAsia="Times New Roman" w:cs="Arial"/>
                <w:color w:val="000000"/>
                <w:sz w:val="16"/>
                <w:szCs w:val="16"/>
                <w:lang w:eastAsia="cs-CZ"/>
              </w:rPr>
            </w:pPr>
            <w:r w:rsidRPr="00111F34">
              <w:rPr>
                <w:rFonts w:eastAsia="Times New Roman" w:cs="Arial"/>
                <w:color w:val="000000"/>
                <w:sz w:val="16"/>
                <w:szCs w:val="16"/>
                <w:lang w:eastAsia="cs-CZ"/>
              </w:rPr>
              <w:t xml:space="preserve">Změna je jedním z opatření </w:t>
            </w:r>
            <w:r w:rsidR="00862CCA" w:rsidRPr="00111F34">
              <w:rPr>
                <w:rFonts w:eastAsia="Times New Roman" w:cs="Arial"/>
                <w:color w:val="000000"/>
                <w:sz w:val="16"/>
                <w:szCs w:val="16"/>
                <w:lang w:eastAsia="cs-CZ"/>
              </w:rPr>
              <w:t xml:space="preserve">pro </w:t>
            </w:r>
            <w:r w:rsidR="00037554" w:rsidRPr="00111F34">
              <w:rPr>
                <w:rFonts w:eastAsia="Times New Roman" w:cs="Arial"/>
                <w:color w:val="000000"/>
                <w:sz w:val="16"/>
                <w:szCs w:val="16"/>
                <w:lang w:eastAsia="cs-CZ"/>
              </w:rPr>
              <w:t>ochranu území před externalitami z dopravy, přerozdělení dopravních zátěží ve prospěch bezemisní VHD a snížení emisí CO</w:t>
            </w:r>
            <w:r w:rsidR="00037554" w:rsidRPr="00111F34">
              <w:rPr>
                <w:rFonts w:eastAsia="Times New Roman" w:cs="Arial"/>
                <w:color w:val="000000"/>
                <w:sz w:val="16"/>
                <w:szCs w:val="16"/>
                <w:vertAlign w:val="subscript"/>
                <w:lang w:eastAsia="cs-CZ"/>
              </w:rPr>
              <w:t>2</w:t>
            </w:r>
            <w:r w:rsidR="00037554" w:rsidRPr="00111F34">
              <w:rPr>
                <w:rFonts w:eastAsia="Times New Roman" w:cs="Arial"/>
                <w:color w:val="000000"/>
                <w:sz w:val="16"/>
                <w:szCs w:val="16"/>
                <w:lang w:eastAsia="cs-CZ"/>
              </w:rPr>
              <w:t>, transformace ploch dopravy v intravilánu a výroby na rezidenční funkce. Zároveň jsou vytvářeny územní předpoklady pro vložení nové tramvajové trati do profilu stávajících ulic jako nového zdroje hlukové zátěže</w:t>
            </w:r>
            <w:r w:rsidR="00862CCA" w:rsidRPr="00111F34">
              <w:rPr>
                <w:rFonts w:eastAsia="Times New Roman" w:cs="Arial"/>
                <w:color w:val="000000"/>
                <w:sz w:val="16"/>
                <w:szCs w:val="16"/>
                <w:lang w:eastAsia="cs-CZ"/>
              </w:rPr>
              <w:t>.</w:t>
            </w:r>
            <w:r w:rsidR="004C7DEF" w:rsidRPr="00111F34">
              <w:rPr>
                <w:rFonts w:eastAsia="Times New Roman" w:cs="Arial"/>
                <w:color w:val="000000"/>
                <w:sz w:val="16"/>
                <w:szCs w:val="16"/>
                <w:lang w:eastAsia="cs-CZ"/>
              </w:rPr>
              <w:t xml:space="preserve"> V této souvislosti byl</w:t>
            </w:r>
            <w:r w:rsidR="00C81B4D" w:rsidRPr="00111F34">
              <w:rPr>
                <w:rFonts w:eastAsia="Times New Roman" w:cs="Arial"/>
                <w:color w:val="000000"/>
                <w:sz w:val="16"/>
                <w:szCs w:val="16"/>
                <w:lang w:eastAsia="cs-CZ"/>
              </w:rPr>
              <w:t>a</w:t>
            </w:r>
            <w:r w:rsidR="004C7DEF" w:rsidRPr="00111F34">
              <w:rPr>
                <w:rFonts w:eastAsia="Times New Roman" w:cs="Arial"/>
                <w:color w:val="000000"/>
                <w:sz w:val="16"/>
                <w:szCs w:val="16"/>
                <w:lang w:eastAsia="cs-CZ"/>
              </w:rPr>
              <w:t xml:space="preserve"> v rámci SEA navržena opatření pro minimalizaci vlivů.</w:t>
            </w:r>
          </w:p>
        </w:tc>
      </w:tr>
      <w:tr w:rsidR="002E185B" w:rsidRPr="00111F34" w14:paraId="0386037C" w14:textId="77777777" w:rsidTr="009742E2">
        <w:trPr>
          <w:trHeight w:val="239"/>
        </w:trPr>
        <w:tc>
          <w:tcPr>
            <w:tcW w:w="5000" w:type="pct"/>
            <w:gridSpan w:val="5"/>
            <w:tcBorders>
              <w:top w:val="nil"/>
              <w:left w:val="single" w:sz="4" w:space="0" w:color="auto"/>
              <w:bottom w:val="single" w:sz="4" w:space="0" w:color="auto"/>
              <w:right w:val="single" w:sz="4" w:space="0" w:color="auto"/>
            </w:tcBorders>
            <w:shd w:val="clear" w:color="auto" w:fill="auto"/>
            <w:noWrap/>
            <w:vAlign w:val="center"/>
          </w:tcPr>
          <w:p w14:paraId="2FA5B7B9" w14:textId="77777777" w:rsidR="002E185B" w:rsidRPr="00111F34" w:rsidRDefault="002E185B" w:rsidP="009742E2">
            <w:pPr>
              <w:pStyle w:val="Podnadpis1"/>
              <w:spacing w:beforeLines="40" w:before="96" w:after="40" w:line="360" w:lineRule="auto"/>
              <w:jc w:val="center"/>
              <w:rPr>
                <w:rFonts w:cs="Arial"/>
                <w:sz w:val="16"/>
                <w:szCs w:val="16"/>
              </w:rPr>
            </w:pPr>
            <w:r w:rsidRPr="00111F34">
              <w:rPr>
                <w:rFonts w:cs="Arial"/>
                <w:sz w:val="16"/>
                <w:szCs w:val="16"/>
              </w:rPr>
              <w:t>Strategie udržitelného rozvoje – Česká republika 2030</w:t>
            </w:r>
          </w:p>
        </w:tc>
      </w:tr>
      <w:tr w:rsidR="00862CCA" w:rsidRPr="00111F34" w14:paraId="3155FB78" w14:textId="77777777" w:rsidTr="0017530C">
        <w:trPr>
          <w:trHeight w:val="467"/>
        </w:trPr>
        <w:tc>
          <w:tcPr>
            <w:tcW w:w="2577" w:type="pct"/>
            <w:tcBorders>
              <w:top w:val="nil"/>
              <w:left w:val="single" w:sz="4" w:space="0" w:color="auto"/>
              <w:bottom w:val="single" w:sz="4" w:space="0" w:color="auto"/>
              <w:right w:val="single" w:sz="4" w:space="0" w:color="auto"/>
            </w:tcBorders>
            <w:shd w:val="clear" w:color="auto" w:fill="auto"/>
            <w:noWrap/>
            <w:vAlign w:val="center"/>
          </w:tcPr>
          <w:p w14:paraId="47406644" w14:textId="77504219" w:rsidR="00862CCA" w:rsidRPr="00111F34" w:rsidRDefault="00862CCA" w:rsidP="00862CCA">
            <w:pPr>
              <w:pStyle w:val="Odrky1"/>
              <w:spacing w:before="0" w:after="0"/>
              <w:jc w:val="left"/>
              <w:rPr>
                <w:rFonts w:eastAsia="Times New Roman" w:cs="Arial"/>
                <w:color w:val="00B0B9"/>
                <w:sz w:val="16"/>
                <w:szCs w:val="16"/>
                <w:lang w:eastAsia="cs-CZ"/>
              </w:rPr>
            </w:pPr>
            <w:r w:rsidRPr="00111F34">
              <w:rPr>
                <w:rFonts w:cs="Arial"/>
                <w:sz w:val="16"/>
                <w:szCs w:val="16"/>
              </w:rPr>
              <w:t>16.3 Předpoklady pro dostupnost základních veřejných služeb jsou zajištěny již ve fázi územního a strategického plánování.</w:t>
            </w:r>
          </w:p>
        </w:tc>
        <w:tc>
          <w:tcPr>
            <w:tcW w:w="596" w:type="pct"/>
            <w:gridSpan w:val="3"/>
            <w:tcBorders>
              <w:top w:val="nil"/>
              <w:left w:val="nil"/>
              <w:bottom w:val="single" w:sz="4" w:space="0" w:color="auto"/>
              <w:right w:val="single" w:sz="4" w:space="0" w:color="auto"/>
            </w:tcBorders>
            <w:shd w:val="clear" w:color="auto" w:fill="auto"/>
            <w:noWrap/>
            <w:vAlign w:val="center"/>
          </w:tcPr>
          <w:p w14:paraId="0CA01DB7" w14:textId="196775B8" w:rsidR="00862CCA" w:rsidRPr="00111F34" w:rsidRDefault="00862CCA" w:rsidP="00862CCA">
            <w:pPr>
              <w:spacing w:before="0"/>
              <w:jc w:val="center"/>
              <w:rPr>
                <w:rFonts w:eastAsia="Times New Roman" w:cs="Arial"/>
                <w:color w:val="000000"/>
                <w:sz w:val="16"/>
                <w:szCs w:val="16"/>
                <w:lang w:eastAsia="cs-CZ"/>
              </w:rPr>
            </w:pPr>
            <w:r w:rsidRPr="00111F34">
              <w:rPr>
                <w:rFonts w:eastAsia="Times New Roman" w:cs="Arial"/>
                <w:color w:val="000000"/>
                <w:sz w:val="16"/>
                <w:szCs w:val="16"/>
                <w:lang w:eastAsia="cs-CZ"/>
              </w:rPr>
              <w:t>+</w:t>
            </w:r>
          </w:p>
        </w:tc>
        <w:tc>
          <w:tcPr>
            <w:tcW w:w="1827" w:type="pct"/>
            <w:tcBorders>
              <w:top w:val="nil"/>
              <w:left w:val="nil"/>
              <w:bottom w:val="single" w:sz="4" w:space="0" w:color="auto"/>
              <w:right w:val="single" w:sz="4" w:space="0" w:color="auto"/>
            </w:tcBorders>
            <w:vAlign w:val="center"/>
          </w:tcPr>
          <w:p w14:paraId="75A0B53E" w14:textId="110B0E5A" w:rsidR="00862CCA" w:rsidRPr="00111F34" w:rsidRDefault="00862CCA" w:rsidP="00862CCA">
            <w:pPr>
              <w:spacing w:before="0"/>
              <w:jc w:val="center"/>
              <w:rPr>
                <w:rFonts w:eastAsia="Times New Roman" w:cs="Arial"/>
                <w:color w:val="000000"/>
                <w:sz w:val="16"/>
                <w:szCs w:val="16"/>
                <w:lang w:eastAsia="cs-CZ"/>
              </w:rPr>
            </w:pPr>
            <w:r w:rsidRPr="00111F34">
              <w:rPr>
                <w:rFonts w:eastAsia="Times New Roman" w:cs="Arial"/>
                <w:color w:val="000000"/>
                <w:sz w:val="16"/>
                <w:szCs w:val="16"/>
                <w:lang w:eastAsia="cs-CZ"/>
              </w:rPr>
              <w:t xml:space="preserve">Přímo rozvíjí tuto prioritu. </w:t>
            </w:r>
          </w:p>
        </w:tc>
      </w:tr>
      <w:tr w:rsidR="00862CCA" w:rsidRPr="00111F34" w14:paraId="2C35287B" w14:textId="77777777" w:rsidTr="0017530C">
        <w:trPr>
          <w:trHeight w:val="476"/>
        </w:trPr>
        <w:tc>
          <w:tcPr>
            <w:tcW w:w="2577" w:type="pct"/>
            <w:tcBorders>
              <w:top w:val="nil"/>
              <w:left w:val="single" w:sz="4" w:space="0" w:color="auto"/>
              <w:bottom w:val="single" w:sz="4" w:space="0" w:color="auto"/>
              <w:right w:val="single" w:sz="4" w:space="0" w:color="auto"/>
            </w:tcBorders>
            <w:shd w:val="clear" w:color="auto" w:fill="auto"/>
            <w:noWrap/>
            <w:vAlign w:val="center"/>
          </w:tcPr>
          <w:p w14:paraId="4A9CEC4E" w14:textId="56D713D5" w:rsidR="00862CCA" w:rsidRPr="00111F34" w:rsidRDefault="00862CCA" w:rsidP="00862CCA">
            <w:pPr>
              <w:pStyle w:val="Odrky1"/>
              <w:spacing w:before="0" w:after="0"/>
              <w:jc w:val="left"/>
              <w:rPr>
                <w:rFonts w:eastAsia="Times New Roman" w:cs="Arial"/>
                <w:color w:val="00B0B9"/>
                <w:sz w:val="16"/>
                <w:szCs w:val="16"/>
                <w:lang w:eastAsia="cs-CZ"/>
              </w:rPr>
            </w:pPr>
            <w:r w:rsidRPr="00111F34">
              <w:rPr>
                <w:rFonts w:cs="Arial"/>
                <w:sz w:val="16"/>
                <w:szCs w:val="16"/>
              </w:rPr>
              <w:t>16.4 Postupy strategického a územního plánování jsou koordinovány na úrovni přesahující úroveň jednotlivých obcí.</w:t>
            </w:r>
          </w:p>
        </w:tc>
        <w:tc>
          <w:tcPr>
            <w:tcW w:w="596" w:type="pct"/>
            <w:gridSpan w:val="3"/>
            <w:tcBorders>
              <w:top w:val="nil"/>
              <w:left w:val="nil"/>
              <w:bottom w:val="single" w:sz="4" w:space="0" w:color="auto"/>
              <w:right w:val="single" w:sz="4" w:space="0" w:color="auto"/>
            </w:tcBorders>
            <w:shd w:val="clear" w:color="auto" w:fill="auto"/>
            <w:noWrap/>
            <w:vAlign w:val="center"/>
          </w:tcPr>
          <w:p w14:paraId="012251A5" w14:textId="45D4A27F" w:rsidR="00862CCA" w:rsidRPr="00111F34" w:rsidRDefault="00862CCA" w:rsidP="00862CCA">
            <w:pPr>
              <w:spacing w:before="0"/>
              <w:jc w:val="center"/>
              <w:rPr>
                <w:rFonts w:eastAsia="Times New Roman" w:cs="Arial"/>
                <w:color w:val="000000"/>
                <w:sz w:val="16"/>
                <w:szCs w:val="16"/>
                <w:lang w:eastAsia="cs-CZ"/>
              </w:rPr>
            </w:pPr>
            <w:r w:rsidRPr="00111F34">
              <w:rPr>
                <w:rFonts w:eastAsia="Times New Roman" w:cs="Arial"/>
                <w:color w:val="000000"/>
                <w:sz w:val="16"/>
                <w:szCs w:val="16"/>
                <w:lang w:eastAsia="cs-CZ"/>
              </w:rPr>
              <w:t>+</w:t>
            </w:r>
          </w:p>
        </w:tc>
        <w:tc>
          <w:tcPr>
            <w:tcW w:w="1827" w:type="pct"/>
            <w:tcBorders>
              <w:top w:val="nil"/>
              <w:left w:val="nil"/>
              <w:bottom w:val="single" w:sz="4" w:space="0" w:color="auto"/>
              <w:right w:val="single" w:sz="4" w:space="0" w:color="auto"/>
            </w:tcBorders>
            <w:vAlign w:val="center"/>
          </w:tcPr>
          <w:p w14:paraId="1CA2CA3C" w14:textId="5F49F106" w:rsidR="00862CCA" w:rsidRPr="00111F34" w:rsidRDefault="00862CCA" w:rsidP="00862CCA">
            <w:pPr>
              <w:spacing w:before="0"/>
              <w:jc w:val="center"/>
              <w:rPr>
                <w:rFonts w:eastAsia="Times New Roman" w:cs="Arial"/>
                <w:color w:val="000000"/>
                <w:sz w:val="16"/>
                <w:szCs w:val="16"/>
                <w:lang w:eastAsia="cs-CZ"/>
              </w:rPr>
            </w:pPr>
            <w:r w:rsidRPr="00111F34">
              <w:rPr>
                <w:rFonts w:eastAsia="Times New Roman" w:cs="Arial"/>
                <w:color w:val="000000"/>
                <w:sz w:val="16"/>
                <w:szCs w:val="16"/>
                <w:lang w:eastAsia="cs-CZ"/>
              </w:rPr>
              <w:t xml:space="preserve">Přímo rozvíjí tuto prioritu. </w:t>
            </w:r>
          </w:p>
        </w:tc>
      </w:tr>
      <w:tr w:rsidR="00862CCA" w:rsidRPr="00111F34" w14:paraId="3C3A616F" w14:textId="77777777" w:rsidTr="0017530C">
        <w:trPr>
          <w:trHeight w:val="331"/>
        </w:trPr>
        <w:tc>
          <w:tcPr>
            <w:tcW w:w="2577" w:type="pct"/>
            <w:tcBorders>
              <w:top w:val="nil"/>
              <w:left w:val="single" w:sz="4" w:space="0" w:color="auto"/>
              <w:bottom w:val="single" w:sz="4" w:space="0" w:color="auto"/>
              <w:right w:val="single" w:sz="4" w:space="0" w:color="auto"/>
            </w:tcBorders>
            <w:shd w:val="clear" w:color="auto" w:fill="auto"/>
            <w:noWrap/>
            <w:vAlign w:val="center"/>
          </w:tcPr>
          <w:p w14:paraId="0E5EBD02" w14:textId="3413E19F" w:rsidR="00862CCA" w:rsidRPr="00111F34" w:rsidRDefault="00862CCA" w:rsidP="00862CCA">
            <w:pPr>
              <w:pStyle w:val="Odrky1"/>
              <w:spacing w:before="0" w:after="0"/>
              <w:jc w:val="left"/>
              <w:rPr>
                <w:rFonts w:eastAsia="Times New Roman" w:cs="Arial"/>
                <w:color w:val="00B0B9"/>
                <w:sz w:val="16"/>
                <w:szCs w:val="16"/>
                <w:lang w:eastAsia="cs-CZ"/>
              </w:rPr>
            </w:pPr>
            <w:r w:rsidRPr="00111F34">
              <w:rPr>
                <w:rFonts w:cs="Arial"/>
                <w:sz w:val="16"/>
                <w:szCs w:val="16"/>
              </w:rPr>
              <w:t>18.1 Snižuje se zábor půdy ve městech a jejich zázemí. Brownfieldy jsou recyklovány a revitalizovány.</w:t>
            </w:r>
          </w:p>
        </w:tc>
        <w:tc>
          <w:tcPr>
            <w:tcW w:w="596" w:type="pct"/>
            <w:gridSpan w:val="3"/>
            <w:tcBorders>
              <w:top w:val="nil"/>
              <w:left w:val="nil"/>
              <w:bottom w:val="single" w:sz="4" w:space="0" w:color="auto"/>
              <w:right w:val="single" w:sz="4" w:space="0" w:color="auto"/>
            </w:tcBorders>
            <w:shd w:val="clear" w:color="auto" w:fill="auto"/>
            <w:noWrap/>
            <w:vAlign w:val="center"/>
          </w:tcPr>
          <w:p w14:paraId="6385A80A" w14:textId="591CA4C5" w:rsidR="00862CCA" w:rsidRPr="00111F34" w:rsidRDefault="00862CCA" w:rsidP="00862CCA">
            <w:pPr>
              <w:spacing w:before="0"/>
              <w:jc w:val="center"/>
              <w:rPr>
                <w:rFonts w:eastAsia="Times New Roman" w:cs="Arial"/>
                <w:color w:val="000000"/>
                <w:sz w:val="16"/>
                <w:szCs w:val="16"/>
                <w:lang w:eastAsia="cs-CZ"/>
              </w:rPr>
            </w:pPr>
            <w:r w:rsidRPr="00111F34">
              <w:rPr>
                <w:rFonts w:eastAsia="Times New Roman" w:cs="Arial"/>
                <w:color w:val="000000"/>
                <w:sz w:val="16"/>
                <w:szCs w:val="16"/>
                <w:lang w:eastAsia="cs-CZ"/>
              </w:rPr>
              <w:t>+</w:t>
            </w:r>
          </w:p>
        </w:tc>
        <w:tc>
          <w:tcPr>
            <w:tcW w:w="1827" w:type="pct"/>
            <w:tcBorders>
              <w:top w:val="nil"/>
              <w:left w:val="nil"/>
              <w:bottom w:val="single" w:sz="4" w:space="0" w:color="auto"/>
              <w:right w:val="single" w:sz="4" w:space="0" w:color="auto"/>
            </w:tcBorders>
            <w:vAlign w:val="center"/>
          </w:tcPr>
          <w:p w14:paraId="198C7392" w14:textId="5C6DC2C5" w:rsidR="00862CCA" w:rsidRPr="00111F34" w:rsidRDefault="00862CCA" w:rsidP="00862CCA">
            <w:pPr>
              <w:spacing w:before="0"/>
              <w:jc w:val="center"/>
              <w:rPr>
                <w:rFonts w:eastAsia="Times New Roman" w:cs="Arial"/>
                <w:color w:val="000000"/>
                <w:sz w:val="16"/>
                <w:szCs w:val="16"/>
                <w:lang w:eastAsia="cs-CZ"/>
              </w:rPr>
            </w:pPr>
            <w:r w:rsidRPr="00111F34">
              <w:rPr>
                <w:rFonts w:eastAsia="Times New Roman" w:cs="Arial"/>
                <w:color w:val="000000"/>
                <w:sz w:val="16"/>
                <w:szCs w:val="16"/>
                <w:lang w:eastAsia="cs-CZ"/>
              </w:rPr>
              <w:t>Dojde částečně k využití již zastavěného území jako prevence suburbanizace.</w:t>
            </w:r>
            <w:r w:rsidR="00037554" w:rsidRPr="00111F34">
              <w:rPr>
                <w:rFonts w:eastAsia="Times New Roman" w:cs="Arial"/>
                <w:color w:val="000000"/>
                <w:sz w:val="16"/>
                <w:szCs w:val="16"/>
                <w:lang w:eastAsia="cs-CZ"/>
              </w:rPr>
              <w:t xml:space="preserve"> Využívá </w:t>
            </w:r>
            <w:r w:rsidR="00C51945" w:rsidRPr="00111F34">
              <w:rPr>
                <w:rFonts w:eastAsia="Times New Roman" w:cs="Arial"/>
                <w:color w:val="000000"/>
                <w:sz w:val="16"/>
                <w:szCs w:val="16"/>
                <w:lang w:eastAsia="cs-CZ"/>
              </w:rPr>
              <w:t>brownfields</w:t>
            </w:r>
            <w:r w:rsidR="00037554" w:rsidRPr="00111F34">
              <w:rPr>
                <w:rFonts w:eastAsia="Times New Roman" w:cs="Arial"/>
                <w:color w:val="000000"/>
                <w:sz w:val="16"/>
                <w:szCs w:val="16"/>
                <w:lang w:eastAsia="cs-CZ"/>
              </w:rPr>
              <w:t xml:space="preserve"> a plochy již územním plánem určené k jinému než zemědělskému využití.</w:t>
            </w:r>
          </w:p>
        </w:tc>
      </w:tr>
      <w:tr w:rsidR="00862CCA" w:rsidRPr="00111F34" w14:paraId="64ED979D" w14:textId="77777777" w:rsidTr="0017530C">
        <w:trPr>
          <w:trHeight w:val="291"/>
        </w:trPr>
        <w:tc>
          <w:tcPr>
            <w:tcW w:w="2577" w:type="pct"/>
            <w:tcBorders>
              <w:top w:val="nil"/>
              <w:left w:val="single" w:sz="4" w:space="0" w:color="auto"/>
              <w:bottom w:val="single" w:sz="4" w:space="0" w:color="auto"/>
              <w:right w:val="single" w:sz="4" w:space="0" w:color="auto"/>
            </w:tcBorders>
            <w:shd w:val="clear" w:color="auto" w:fill="auto"/>
            <w:noWrap/>
            <w:vAlign w:val="center"/>
          </w:tcPr>
          <w:p w14:paraId="26B8BE69" w14:textId="61047D84" w:rsidR="00862CCA" w:rsidRPr="00111F34" w:rsidRDefault="00862CCA" w:rsidP="00862CCA">
            <w:pPr>
              <w:pStyle w:val="Odrky1"/>
              <w:spacing w:before="0" w:after="0"/>
              <w:jc w:val="left"/>
              <w:rPr>
                <w:rFonts w:eastAsia="Times New Roman" w:cs="Arial"/>
                <w:color w:val="00B0B9"/>
                <w:sz w:val="16"/>
                <w:szCs w:val="16"/>
                <w:lang w:eastAsia="cs-CZ"/>
              </w:rPr>
            </w:pPr>
            <w:r w:rsidRPr="00111F34">
              <w:rPr>
                <w:rFonts w:cs="Arial"/>
                <w:sz w:val="16"/>
                <w:szCs w:val="16"/>
              </w:rPr>
              <w:t>19.2 Snižuje se počet a velikost městských tepelných ostrovů.</w:t>
            </w:r>
          </w:p>
        </w:tc>
        <w:tc>
          <w:tcPr>
            <w:tcW w:w="596" w:type="pct"/>
            <w:gridSpan w:val="3"/>
            <w:tcBorders>
              <w:top w:val="nil"/>
              <w:left w:val="nil"/>
              <w:bottom w:val="single" w:sz="4" w:space="0" w:color="auto"/>
              <w:right w:val="single" w:sz="4" w:space="0" w:color="auto"/>
            </w:tcBorders>
            <w:shd w:val="clear" w:color="auto" w:fill="auto"/>
            <w:noWrap/>
            <w:vAlign w:val="center"/>
          </w:tcPr>
          <w:p w14:paraId="186D88E1" w14:textId="0F364E5A" w:rsidR="00862CCA" w:rsidRPr="00111F34" w:rsidRDefault="00862CCA" w:rsidP="00862CCA">
            <w:pPr>
              <w:spacing w:before="0"/>
              <w:jc w:val="center"/>
              <w:rPr>
                <w:rFonts w:eastAsia="Times New Roman" w:cs="Arial"/>
                <w:color w:val="000000"/>
                <w:sz w:val="16"/>
                <w:szCs w:val="16"/>
                <w:lang w:eastAsia="cs-CZ"/>
              </w:rPr>
            </w:pPr>
            <w:r w:rsidRPr="00111F34">
              <w:rPr>
                <w:rFonts w:eastAsia="Times New Roman" w:cs="Arial"/>
                <w:color w:val="000000"/>
                <w:sz w:val="16"/>
                <w:szCs w:val="16"/>
                <w:lang w:eastAsia="cs-CZ"/>
              </w:rPr>
              <w:t>-</w:t>
            </w:r>
          </w:p>
        </w:tc>
        <w:tc>
          <w:tcPr>
            <w:tcW w:w="1827" w:type="pct"/>
            <w:tcBorders>
              <w:top w:val="nil"/>
              <w:left w:val="nil"/>
              <w:bottom w:val="single" w:sz="4" w:space="0" w:color="auto"/>
              <w:right w:val="single" w:sz="4" w:space="0" w:color="auto"/>
            </w:tcBorders>
            <w:vAlign w:val="center"/>
          </w:tcPr>
          <w:p w14:paraId="3D28E533" w14:textId="1B435211" w:rsidR="00862CCA" w:rsidRPr="00111F34" w:rsidRDefault="00862CCA" w:rsidP="00862CCA">
            <w:pPr>
              <w:spacing w:before="0"/>
              <w:jc w:val="center"/>
              <w:rPr>
                <w:rFonts w:eastAsia="Times New Roman" w:cs="Arial"/>
                <w:color w:val="000000"/>
                <w:sz w:val="16"/>
                <w:szCs w:val="16"/>
                <w:lang w:eastAsia="cs-CZ"/>
              </w:rPr>
            </w:pPr>
            <w:r w:rsidRPr="00111F34">
              <w:rPr>
                <w:rFonts w:eastAsia="Times New Roman" w:cs="Arial"/>
                <w:color w:val="000000"/>
                <w:sz w:val="16"/>
                <w:szCs w:val="16"/>
                <w:lang w:eastAsia="cs-CZ"/>
              </w:rPr>
              <w:t xml:space="preserve">Budování nových zpevněných a zastavěných ploch a kácení vzrostlých dřevin. Předpoklad výsadby zeleně ve vymezených plochách a realizace modrozelené infrastruktury. Koncepce implikuje potenciální zvýšení teplot a snížení retenční schopnosti krajiny s omezeným působením. </w:t>
            </w:r>
            <w:r w:rsidR="004C7DEF" w:rsidRPr="00111F34">
              <w:rPr>
                <w:rFonts w:eastAsia="Times New Roman" w:cs="Arial"/>
                <w:color w:val="000000"/>
                <w:sz w:val="16"/>
                <w:szCs w:val="16"/>
                <w:lang w:eastAsia="cs-CZ"/>
              </w:rPr>
              <w:t xml:space="preserve">Koncepce obsahuje územně plánovací opatření a podmínky využití ploch pro zmírnění negativních vlivů. </w:t>
            </w:r>
            <w:r w:rsidRPr="00111F34">
              <w:rPr>
                <w:rFonts w:eastAsia="Times New Roman" w:cs="Arial"/>
                <w:color w:val="000000"/>
                <w:sz w:val="16"/>
                <w:szCs w:val="16"/>
                <w:lang w:eastAsia="cs-CZ"/>
              </w:rPr>
              <w:t>Kompenzační opatření v podobě systému odvodnění a hospodaření s dešťovou vodou je možné uplatnit v navazujících řízeních.</w:t>
            </w:r>
          </w:p>
        </w:tc>
      </w:tr>
      <w:tr w:rsidR="003B37C2" w:rsidRPr="00111F34" w14:paraId="5D849C78" w14:textId="77777777" w:rsidTr="0017530C">
        <w:trPr>
          <w:trHeight w:val="280"/>
        </w:trPr>
        <w:tc>
          <w:tcPr>
            <w:tcW w:w="2577" w:type="pct"/>
            <w:tcBorders>
              <w:top w:val="nil"/>
              <w:left w:val="single" w:sz="4" w:space="0" w:color="auto"/>
              <w:bottom w:val="single" w:sz="4" w:space="0" w:color="auto"/>
              <w:right w:val="single" w:sz="4" w:space="0" w:color="auto"/>
            </w:tcBorders>
            <w:shd w:val="clear" w:color="auto" w:fill="auto"/>
            <w:noWrap/>
            <w:vAlign w:val="center"/>
          </w:tcPr>
          <w:p w14:paraId="09DE43D2" w14:textId="59178696" w:rsidR="003B37C2" w:rsidRPr="00111F34" w:rsidRDefault="003B37C2" w:rsidP="003B37C2">
            <w:pPr>
              <w:pStyle w:val="Odrky1"/>
              <w:spacing w:before="0" w:after="0"/>
              <w:jc w:val="left"/>
              <w:rPr>
                <w:rFonts w:eastAsia="Times New Roman" w:cs="Arial"/>
                <w:color w:val="00B0B9"/>
                <w:sz w:val="16"/>
                <w:szCs w:val="16"/>
                <w:lang w:eastAsia="cs-CZ"/>
              </w:rPr>
            </w:pPr>
            <w:r w:rsidRPr="00111F34">
              <w:rPr>
                <w:rFonts w:cs="Arial"/>
                <w:sz w:val="16"/>
                <w:szCs w:val="16"/>
              </w:rPr>
              <w:t>19.3 Nejsou překračovány imisní limity nejvýznamnějších látek škodlivých pro lidské zdraví ani hlukové limity.</w:t>
            </w:r>
          </w:p>
        </w:tc>
        <w:tc>
          <w:tcPr>
            <w:tcW w:w="596" w:type="pct"/>
            <w:gridSpan w:val="3"/>
            <w:tcBorders>
              <w:top w:val="nil"/>
              <w:left w:val="nil"/>
              <w:bottom w:val="single" w:sz="4" w:space="0" w:color="auto"/>
              <w:right w:val="single" w:sz="4" w:space="0" w:color="auto"/>
            </w:tcBorders>
            <w:shd w:val="clear" w:color="auto" w:fill="auto"/>
            <w:noWrap/>
            <w:vAlign w:val="center"/>
          </w:tcPr>
          <w:p w14:paraId="2EDC8457" w14:textId="3A441AA0" w:rsidR="003B37C2" w:rsidRPr="00111F34" w:rsidRDefault="003B37C2" w:rsidP="003B37C2">
            <w:pPr>
              <w:spacing w:before="0"/>
              <w:jc w:val="center"/>
              <w:rPr>
                <w:rFonts w:eastAsia="Times New Roman" w:cs="Arial"/>
                <w:color w:val="000000"/>
                <w:sz w:val="16"/>
                <w:szCs w:val="16"/>
                <w:lang w:eastAsia="cs-CZ"/>
              </w:rPr>
            </w:pPr>
            <w:r w:rsidRPr="00111F34">
              <w:rPr>
                <w:rFonts w:eastAsia="Times New Roman" w:cs="Arial"/>
                <w:color w:val="000000"/>
                <w:sz w:val="16"/>
                <w:szCs w:val="16"/>
                <w:lang w:eastAsia="cs-CZ"/>
              </w:rPr>
              <w:t>+/-</w:t>
            </w:r>
          </w:p>
        </w:tc>
        <w:tc>
          <w:tcPr>
            <w:tcW w:w="1827" w:type="pct"/>
            <w:tcBorders>
              <w:top w:val="nil"/>
              <w:left w:val="nil"/>
              <w:bottom w:val="single" w:sz="4" w:space="0" w:color="auto"/>
              <w:right w:val="single" w:sz="4" w:space="0" w:color="auto"/>
            </w:tcBorders>
            <w:vAlign w:val="center"/>
          </w:tcPr>
          <w:p w14:paraId="5CCDC828" w14:textId="7943F65C" w:rsidR="003B37C2" w:rsidRPr="00111F34" w:rsidRDefault="003B37C2" w:rsidP="003B37C2">
            <w:pPr>
              <w:spacing w:before="0"/>
              <w:jc w:val="center"/>
              <w:rPr>
                <w:rFonts w:eastAsia="Times New Roman" w:cs="Arial"/>
                <w:color w:val="000000"/>
                <w:sz w:val="16"/>
                <w:szCs w:val="16"/>
                <w:lang w:eastAsia="cs-CZ"/>
              </w:rPr>
            </w:pPr>
            <w:r w:rsidRPr="00111F34">
              <w:rPr>
                <w:rFonts w:eastAsia="Times New Roman" w:cs="Arial"/>
                <w:color w:val="000000"/>
                <w:sz w:val="16"/>
                <w:szCs w:val="16"/>
                <w:lang w:eastAsia="cs-CZ"/>
              </w:rPr>
              <w:t>Změna je jedním z opatření pro ochranu území před externalitami z dopravy, přerozdělení dopravních zátěží ve prospěch bezemisní VHD a snížení emisí CO</w:t>
            </w:r>
            <w:r w:rsidRPr="00111F34">
              <w:rPr>
                <w:rFonts w:eastAsia="Times New Roman" w:cs="Arial"/>
                <w:color w:val="000000"/>
                <w:sz w:val="16"/>
                <w:szCs w:val="16"/>
                <w:vertAlign w:val="subscript"/>
                <w:lang w:eastAsia="cs-CZ"/>
              </w:rPr>
              <w:t>2</w:t>
            </w:r>
            <w:r w:rsidRPr="00111F34">
              <w:rPr>
                <w:rFonts w:eastAsia="Times New Roman" w:cs="Arial"/>
                <w:color w:val="000000"/>
                <w:sz w:val="16"/>
                <w:szCs w:val="16"/>
                <w:lang w:eastAsia="cs-CZ"/>
              </w:rPr>
              <w:t>, transformace ploch dopravy v intravilánu a výroby na rezidenční funkce. Zároveň jsou vytvářeny územní předpoklady pro vložení nové tramvajové trati do profilu stávajících ulic jako nového zdroje hlukové zátěže.</w:t>
            </w:r>
            <w:r w:rsidR="004C7DEF" w:rsidRPr="00111F34">
              <w:rPr>
                <w:rFonts w:eastAsia="Times New Roman" w:cs="Arial"/>
                <w:color w:val="000000"/>
                <w:sz w:val="16"/>
                <w:szCs w:val="16"/>
                <w:lang w:eastAsia="cs-CZ"/>
              </w:rPr>
              <w:t xml:space="preserve"> V této souvislosti byla v rámci SEA navržena opatření pro minimalizaci vlivů.</w:t>
            </w:r>
          </w:p>
        </w:tc>
      </w:tr>
      <w:tr w:rsidR="00862CCA" w:rsidRPr="00111F34" w14:paraId="2222D0A2" w14:textId="77777777" w:rsidTr="0017530C">
        <w:trPr>
          <w:trHeight w:val="297"/>
        </w:trPr>
        <w:tc>
          <w:tcPr>
            <w:tcW w:w="2577" w:type="pct"/>
            <w:tcBorders>
              <w:top w:val="nil"/>
              <w:left w:val="single" w:sz="4" w:space="0" w:color="auto"/>
              <w:bottom w:val="single" w:sz="4" w:space="0" w:color="auto"/>
              <w:right w:val="single" w:sz="4" w:space="0" w:color="auto"/>
            </w:tcBorders>
            <w:shd w:val="clear" w:color="auto" w:fill="auto"/>
            <w:noWrap/>
            <w:vAlign w:val="center"/>
          </w:tcPr>
          <w:p w14:paraId="43737DB0" w14:textId="5491B192" w:rsidR="00862CCA" w:rsidRPr="00111F34" w:rsidRDefault="00862CCA" w:rsidP="00862CCA">
            <w:pPr>
              <w:pStyle w:val="Odrky1"/>
              <w:spacing w:before="0" w:after="0"/>
              <w:jc w:val="left"/>
              <w:rPr>
                <w:rFonts w:eastAsia="Times New Roman" w:cs="Arial"/>
                <w:color w:val="00B0B9"/>
                <w:sz w:val="16"/>
                <w:szCs w:val="16"/>
                <w:lang w:eastAsia="cs-CZ"/>
              </w:rPr>
            </w:pPr>
            <w:r w:rsidRPr="00111F34">
              <w:rPr>
                <w:rFonts w:cs="Arial"/>
                <w:sz w:val="16"/>
                <w:szCs w:val="16"/>
              </w:rPr>
              <w:t>19.6 Významně roste délka cyklostezek a komunikací vhodných pro cyklisty.</w:t>
            </w:r>
          </w:p>
        </w:tc>
        <w:tc>
          <w:tcPr>
            <w:tcW w:w="596" w:type="pct"/>
            <w:gridSpan w:val="3"/>
            <w:tcBorders>
              <w:top w:val="nil"/>
              <w:left w:val="nil"/>
              <w:bottom w:val="single" w:sz="4" w:space="0" w:color="auto"/>
              <w:right w:val="single" w:sz="4" w:space="0" w:color="auto"/>
            </w:tcBorders>
            <w:shd w:val="clear" w:color="auto" w:fill="auto"/>
            <w:noWrap/>
            <w:vAlign w:val="center"/>
          </w:tcPr>
          <w:p w14:paraId="40A99776" w14:textId="22EF1A9F" w:rsidR="00862CCA" w:rsidRPr="00111F34" w:rsidRDefault="00862CCA" w:rsidP="00862CCA">
            <w:pPr>
              <w:spacing w:before="0"/>
              <w:jc w:val="center"/>
              <w:rPr>
                <w:rFonts w:eastAsia="Times New Roman" w:cs="Arial"/>
                <w:color w:val="000000"/>
                <w:sz w:val="16"/>
                <w:szCs w:val="16"/>
                <w:lang w:eastAsia="cs-CZ"/>
              </w:rPr>
            </w:pPr>
            <w:r w:rsidRPr="00111F34">
              <w:rPr>
                <w:rFonts w:eastAsia="Times New Roman" w:cs="Arial"/>
                <w:color w:val="000000"/>
                <w:sz w:val="16"/>
                <w:szCs w:val="16"/>
                <w:lang w:eastAsia="cs-CZ"/>
              </w:rPr>
              <w:t>+</w:t>
            </w:r>
          </w:p>
        </w:tc>
        <w:tc>
          <w:tcPr>
            <w:tcW w:w="1827" w:type="pct"/>
            <w:tcBorders>
              <w:top w:val="nil"/>
              <w:left w:val="nil"/>
              <w:bottom w:val="single" w:sz="4" w:space="0" w:color="auto"/>
              <w:right w:val="single" w:sz="4" w:space="0" w:color="auto"/>
            </w:tcBorders>
            <w:vAlign w:val="center"/>
          </w:tcPr>
          <w:p w14:paraId="4524717E" w14:textId="3E2CE101" w:rsidR="00862CCA" w:rsidRPr="00111F34" w:rsidRDefault="00862CCA" w:rsidP="00862CCA">
            <w:pPr>
              <w:spacing w:before="0"/>
              <w:jc w:val="center"/>
              <w:rPr>
                <w:rFonts w:eastAsia="Times New Roman" w:cs="Arial"/>
                <w:color w:val="000000"/>
                <w:sz w:val="16"/>
                <w:szCs w:val="16"/>
                <w:lang w:eastAsia="cs-CZ"/>
              </w:rPr>
            </w:pPr>
            <w:r w:rsidRPr="00111F34">
              <w:rPr>
                <w:rFonts w:eastAsia="Times New Roman" w:cs="Arial"/>
                <w:color w:val="000000"/>
                <w:sz w:val="16"/>
                <w:szCs w:val="16"/>
                <w:lang w:eastAsia="cs-CZ"/>
              </w:rPr>
              <w:t>V území budou realizovány rovněž vazby na cyklodopravu a vložení cyklostezky. Nevyplývá přímo z řešených ploch, vložení cyklistické infrastruktury však změna umožňuje.</w:t>
            </w:r>
          </w:p>
        </w:tc>
      </w:tr>
      <w:tr w:rsidR="002E185B" w:rsidRPr="00111F34" w14:paraId="1C02CDE4" w14:textId="77777777" w:rsidTr="009742E2">
        <w:trPr>
          <w:trHeight w:val="281"/>
        </w:trPr>
        <w:tc>
          <w:tcPr>
            <w:tcW w:w="5000" w:type="pct"/>
            <w:gridSpan w:val="5"/>
            <w:tcBorders>
              <w:top w:val="nil"/>
              <w:left w:val="single" w:sz="4" w:space="0" w:color="auto"/>
              <w:bottom w:val="single" w:sz="4" w:space="0" w:color="auto"/>
              <w:right w:val="single" w:sz="4" w:space="0" w:color="auto"/>
            </w:tcBorders>
            <w:shd w:val="clear" w:color="auto" w:fill="auto"/>
            <w:noWrap/>
            <w:vAlign w:val="center"/>
          </w:tcPr>
          <w:p w14:paraId="0694F835" w14:textId="77777777" w:rsidR="002E185B" w:rsidRPr="00111F34" w:rsidRDefault="002E185B" w:rsidP="009742E2">
            <w:pPr>
              <w:pStyle w:val="Podnadpis1"/>
              <w:spacing w:before="0"/>
              <w:jc w:val="center"/>
              <w:rPr>
                <w:rFonts w:cs="Arial"/>
                <w:sz w:val="16"/>
                <w:szCs w:val="16"/>
              </w:rPr>
            </w:pPr>
            <w:r w:rsidRPr="00111F34">
              <w:rPr>
                <w:rFonts w:cs="Arial"/>
                <w:sz w:val="16"/>
                <w:szCs w:val="16"/>
              </w:rPr>
              <w:t>Státní politika životního prostředí České republiky 2030 s výhledem do 2050</w:t>
            </w:r>
          </w:p>
        </w:tc>
      </w:tr>
      <w:tr w:rsidR="00646837" w:rsidRPr="00111F34" w14:paraId="72311D65" w14:textId="77777777" w:rsidTr="0017530C">
        <w:trPr>
          <w:trHeight w:val="281"/>
        </w:trPr>
        <w:tc>
          <w:tcPr>
            <w:tcW w:w="2577" w:type="pct"/>
            <w:tcBorders>
              <w:top w:val="nil"/>
              <w:left w:val="single" w:sz="4" w:space="0" w:color="auto"/>
              <w:bottom w:val="single" w:sz="4" w:space="0" w:color="auto"/>
              <w:right w:val="single" w:sz="4" w:space="0" w:color="auto"/>
            </w:tcBorders>
            <w:shd w:val="clear" w:color="auto" w:fill="auto"/>
            <w:noWrap/>
          </w:tcPr>
          <w:p w14:paraId="5414BB92" w14:textId="07DE08AF" w:rsidR="00646837" w:rsidRPr="00111F34" w:rsidRDefault="00646837" w:rsidP="00646837">
            <w:pPr>
              <w:pStyle w:val="Odrky1"/>
              <w:spacing w:before="0" w:after="0"/>
              <w:ind w:left="356" w:hanging="284"/>
              <w:jc w:val="left"/>
              <w:rPr>
                <w:rFonts w:cs="Arial"/>
                <w:sz w:val="16"/>
                <w:szCs w:val="16"/>
              </w:rPr>
            </w:pPr>
            <w:r w:rsidRPr="00111F34">
              <w:rPr>
                <w:rFonts w:cs="Arial"/>
                <w:sz w:val="16"/>
                <w:szCs w:val="16"/>
              </w:rPr>
              <w:t xml:space="preserve">Rozvoj sídel je koncepční, přednostně jsou brownfieldy a již využité území. </w:t>
            </w:r>
          </w:p>
        </w:tc>
        <w:tc>
          <w:tcPr>
            <w:tcW w:w="596" w:type="pct"/>
            <w:gridSpan w:val="3"/>
            <w:tcBorders>
              <w:top w:val="nil"/>
              <w:left w:val="nil"/>
              <w:bottom w:val="single" w:sz="4" w:space="0" w:color="auto"/>
              <w:right w:val="single" w:sz="4" w:space="0" w:color="auto"/>
            </w:tcBorders>
            <w:shd w:val="clear" w:color="auto" w:fill="auto"/>
            <w:noWrap/>
            <w:vAlign w:val="center"/>
          </w:tcPr>
          <w:p w14:paraId="3A6CB3C6" w14:textId="42ECA884" w:rsidR="00646837" w:rsidRPr="00111F34" w:rsidRDefault="00646837" w:rsidP="00010A9E">
            <w:pPr>
              <w:spacing w:before="0"/>
              <w:jc w:val="center"/>
              <w:rPr>
                <w:rFonts w:eastAsia="Times New Roman" w:cs="Arial"/>
                <w:color w:val="000000"/>
                <w:sz w:val="16"/>
                <w:szCs w:val="16"/>
                <w:lang w:eastAsia="cs-CZ"/>
              </w:rPr>
            </w:pPr>
            <w:r w:rsidRPr="00111F34">
              <w:rPr>
                <w:rFonts w:eastAsia="Times New Roman" w:cs="Arial"/>
                <w:color w:val="000000"/>
                <w:sz w:val="16"/>
                <w:szCs w:val="16"/>
                <w:lang w:eastAsia="cs-CZ"/>
              </w:rPr>
              <w:t>+</w:t>
            </w:r>
          </w:p>
        </w:tc>
        <w:tc>
          <w:tcPr>
            <w:tcW w:w="1827" w:type="pct"/>
            <w:tcBorders>
              <w:top w:val="nil"/>
              <w:left w:val="nil"/>
              <w:bottom w:val="single" w:sz="4" w:space="0" w:color="auto"/>
              <w:right w:val="single" w:sz="4" w:space="0" w:color="auto"/>
            </w:tcBorders>
            <w:vAlign w:val="center"/>
          </w:tcPr>
          <w:p w14:paraId="77397457" w14:textId="69172A2D" w:rsidR="00646837" w:rsidRPr="00111F34" w:rsidRDefault="00646837" w:rsidP="00010A9E">
            <w:pPr>
              <w:spacing w:before="0"/>
              <w:jc w:val="center"/>
              <w:rPr>
                <w:rFonts w:eastAsia="Times New Roman" w:cs="Arial"/>
                <w:color w:val="000000"/>
                <w:sz w:val="16"/>
                <w:szCs w:val="16"/>
                <w:lang w:eastAsia="cs-CZ"/>
              </w:rPr>
            </w:pPr>
            <w:r w:rsidRPr="00111F34">
              <w:rPr>
                <w:rFonts w:eastAsia="Times New Roman" w:cs="Arial"/>
                <w:color w:val="000000"/>
                <w:sz w:val="16"/>
                <w:szCs w:val="16"/>
                <w:lang w:eastAsia="cs-CZ"/>
              </w:rPr>
              <w:t>Dojde částečně k využití již zastavěného území.</w:t>
            </w:r>
          </w:p>
        </w:tc>
      </w:tr>
      <w:tr w:rsidR="00862CCA" w:rsidRPr="00111F34" w14:paraId="6FF729C6" w14:textId="77777777" w:rsidTr="0017530C">
        <w:trPr>
          <w:trHeight w:val="281"/>
        </w:trPr>
        <w:tc>
          <w:tcPr>
            <w:tcW w:w="2577" w:type="pct"/>
            <w:tcBorders>
              <w:top w:val="nil"/>
              <w:left w:val="single" w:sz="4" w:space="0" w:color="auto"/>
              <w:bottom w:val="single" w:sz="4" w:space="0" w:color="auto"/>
              <w:right w:val="single" w:sz="4" w:space="0" w:color="auto"/>
            </w:tcBorders>
            <w:shd w:val="clear" w:color="auto" w:fill="auto"/>
            <w:noWrap/>
          </w:tcPr>
          <w:p w14:paraId="6141AC31" w14:textId="77777777" w:rsidR="00862CCA" w:rsidRPr="00111F34" w:rsidRDefault="00862CCA" w:rsidP="00862CCA">
            <w:pPr>
              <w:pStyle w:val="Odrky1"/>
              <w:spacing w:before="0" w:after="0"/>
              <w:ind w:left="356" w:hanging="284"/>
              <w:jc w:val="left"/>
              <w:rPr>
                <w:rFonts w:cs="Arial"/>
                <w:sz w:val="16"/>
                <w:szCs w:val="16"/>
              </w:rPr>
            </w:pPr>
            <w:r w:rsidRPr="00111F34">
              <w:rPr>
                <w:rFonts w:cs="Arial"/>
                <w:sz w:val="16"/>
                <w:szCs w:val="16"/>
              </w:rPr>
              <w:t xml:space="preserve">V sídlech je zaveden systém hospodaření s vodou, vč. vody srážkové. </w:t>
            </w:r>
          </w:p>
        </w:tc>
        <w:tc>
          <w:tcPr>
            <w:tcW w:w="596" w:type="pct"/>
            <w:gridSpan w:val="3"/>
            <w:tcBorders>
              <w:top w:val="nil"/>
              <w:left w:val="nil"/>
              <w:bottom w:val="single" w:sz="4" w:space="0" w:color="auto"/>
              <w:right w:val="single" w:sz="4" w:space="0" w:color="auto"/>
            </w:tcBorders>
            <w:shd w:val="clear" w:color="auto" w:fill="auto"/>
            <w:noWrap/>
            <w:vAlign w:val="center"/>
          </w:tcPr>
          <w:p w14:paraId="2F77C16C" w14:textId="18B5F578" w:rsidR="00862CCA" w:rsidRPr="00111F34" w:rsidRDefault="00862CCA" w:rsidP="00862CCA">
            <w:pPr>
              <w:spacing w:before="0"/>
              <w:jc w:val="center"/>
              <w:rPr>
                <w:rFonts w:eastAsia="Times New Roman" w:cs="Arial"/>
                <w:color w:val="000000"/>
                <w:sz w:val="16"/>
                <w:szCs w:val="16"/>
                <w:lang w:eastAsia="cs-CZ"/>
              </w:rPr>
            </w:pPr>
            <w:r w:rsidRPr="00111F34">
              <w:rPr>
                <w:rFonts w:eastAsia="Times New Roman" w:cs="Arial"/>
                <w:color w:val="000000"/>
                <w:sz w:val="16"/>
                <w:szCs w:val="16"/>
                <w:lang w:eastAsia="cs-CZ"/>
              </w:rPr>
              <w:t>-</w:t>
            </w:r>
          </w:p>
        </w:tc>
        <w:tc>
          <w:tcPr>
            <w:tcW w:w="1827" w:type="pct"/>
            <w:tcBorders>
              <w:top w:val="nil"/>
              <w:left w:val="nil"/>
              <w:bottom w:val="single" w:sz="4" w:space="0" w:color="auto"/>
              <w:right w:val="single" w:sz="4" w:space="0" w:color="auto"/>
            </w:tcBorders>
            <w:vAlign w:val="center"/>
          </w:tcPr>
          <w:p w14:paraId="20441C1C" w14:textId="43A9BFDD" w:rsidR="00862CCA" w:rsidRPr="00111F34" w:rsidRDefault="00862CCA" w:rsidP="00862CCA">
            <w:pPr>
              <w:spacing w:before="0"/>
              <w:jc w:val="center"/>
              <w:rPr>
                <w:rFonts w:eastAsia="Times New Roman" w:cs="Arial"/>
                <w:color w:val="000000"/>
                <w:sz w:val="16"/>
                <w:szCs w:val="16"/>
                <w:lang w:eastAsia="cs-CZ"/>
              </w:rPr>
            </w:pPr>
            <w:r w:rsidRPr="00111F34">
              <w:rPr>
                <w:rFonts w:eastAsia="Times New Roman" w:cs="Arial"/>
                <w:color w:val="000000"/>
                <w:sz w:val="16"/>
                <w:szCs w:val="16"/>
                <w:lang w:eastAsia="cs-CZ"/>
              </w:rPr>
              <w:t xml:space="preserve">Budování nových zpevněných a zastavěných ploch a kácení vzrostlých dřevin. Předpoklad výsadby doprovodné zeleně. Koncepce implikuje potenciální zvýšení teplot a snížení retenční schopnosti krajiny s omezeným působením. </w:t>
            </w:r>
            <w:r w:rsidR="004C7DEF" w:rsidRPr="00111F34">
              <w:rPr>
                <w:rFonts w:eastAsia="Times New Roman" w:cs="Arial"/>
                <w:color w:val="000000"/>
                <w:sz w:val="16"/>
                <w:szCs w:val="16"/>
                <w:lang w:eastAsia="cs-CZ"/>
              </w:rPr>
              <w:t xml:space="preserve">Koncepce obsahuje územně plánovací opatření a podmínky využití ploch pro zmírnění </w:t>
            </w:r>
            <w:r w:rsidR="00C81B4D" w:rsidRPr="00111F34">
              <w:rPr>
                <w:rFonts w:eastAsia="Times New Roman" w:cs="Arial"/>
                <w:color w:val="000000"/>
                <w:sz w:val="16"/>
                <w:szCs w:val="16"/>
                <w:lang w:eastAsia="cs-CZ"/>
              </w:rPr>
              <w:t xml:space="preserve">potenciálních </w:t>
            </w:r>
            <w:r w:rsidR="004C7DEF" w:rsidRPr="00111F34">
              <w:rPr>
                <w:rFonts w:eastAsia="Times New Roman" w:cs="Arial"/>
                <w:color w:val="000000"/>
                <w:sz w:val="16"/>
                <w:szCs w:val="16"/>
                <w:lang w:eastAsia="cs-CZ"/>
              </w:rPr>
              <w:t xml:space="preserve">negativních vlivů. </w:t>
            </w:r>
            <w:r w:rsidRPr="00111F34">
              <w:rPr>
                <w:rFonts w:eastAsia="Times New Roman" w:cs="Arial"/>
                <w:color w:val="000000"/>
                <w:sz w:val="16"/>
                <w:szCs w:val="16"/>
                <w:lang w:eastAsia="cs-CZ"/>
              </w:rPr>
              <w:t>Kompenzační opatření v podobě systému odvodnění a hospodaření s dešťovou vodou je možné uplatnit v navazujících řízeních.</w:t>
            </w:r>
          </w:p>
        </w:tc>
      </w:tr>
      <w:tr w:rsidR="002E185B" w:rsidRPr="00111F34" w14:paraId="5F3545E8" w14:textId="77777777" w:rsidTr="0017530C">
        <w:trPr>
          <w:trHeight w:val="281"/>
        </w:trPr>
        <w:tc>
          <w:tcPr>
            <w:tcW w:w="2577" w:type="pct"/>
            <w:tcBorders>
              <w:top w:val="nil"/>
              <w:left w:val="single" w:sz="4" w:space="0" w:color="auto"/>
              <w:bottom w:val="single" w:sz="4" w:space="0" w:color="auto"/>
              <w:right w:val="single" w:sz="4" w:space="0" w:color="auto"/>
            </w:tcBorders>
            <w:shd w:val="clear" w:color="auto" w:fill="auto"/>
            <w:noWrap/>
          </w:tcPr>
          <w:p w14:paraId="780A7555" w14:textId="77777777" w:rsidR="002E185B" w:rsidRPr="00111F34" w:rsidRDefault="002E185B" w:rsidP="00010A9E">
            <w:pPr>
              <w:pStyle w:val="Odrky1"/>
              <w:spacing w:before="0" w:after="0"/>
              <w:ind w:left="356" w:hanging="284"/>
              <w:jc w:val="left"/>
              <w:rPr>
                <w:rFonts w:cs="Arial"/>
                <w:sz w:val="16"/>
                <w:szCs w:val="16"/>
              </w:rPr>
            </w:pPr>
            <w:r w:rsidRPr="00111F34">
              <w:rPr>
                <w:rFonts w:cs="Arial"/>
                <w:sz w:val="16"/>
                <w:szCs w:val="16"/>
              </w:rPr>
              <w:t>Kvalita zeleně přispívající ke zlepšení mikroklimatu v sídlech se zvyšuje.</w:t>
            </w:r>
          </w:p>
        </w:tc>
        <w:tc>
          <w:tcPr>
            <w:tcW w:w="596" w:type="pct"/>
            <w:gridSpan w:val="3"/>
            <w:tcBorders>
              <w:top w:val="nil"/>
              <w:left w:val="nil"/>
              <w:bottom w:val="single" w:sz="4" w:space="0" w:color="auto"/>
              <w:right w:val="single" w:sz="4" w:space="0" w:color="auto"/>
            </w:tcBorders>
            <w:shd w:val="clear" w:color="auto" w:fill="auto"/>
            <w:noWrap/>
            <w:vAlign w:val="center"/>
          </w:tcPr>
          <w:p w14:paraId="44442701" w14:textId="6A19D3ED" w:rsidR="002E185B" w:rsidRPr="00111F34" w:rsidRDefault="00862CCA" w:rsidP="00862CCA">
            <w:pPr>
              <w:spacing w:before="0"/>
              <w:jc w:val="center"/>
              <w:rPr>
                <w:rFonts w:eastAsia="Times New Roman" w:cs="Arial"/>
                <w:color w:val="000000"/>
                <w:sz w:val="16"/>
                <w:szCs w:val="16"/>
                <w:lang w:eastAsia="cs-CZ"/>
              </w:rPr>
            </w:pPr>
            <w:r w:rsidRPr="00111F34">
              <w:rPr>
                <w:rFonts w:eastAsia="Times New Roman" w:cs="Arial"/>
                <w:color w:val="000000"/>
                <w:sz w:val="16"/>
                <w:szCs w:val="16"/>
                <w:lang w:eastAsia="cs-CZ"/>
              </w:rPr>
              <w:t>+</w:t>
            </w:r>
          </w:p>
        </w:tc>
        <w:tc>
          <w:tcPr>
            <w:tcW w:w="1827" w:type="pct"/>
            <w:tcBorders>
              <w:top w:val="nil"/>
              <w:left w:val="nil"/>
              <w:bottom w:val="single" w:sz="4" w:space="0" w:color="auto"/>
              <w:right w:val="single" w:sz="4" w:space="0" w:color="auto"/>
            </w:tcBorders>
            <w:vAlign w:val="center"/>
          </w:tcPr>
          <w:p w14:paraId="05992536" w14:textId="7293C9A0" w:rsidR="002E185B" w:rsidRPr="00111F34" w:rsidRDefault="00862CCA" w:rsidP="00010A9E">
            <w:pPr>
              <w:spacing w:before="0"/>
              <w:jc w:val="center"/>
              <w:rPr>
                <w:rFonts w:eastAsia="Times New Roman" w:cs="Arial"/>
                <w:color w:val="000000"/>
                <w:sz w:val="16"/>
                <w:szCs w:val="16"/>
                <w:lang w:eastAsia="cs-CZ"/>
              </w:rPr>
            </w:pPr>
            <w:r w:rsidRPr="00111F34">
              <w:rPr>
                <w:rFonts w:eastAsia="Times New Roman" w:cs="Arial"/>
                <w:color w:val="000000"/>
                <w:sz w:val="16"/>
                <w:szCs w:val="16"/>
                <w:lang w:eastAsia="cs-CZ"/>
              </w:rPr>
              <w:t>Stabilizace a koordinace ploch zeleně.</w:t>
            </w:r>
          </w:p>
        </w:tc>
      </w:tr>
      <w:tr w:rsidR="00862CCA" w:rsidRPr="00111F34" w14:paraId="79463BA0" w14:textId="77777777" w:rsidTr="00B34C98">
        <w:trPr>
          <w:trHeight w:val="281"/>
        </w:trPr>
        <w:tc>
          <w:tcPr>
            <w:tcW w:w="2577" w:type="pct"/>
            <w:tcBorders>
              <w:top w:val="nil"/>
              <w:left w:val="single" w:sz="4" w:space="0" w:color="auto"/>
              <w:bottom w:val="single" w:sz="4" w:space="0" w:color="auto"/>
              <w:right w:val="single" w:sz="4" w:space="0" w:color="auto"/>
            </w:tcBorders>
            <w:shd w:val="clear" w:color="auto" w:fill="auto"/>
            <w:noWrap/>
          </w:tcPr>
          <w:p w14:paraId="19C7C574" w14:textId="48593185" w:rsidR="00862CCA" w:rsidRPr="00111F34" w:rsidRDefault="00862CCA" w:rsidP="00862CCA">
            <w:pPr>
              <w:pStyle w:val="Odrky1"/>
              <w:spacing w:before="0" w:after="0"/>
              <w:ind w:left="356" w:hanging="284"/>
              <w:jc w:val="left"/>
              <w:rPr>
                <w:rFonts w:cs="Arial"/>
                <w:sz w:val="16"/>
                <w:szCs w:val="16"/>
              </w:rPr>
            </w:pPr>
            <w:r w:rsidRPr="00111F34">
              <w:rPr>
                <w:sz w:val="16"/>
                <w:szCs w:val="18"/>
              </w:rPr>
              <w:t>Emise znečišťujících látek do ovzduší se snižují</w:t>
            </w:r>
          </w:p>
        </w:tc>
        <w:tc>
          <w:tcPr>
            <w:tcW w:w="596" w:type="pct"/>
            <w:gridSpan w:val="3"/>
            <w:tcBorders>
              <w:top w:val="nil"/>
              <w:left w:val="nil"/>
              <w:bottom w:val="single" w:sz="4" w:space="0" w:color="auto"/>
              <w:right w:val="single" w:sz="4" w:space="0" w:color="auto"/>
            </w:tcBorders>
            <w:shd w:val="clear" w:color="auto" w:fill="auto"/>
            <w:noWrap/>
          </w:tcPr>
          <w:p w14:paraId="1FEEA366" w14:textId="08928035" w:rsidR="00862CCA" w:rsidRPr="00111F34" w:rsidRDefault="00862CCA" w:rsidP="00862CCA">
            <w:pPr>
              <w:spacing w:before="0"/>
              <w:jc w:val="center"/>
              <w:rPr>
                <w:rFonts w:eastAsia="Times New Roman" w:cs="Arial"/>
                <w:color w:val="000000"/>
                <w:sz w:val="16"/>
                <w:szCs w:val="16"/>
                <w:lang w:eastAsia="cs-CZ"/>
              </w:rPr>
            </w:pPr>
            <w:r w:rsidRPr="00111F34">
              <w:rPr>
                <w:rFonts w:eastAsia="Times New Roman" w:cs="Arial"/>
                <w:color w:val="000000"/>
                <w:sz w:val="16"/>
                <w:szCs w:val="18"/>
              </w:rPr>
              <w:t>+</w:t>
            </w:r>
          </w:p>
        </w:tc>
        <w:tc>
          <w:tcPr>
            <w:tcW w:w="1827" w:type="pct"/>
            <w:tcBorders>
              <w:top w:val="nil"/>
              <w:left w:val="nil"/>
              <w:bottom w:val="single" w:sz="4" w:space="0" w:color="auto"/>
              <w:right w:val="single" w:sz="4" w:space="0" w:color="auto"/>
            </w:tcBorders>
          </w:tcPr>
          <w:p w14:paraId="20FF32A2" w14:textId="166E1232" w:rsidR="00862CCA" w:rsidRPr="00111F34" w:rsidRDefault="00862CCA" w:rsidP="00862CCA">
            <w:pPr>
              <w:spacing w:before="0"/>
              <w:jc w:val="center"/>
              <w:rPr>
                <w:rFonts w:eastAsia="Times New Roman" w:cs="Arial"/>
                <w:color w:val="000000"/>
                <w:sz w:val="16"/>
                <w:szCs w:val="16"/>
                <w:lang w:eastAsia="cs-CZ"/>
              </w:rPr>
            </w:pPr>
            <w:r w:rsidRPr="00111F34">
              <w:rPr>
                <w:sz w:val="16"/>
                <w:szCs w:val="18"/>
              </w:rPr>
              <w:t xml:space="preserve">Posuzovaná koncepce přispěje k rozvoji bezemisní veřejné hromadné dopravy s </w:t>
            </w:r>
            <w:r w:rsidRPr="00111F34">
              <w:rPr>
                <w:sz w:val="16"/>
                <w:szCs w:val="18"/>
              </w:rPr>
              <w:lastRenderedPageBreak/>
              <w:t>nepřímo pozitivním vlivem na snížení emisí spojených s dopravou.</w:t>
            </w:r>
          </w:p>
        </w:tc>
      </w:tr>
      <w:tr w:rsidR="00862CCA" w:rsidRPr="00111F34" w14:paraId="6B61D0EC" w14:textId="77777777" w:rsidTr="00B34C98">
        <w:trPr>
          <w:trHeight w:val="281"/>
        </w:trPr>
        <w:tc>
          <w:tcPr>
            <w:tcW w:w="2577" w:type="pct"/>
            <w:tcBorders>
              <w:top w:val="nil"/>
              <w:left w:val="single" w:sz="4" w:space="0" w:color="auto"/>
              <w:bottom w:val="single" w:sz="4" w:space="0" w:color="auto"/>
              <w:right w:val="single" w:sz="4" w:space="0" w:color="auto"/>
            </w:tcBorders>
            <w:shd w:val="clear" w:color="auto" w:fill="auto"/>
            <w:noWrap/>
          </w:tcPr>
          <w:p w14:paraId="166A73F8" w14:textId="701219E3" w:rsidR="00862CCA" w:rsidRPr="00111F34" w:rsidRDefault="00862CCA" w:rsidP="00862CCA">
            <w:pPr>
              <w:pStyle w:val="Odrky1"/>
              <w:spacing w:before="0" w:after="0"/>
              <w:ind w:left="356" w:hanging="284"/>
              <w:jc w:val="left"/>
              <w:rPr>
                <w:rFonts w:cs="Arial"/>
                <w:sz w:val="16"/>
                <w:szCs w:val="16"/>
              </w:rPr>
            </w:pPr>
            <w:r w:rsidRPr="00111F34">
              <w:rPr>
                <w:sz w:val="16"/>
                <w:szCs w:val="18"/>
              </w:rPr>
              <w:t>Hluková zátěž obyvatelstva a ekosystémů se snižuje</w:t>
            </w:r>
          </w:p>
        </w:tc>
        <w:tc>
          <w:tcPr>
            <w:tcW w:w="596" w:type="pct"/>
            <w:gridSpan w:val="3"/>
            <w:tcBorders>
              <w:top w:val="nil"/>
              <w:left w:val="nil"/>
              <w:bottom w:val="single" w:sz="4" w:space="0" w:color="auto"/>
              <w:right w:val="single" w:sz="4" w:space="0" w:color="auto"/>
            </w:tcBorders>
            <w:shd w:val="clear" w:color="auto" w:fill="auto"/>
            <w:noWrap/>
            <w:vAlign w:val="center"/>
          </w:tcPr>
          <w:p w14:paraId="0CEFBAE7" w14:textId="544E4E7B" w:rsidR="00862CCA" w:rsidRPr="00111F34" w:rsidRDefault="00862CCA" w:rsidP="00862CCA">
            <w:pPr>
              <w:spacing w:before="0"/>
              <w:jc w:val="center"/>
              <w:rPr>
                <w:rFonts w:eastAsia="Times New Roman" w:cs="Arial"/>
                <w:color w:val="000000"/>
                <w:sz w:val="16"/>
                <w:szCs w:val="16"/>
                <w:lang w:eastAsia="cs-CZ"/>
              </w:rPr>
            </w:pPr>
            <w:r w:rsidRPr="00111F34">
              <w:rPr>
                <w:rFonts w:eastAsia="Times New Roman" w:cs="Arial"/>
                <w:color w:val="000000"/>
                <w:sz w:val="16"/>
                <w:szCs w:val="16"/>
                <w:lang w:eastAsia="cs-CZ"/>
              </w:rPr>
              <w:t>+/-</w:t>
            </w:r>
          </w:p>
        </w:tc>
        <w:tc>
          <w:tcPr>
            <w:tcW w:w="1827" w:type="pct"/>
            <w:tcBorders>
              <w:top w:val="nil"/>
              <w:left w:val="nil"/>
              <w:bottom w:val="single" w:sz="4" w:space="0" w:color="auto"/>
              <w:right w:val="single" w:sz="4" w:space="0" w:color="auto"/>
            </w:tcBorders>
            <w:vAlign w:val="center"/>
          </w:tcPr>
          <w:p w14:paraId="63E1E02C" w14:textId="45C4379A" w:rsidR="00862CCA" w:rsidRPr="00111F34" w:rsidRDefault="00862CCA" w:rsidP="00862CCA">
            <w:pPr>
              <w:spacing w:before="0"/>
              <w:jc w:val="center"/>
              <w:rPr>
                <w:rFonts w:eastAsia="Times New Roman" w:cs="Arial"/>
                <w:color w:val="000000"/>
                <w:sz w:val="16"/>
                <w:szCs w:val="16"/>
                <w:lang w:eastAsia="cs-CZ"/>
              </w:rPr>
            </w:pPr>
            <w:r w:rsidRPr="00111F34">
              <w:rPr>
                <w:rFonts w:eastAsia="Times New Roman" w:cs="Arial"/>
                <w:color w:val="000000"/>
                <w:sz w:val="16"/>
                <w:szCs w:val="16"/>
                <w:lang w:eastAsia="cs-CZ"/>
              </w:rPr>
              <w:t xml:space="preserve">Změna je jedním z opatření pro vytvoření moderní městské čtvrti a strukturou vymezených ploch vytváří územní předpoklady pro realizaci bariérové zástavby </w:t>
            </w:r>
            <w:r w:rsidR="003B37C2" w:rsidRPr="00111F34">
              <w:rPr>
                <w:rFonts w:eastAsia="Times New Roman" w:cs="Arial"/>
                <w:color w:val="000000"/>
                <w:sz w:val="16"/>
                <w:szCs w:val="16"/>
                <w:lang w:eastAsia="cs-CZ"/>
              </w:rPr>
              <w:t xml:space="preserve">a izolační zeleně </w:t>
            </w:r>
            <w:r w:rsidRPr="00111F34">
              <w:rPr>
                <w:rFonts w:eastAsia="Times New Roman" w:cs="Arial"/>
                <w:color w:val="000000"/>
                <w:sz w:val="16"/>
                <w:szCs w:val="16"/>
                <w:lang w:eastAsia="cs-CZ"/>
              </w:rPr>
              <w:t>vůči pronikajícímu hluku. Na druhou stranu zvyšující se intenzita využití území vytváří předpoklady pro novou vyvolanou dopravu</w:t>
            </w:r>
            <w:r w:rsidR="003B37C2" w:rsidRPr="00111F34">
              <w:rPr>
                <w:rFonts w:eastAsia="Times New Roman" w:cs="Arial"/>
                <w:color w:val="000000"/>
                <w:sz w:val="16"/>
                <w:szCs w:val="16"/>
                <w:lang w:eastAsia="cs-CZ"/>
              </w:rPr>
              <w:t xml:space="preserve"> a nové zdroje hlukové zátěže</w:t>
            </w:r>
            <w:r w:rsidRPr="00111F34">
              <w:rPr>
                <w:rFonts w:eastAsia="Times New Roman" w:cs="Arial"/>
                <w:color w:val="000000"/>
                <w:sz w:val="16"/>
                <w:szCs w:val="16"/>
                <w:lang w:eastAsia="cs-CZ"/>
              </w:rPr>
              <w:t>.</w:t>
            </w:r>
            <w:r w:rsidR="004C7DEF" w:rsidRPr="00111F34">
              <w:rPr>
                <w:rFonts w:eastAsia="Times New Roman" w:cs="Arial"/>
                <w:color w:val="000000"/>
                <w:sz w:val="16"/>
                <w:szCs w:val="16"/>
                <w:lang w:eastAsia="cs-CZ"/>
              </w:rPr>
              <w:t xml:space="preserve"> V této souvislosti byla v rámci SEA navržena opatření pro minimalizaci vlivů.</w:t>
            </w:r>
          </w:p>
        </w:tc>
      </w:tr>
      <w:tr w:rsidR="000C4F0C" w:rsidRPr="00111F34" w14:paraId="45801905" w14:textId="77777777" w:rsidTr="000C4F0C">
        <w:trPr>
          <w:trHeight w:val="281"/>
        </w:trPr>
        <w:tc>
          <w:tcPr>
            <w:tcW w:w="5000" w:type="pct"/>
            <w:gridSpan w:val="5"/>
            <w:tcBorders>
              <w:top w:val="nil"/>
              <w:left w:val="single" w:sz="4" w:space="0" w:color="auto"/>
              <w:bottom w:val="single" w:sz="4" w:space="0" w:color="auto"/>
              <w:right w:val="single" w:sz="4" w:space="0" w:color="auto"/>
            </w:tcBorders>
            <w:shd w:val="clear" w:color="auto" w:fill="auto"/>
            <w:noWrap/>
          </w:tcPr>
          <w:p w14:paraId="4D475B22" w14:textId="717AA8E9" w:rsidR="000C4F0C" w:rsidRPr="00111F34" w:rsidRDefault="000C4F0C" w:rsidP="000C4F0C">
            <w:pPr>
              <w:pStyle w:val="Podnadpis1"/>
              <w:spacing w:before="0"/>
              <w:jc w:val="center"/>
              <w:rPr>
                <w:sz w:val="16"/>
                <w:szCs w:val="16"/>
              </w:rPr>
            </w:pPr>
            <w:r w:rsidRPr="00111F34">
              <w:rPr>
                <w:sz w:val="16"/>
                <w:szCs w:val="16"/>
              </w:rPr>
              <w:t xml:space="preserve">Státní program ochrany přírody a krajiny </w:t>
            </w:r>
            <w:r w:rsidR="00C36C8D" w:rsidRPr="00111F34">
              <w:rPr>
                <w:sz w:val="16"/>
                <w:szCs w:val="16"/>
              </w:rPr>
              <w:t xml:space="preserve">pro léta </w:t>
            </w:r>
            <w:r w:rsidRPr="00111F34">
              <w:rPr>
                <w:sz w:val="16"/>
                <w:szCs w:val="16"/>
              </w:rPr>
              <w:t>2020-2025</w:t>
            </w:r>
          </w:p>
        </w:tc>
      </w:tr>
      <w:tr w:rsidR="000C4F0C" w:rsidRPr="00111F34" w14:paraId="3CC732F9" w14:textId="77777777" w:rsidTr="009B4A0C">
        <w:trPr>
          <w:trHeight w:val="281"/>
        </w:trPr>
        <w:tc>
          <w:tcPr>
            <w:tcW w:w="2577" w:type="pct"/>
            <w:tcBorders>
              <w:top w:val="nil"/>
              <w:left w:val="single" w:sz="4" w:space="0" w:color="auto"/>
              <w:bottom w:val="single" w:sz="4" w:space="0" w:color="auto"/>
              <w:right w:val="single" w:sz="4" w:space="0" w:color="auto"/>
            </w:tcBorders>
            <w:shd w:val="clear" w:color="auto" w:fill="auto"/>
            <w:noWrap/>
          </w:tcPr>
          <w:p w14:paraId="70BB860A" w14:textId="1B7DE958" w:rsidR="000C4F0C" w:rsidRPr="00111F34" w:rsidRDefault="000C4F0C" w:rsidP="000C4F0C">
            <w:pPr>
              <w:pStyle w:val="Odrky1"/>
              <w:spacing w:before="0" w:after="0"/>
              <w:ind w:left="356" w:hanging="284"/>
              <w:jc w:val="left"/>
              <w:rPr>
                <w:sz w:val="16"/>
                <w:szCs w:val="18"/>
              </w:rPr>
            </w:pPr>
            <w:r w:rsidRPr="00111F34">
              <w:rPr>
                <w:sz w:val="16"/>
                <w:szCs w:val="18"/>
              </w:rPr>
              <w:t>2.5.1 Zajistit ochranu urbánních ekosystémů, jejich funkcí a služeb ve specifických podmínkách sídel</w:t>
            </w:r>
          </w:p>
        </w:tc>
        <w:tc>
          <w:tcPr>
            <w:tcW w:w="596" w:type="pct"/>
            <w:gridSpan w:val="3"/>
            <w:tcBorders>
              <w:top w:val="nil"/>
              <w:left w:val="nil"/>
              <w:bottom w:val="single" w:sz="4" w:space="0" w:color="auto"/>
              <w:right w:val="single" w:sz="4" w:space="0" w:color="auto"/>
            </w:tcBorders>
            <w:shd w:val="clear" w:color="auto" w:fill="auto"/>
            <w:noWrap/>
          </w:tcPr>
          <w:p w14:paraId="6512279D" w14:textId="28E7C00C" w:rsidR="000C4F0C" w:rsidRPr="00111F34" w:rsidRDefault="000C4F0C" w:rsidP="000C4F0C">
            <w:pPr>
              <w:spacing w:before="0"/>
              <w:jc w:val="center"/>
              <w:rPr>
                <w:rFonts w:eastAsia="Times New Roman" w:cs="Arial"/>
                <w:color w:val="000000"/>
                <w:sz w:val="16"/>
                <w:szCs w:val="18"/>
                <w:lang w:eastAsia="cs-CZ"/>
              </w:rPr>
            </w:pPr>
            <w:r w:rsidRPr="00111F34">
              <w:rPr>
                <w:sz w:val="16"/>
                <w:szCs w:val="18"/>
              </w:rPr>
              <w:t xml:space="preserve">-/+ </w:t>
            </w:r>
          </w:p>
        </w:tc>
        <w:tc>
          <w:tcPr>
            <w:tcW w:w="1827" w:type="pct"/>
            <w:tcBorders>
              <w:top w:val="nil"/>
              <w:left w:val="nil"/>
              <w:bottom w:val="single" w:sz="4" w:space="0" w:color="auto"/>
              <w:right w:val="single" w:sz="4" w:space="0" w:color="auto"/>
            </w:tcBorders>
          </w:tcPr>
          <w:p w14:paraId="0486A727" w14:textId="61555F1B" w:rsidR="000C4F0C" w:rsidRPr="00111F34" w:rsidRDefault="000C4F0C" w:rsidP="000C4F0C">
            <w:pPr>
              <w:spacing w:before="0"/>
              <w:rPr>
                <w:rFonts w:eastAsia="Times New Roman" w:cs="Arial"/>
                <w:color w:val="000000"/>
                <w:sz w:val="16"/>
                <w:szCs w:val="18"/>
                <w:lang w:eastAsia="cs-CZ"/>
              </w:rPr>
            </w:pPr>
            <w:r w:rsidRPr="00111F34">
              <w:rPr>
                <w:sz w:val="16"/>
                <w:szCs w:val="18"/>
              </w:rPr>
              <w:t xml:space="preserve">Jsou vytvářeny územní předpoklady pro zastavitelné plochy v dosud nezastavitelném území a zábor ploch zeleně, na druhou stranu dojde k realizaci nových ploch zeleně s nárazníkovou a izolační funkcí, stabilizaci a optimalizaci ÚSES a rozšíření CSZ. </w:t>
            </w:r>
          </w:p>
        </w:tc>
      </w:tr>
      <w:tr w:rsidR="000C4F0C" w:rsidRPr="00111F34" w14:paraId="61BB0768" w14:textId="77777777" w:rsidTr="009742E2">
        <w:trPr>
          <w:trHeight w:val="313"/>
        </w:trPr>
        <w:tc>
          <w:tcPr>
            <w:tcW w:w="5000" w:type="pct"/>
            <w:gridSpan w:val="5"/>
            <w:tcBorders>
              <w:top w:val="nil"/>
              <w:left w:val="single" w:sz="4" w:space="0" w:color="auto"/>
              <w:bottom w:val="single" w:sz="4" w:space="0" w:color="auto"/>
              <w:right w:val="single" w:sz="4" w:space="0" w:color="auto"/>
            </w:tcBorders>
            <w:shd w:val="clear" w:color="auto" w:fill="auto"/>
            <w:noWrap/>
            <w:vAlign w:val="center"/>
          </w:tcPr>
          <w:p w14:paraId="7374C51E" w14:textId="423BC854" w:rsidR="000C4F0C" w:rsidRPr="00111F34" w:rsidRDefault="000C4F0C" w:rsidP="000C4F0C">
            <w:pPr>
              <w:pStyle w:val="Podnadpis1"/>
              <w:spacing w:before="0"/>
              <w:jc w:val="center"/>
              <w:rPr>
                <w:rFonts w:cs="Arial"/>
                <w:sz w:val="16"/>
                <w:szCs w:val="16"/>
              </w:rPr>
            </w:pPr>
            <w:r w:rsidRPr="00111F34">
              <w:rPr>
                <w:sz w:val="16"/>
                <w:szCs w:val="16"/>
              </w:rPr>
              <w:t>Akční plán ČR pro zdraví a životní prostředí – NEHAP</w:t>
            </w:r>
          </w:p>
        </w:tc>
      </w:tr>
      <w:tr w:rsidR="000C4F0C" w:rsidRPr="00111F34" w14:paraId="3A476127" w14:textId="77777777" w:rsidTr="00B34C98">
        <w:trPr>
          <w:trHeight w:val="275"/>
        </w:trPr>
        <w:tc>
          <w:tcPr>
            <w:tcW w:w="2577" w:type="pct"/>
            <w:tcBorders>
              <w:top w:val="nil"/>
              <w:left w:val="single" w:sz="4" w:space="0" w:color="auto"/>
              <w:bottom w:val="single" w:sz="4" w:space="0" w:color="auto"/>
              <w:right w:val="single" w:sz="4" w:space="0" w:color="auto"/>
            </w:tcBorders>
            <w:shd w:val="clear" w:color="auto" w:fill="auto"/>
            <w:noWrap/>
            <w:vAlign w:val="center"/>
          </w:tcPr>
          <w:p w14:paraId="7B537B4B" w14:textId="0513DA66" w:rsidR="000C4F0C" w:rsidRPr="00111F34" w:rsidRDefault="000C4F0C" w:rsidP="000C4F0C">
            <w:pPr>
              <w:pStyle w:val="Odrky1"/>
              <w:rPr>
                <w:sz w:val="16"/>
                <w:szCs w:val="16"/>
              </w:rPr>
            </w:pPr>
            <w:r w:rsidRPr="00111F34">
              <w:rPr>
                <w:sz w:val="16"/>
                <w:szCs w:val="16"/>
                <w:lang w:eastAsia="cs-CZ"/>
              </w:rPr>
              <w:t>Omezovat negativní působení hluku na zdraví.</w:t>
            </w:r>
          </w:p>
        </w:tc>
        <w:tc>
          <w:tcPr>
            <w:tcW w:w="585" w:type="pct"/>
            <w:gridSpan w:val="2"/>
            <w:tcBorders>
              <w:top w:val="nil"/>
              <w:left w:val="nil"/>
              <w:bottom w:val="single" w:sz="4" w:space="0" w:color="auto"/>
              <w:right w:val="single" w:sz="4" w:space="0" w:color="auto"/>
            </w:tcBorders>
            <w:shd w:val="clear" w:color="auto" w:fill="auto"/>
            <w:noWrap/>
            <w:vAlign w:val="center"/>
          </w:tcPr>
          <w:p w14:paraId="4CADEBC6" w14:textId="75779B89" w:rsidR="000C4F0C" w:rsidRPr="00111F34" w:rsidRDefault="000C4F0C" w:rsidP="000C4F0C">
            <w:pPr>
              <w:spacing w:before="0"/>
              <w:jc w:val="center"/>
              <w:rPr>
                <w:rFonts w:eastAsia="Times New Roman" w:cs="Arial"/>
                <w:color w:val="000000"/>
                <w:sz w:val="16"/>
                <w:szCs w:val="16"/>
                <w:lang w:eastAsia="cs-CZ"/>
              </w:rPr>
            </w:pPr>
            <w:r w:rsidRPr="00111F34">
              <w:rPr>
                <w:rFonts w:eastAsia="Times New Roman" w:cs="Arial"/>
                <w:color w:val="000000"/>
                <w:sz w:val="16"/>
                <w:szCs w:val="16"/>
                <w:lang w:eastAsia="cs-CZ"/>
              </w:rPr>
              <w:t>+/-</w:t>
            </w:r>
          </w:p>
        </w:tc>
        <w:tc>
          <w:tcPr>
            <w:tcW w:w="1838" w:type="pct"/>
            <w:gridSpan w:val="2"/>
            <w:tcBorders>
              <w:top w:val="nil"/>
              <w:left w:val="nil"/>
              <w:bottom w:val="single" w:sz="4" w:space="0" w:color="auto"/>
              <w:right w:val="single" w:sz="4" w:space="0" w:color="auto"/>
            </w:tcBorders>
            <w:vAlign w:val="center"/>
          </w:tcPr>
          <w:p w14:paraId="473AEA9D" w14:textId="02731E07" w:rsidR="000C4F0C" w:rsidRPr="00111F34" w:rsidRDefault="000C4F0C" w:rsidP="000C4F0C">
            <w:pPr>
              <w:spacing w:before="0"/>
              <w:jc w:val="center"/>
              <w:rPr>
                <w:rFonts w:eastAsia="Times New Roman" w:cs="Arial"/>
                <w:color w:val="000000"/>
                <w:sz w:val="16"/>
                <w:szCs w:val="16"/>
                <w:lang w:eastAsia="cs-CZ"/>
              </w:rPr>
            </w:pPr>
            <w:r w:rsidRPr="00111F34">
              <w:rPr>
                <w:rFonts w:eastAsia="Times New Roman" w:cs="Arial"/>
                <w:color w:val="000000"/>
                <w:sz w:val="16"/>
                <w:szCs w:val="16"/>
                <w:lang w:eastAsia="cs-CZ"/>
              </w:rPr>
              <w:t>Změna je jedním z opatření pro ochranu území před externalitami z dopravy, přerozdělení dopravních zátěží ve prospěch bezemisní VHD a snížení emisí CO</w:t>
            </w:r>
            <w:r w:rsidRPr="00111F34">
              <w:rPr>
                <w:rFonts w:eastAsia="Times New Roman" w:cs="Arial"/>
                <w:color w:val="000000"/>
                <w:sz w:val="16"/>
                <w:szCs w:val="16"/>
                <w:vertAlign w:val="subscript"/>
                <w:lang w:eastAsia="cs-CZ"/>
              </w:rPr>
              <w:t>2</w:t>
            </w:r>
            <w:r w:rsidRPr="00111F34">
              <w:rPr>
                <w:rFonts w:eastAsia="Times New Roman" w:cs="Arial"/>
                <w:color w:val="000000"/>
                <w:sz w:val="16"/>
                <w:szCs w:val="16"/>
                <w:lang w:eastAsia="cs-CZ"/>
              </w:rPr>
              <w:t>, transformace ploch dopravy v intravilánu a výroby na rezidenční funkce. Zároveň jsou vytvářeny územní předpoklady pro vložení nové tramvajové trati do profilu stávajících ulic jako nového zdroje hlukové zátěže.</w:t>
            </w:r>
            <w:r w:rsidR="004C7DEF" w:rsidRPr="00111F34">
              <w:rPr>
                <w:rFonts w:eastAsia="Times New Roman" w:cs="Arial"/>
                <w:color w:val="000000"/>
                <w:sz w:val="16"/>
                <w:szCs w:val="16"/>
                <w:lang w:eastAsia="cs-CZ"/>
              </w:rPr>
              <w:t xml:space="preserve"> V této souvislosti byla v rámci SEA navržena opatření pro minimalizaci vlivů.</w:t>
            </w:r>
          </w:p>
        </w:tc>
      </w:tr>
      <w:tr w:rsidR="000C4F0C" w:rsidRPr="00111F34" w14:paraId="20F0CE17" w14:textId="77777777" w:rsidTr="00B34C98">
        <w:trPr>
          <w:trHeight w:val="265"/>
        </w:trPr>
        <w:tc>
          <w:tcPr>
            <w:tcW w:w="2577" w:type="pct"/>
            <w:tcBorders>
              <w:top w:val="nil"/>
              <w:left w:val="single" w:sz="4" w:space="0" w:color="auto"/>
              <w:bottom w:val="single" w:sz="4" w:space="0" w:color="auto"/>
              <w:right w:val="single" w:sz="4" w:space="0" w:color="auto"/>
            </w:tcBorders>
            <w:shd w:val="clear" w:color="auto" w:fill="auto"/>
            <w:noWrap/>
            <w:vAlign w:val="center"/>
          </w:tcPr>
          <w:p w14:paraId="5F66E005" w14:textId="357617A6" w:rsidR="000C4F0C" w:rsidRPr="00111F34" w:rsidRDefault="000C4F0C" w:rsidP="000C4F0C">
            <w:pPr>
              <w:pStyle w:val="Odrky1"/>
              <w:jc w:val="left"/>
              <w:rPr>
                <w:sz w:val="16"/>
                <w:szCs w:val="16"/>
              </w:rPr>
            </w:pPr>
            <w:r w:rsidRPr="00111F34">
              <w:rPr>
                <w:sz w:val="16"/>
                <w:szCs w:val="16"/>
                <w:lang w:eastAsia="cs-CZ"/>
              </w:rPr>
              <w:t>Snižovat expozici hluku prostředky územního plánování.</w:t>
            </w:r>
          </w:p>
        </w:tc>
        <w:tc>
          <w:tcPr>
            <w:tcW w:w="585" w:type="pct"/>
            <w:gridSpan w:val="2"/>
            <w:tcBorders>
              <w:top w:val="nil"/>
              <w:left w:val="nil"/>
              <w:bottom w:val="single" w:sz="4" w:space="0" w:color="auto"/>
              <w:right w:val="single" w:sz="4" w:space="0" w:color="auto"/>
            </w:tcBorders>
            <w:shd w:val="clear" w:color="auto" w:fill="auto"/>
            <w:noWrap/>
            <w:vAlign w:val="center"/>
          </w:tcPr>
          <w:p w14:paraId="08AD0B44" w14:textId="683ED37F" w:rsidR="000C4F0C" w:rsidRPr="00111F34" w:rsidRDefault="000C4F0C" w:rsidP="000C4F0C">
            <w:pPr>
              <w:spacing w:before="0"/>
              <w:jc w:val="center"/>
              <w:rPr>
                <w:rFonts w:eastAsia="Times New Roman" w:cs="Arial"/>
                <w:color w:val="000000"/>
                <w:sz w:val="16"/>
                <w:szCs w:val="16"/>
                <w:lang w:eastAsia="cs-CZ"/>
              </w:rPr>
            </w:pPr>
            <w:r w:rsidRPr="00111F34">
              <w:rPr>
                <w:rFonts w:eastAsia="Times New Roman" w:cs="Arial"/>
                <w:color w:val="000000"/>
                <w:sz w:val="16"/>
                <w:szCs w:val="16"/>
                <w:lang w:eastAsia="cs-CZ"/>
              </w:rPr>
              <w:t>+/-</w:t>
            </w:r>
          </w:p>
        </w:tc>
        <w:tc>
          <w:tcPr>
            <w:tcW w:w="1838" w:type="pct"/>
            <w:gridSpan w:val="2"/>
            <w:tcBorders>
              <w:top w:val="nil"/>
              <w:left w:val="nil"/>
              <w:bottom w:val="single" w:sz="4" w:space="0" w:color="auto"/>
              <w:right w:val="single" w:sz="4" w:space="0" w:color="auto"/>
            </w:tcBorders>
            <w:vAlign w:val="center"/>
          </w:tcPr>
          <w:p w14:paraId="7195F54F" w14:textId="209CFEB9" w:rsidR="000C4F0C" w:rsidRPr="00111F34" w:rsidRDefault="000C4F0C" w:rsidP="000C4F0C">
            <w:pPr>
              <w:spacing w:before="0"/>
              <w:jc w:val="center"/>
              <w:rPr>
                <w:rFonts w:eastAsia="Times New Roman" w:cs="Arial"/>
                <w:color w:val="000000"/>
                <w:sz w:val="16"/>
                <w:szCs w:val="16"/>
                <w:lang w:eastAsia="cs-CZ"/>
              </w:rPr>
            </w:pPr>
            <w:r w:rsidRPr="00111F34">
              <w:rPr>
                <w:rFonts w:eastAsia="Times New Roman" w:cs="Arial"/>
                <w:color w:val="000000"/>
                <w:sz w:val="16"/>
                <w:szCs w:val="16"/>
                <w:lang w:eastAsia="cs-CZ"/>
              </w:rPr>
              <w:t>Změna je jedním z opatření pro ochranu území před externalitami z dopravy, přerozdělení dopravních zátěží ve prospěch bezemisní VHD na úkor IAD, transformace ploch dopravy v intravilánu a výroby na rezidenční funkce. Zároveň jsou vytvářeny územní předpoklady pro vložení nové tramvajové trati do profilu stávajících ulic jako nového zdroje hlukové zátěže.</w:t>
            </w:r>
            <w:r w:rsidR="004C7DEF" w:rsidRPr="00111F34">
              <w:rPr>
                <w:rFonts w:eastAsia="Times New Roman" w:cs="Arial"/>
                <w:color w:val="000000"/>
                <w:sz w:val="16"/>
                <w:szCs w:val="16"/>
                <w:lang w:eastAsia="cs-CZ"/>
              </w:rPr>
              <w:t xml:space="preserve"> V této souvislosti byla v rámci SEA navržena opatření pro minimalizaci vlivů.</w:t>
            </w:r>
          </w:p>
        </w:tc>
      </w:tr>
      <w:tr w:rsidR="000C4F0C" w:rsidRPr="00111F34" w14:paraId="1FE44DF4" w14:textId="77777777" w:rsidTr="00B34C98">
        <w:trPr>
          <w:trHeight w:val="185"/>
        </w:trPr>
        <w:tc>
          <w:tcPr>
            <w:tcW w:w="5000" w:type="pct"/>
            <w:gridSpan w:val="5"/>
            <w:tcBorders>
              <w:top w:val="nil"/>
              <w:left w:val="single" w:sz="4" w:space="0" w:color="auto"/>
              <w:bottom w:val="single" w:sz="4" w:space="0" w:color="auto"/>
              <w:right w:val="single" w:sz="4" w:space="0" w:color="auto"/>
            </w:tcBorders>
            <w:shd w:val="clear" w:color="auto" w:fill="auto"/>
            <w:noWrap/>
            <w:vAlign w:val="center"/>
          </w:tcPr>
          <w:p w14:paraId="3AE5E08D" w14:textId="70C6D280" w:rsidR="000C4F0C" w:rsidRPr="00111F34" w:rsidRDefault="000C4F0C" w:rsidP="000C4F0C">
            <w:pPr>
              <w:pStyle w:val="Podnadpis1"/>
              <w:spacing w:before="0"/>
              <w:jc w:val="center"/>
              <w:rPr>
                <w:rFonts w:cs="Arial"/>
                <w:color w:val="000000"/>
                <w:sz w:val="16"/>
                <w:szCs w:val="16"/>
              </w:rPr>
            </w:pPr>
            <w:r w:rsidRPr="00111F34">
              <w:rPr>
                <w:sz w:val="16"/>
                <w:szCs w:val="16"/>
              </w:rPr>
              <w:t>Národní strategie ochrany a podpory zdraví a prevence nemocí – Zdraví 2030</w:t>
            </w:r>
          </w:p>
        </w:tc>
      </w:tr>
      <w:tr w:rsidR="000C4F0C" w:rsidRPr="00111F34" w14:paraId="6C72DD2F" w14:textId="77777777" w:rsidTr="00B34C98">
        <w:trPr>
          <w:trHeight w:val="185"/>
        </w:trPr>
        <w:tc>
          <w:tcPr>
            <w:tcW w:w="2577" w:type="pct"/>
            <w:tcBorders>
              <w:top w:val="nil"/>
              <w:left w:val="single" w:sz="4" w:space="0" w:color="auto"/>
              <w:bottom w:val="single" w:sz="4" w:space="0" w:color="auto"/>
              <w:right w:val="single" w:sz="4" w:space="0" w:color="auto"/>
            </w:tcBorders>
            <w:shd w:val="clear" w:color="auto" w:fill="auto"/>
            <w:noWrap/>
            <w:vAlign w:val="center"/>
          </w:tcPr>
          <w:p w14:paraId="148F3D1F" w14:textId="71DE1B63" w:rsidR="000C4F0C" w:rsidRPr="00111F34" w:rsidRDefault="000C4F0C" w:rsidP="000C4F0C">
            <w:pPr>
              <w:pStyle w:val="Odrky1"/>
              <w:rPr>
                <w:sz w:val="16"/>
                <w:szCs w:val="16"/>
              </w:rPr>
            </w:pPr>
            <w:r w:rsidRPr="00111F34">
              <w:rPr>
                <w:sz w:val="16"/>
                <w:szCs w:val="16"/>
                <w:lang w:eastAsia="cs-CZ"/>
              </w:rPr>
              <w:t>1.2.2. Ochrana zdraví obyvatel ČR v kontextu environmentálních rizik (chemické látky, nadměrná hluková zátěž, projevy změny klimatu apod.).</w:t>
            </w:r>
          </w:p>
        </w:tc>
        <w:tc>
          <w:tcPr>
            <w:tcW w:w="585" w:type="pct"/>
            <w:gridSpan w:val="2"/>
            <w:tcBorders>
              <w:top w:val="nil"/>
              <w:left w:val="nil"/>
              <w:bottom w:val="single" w:sz="4" w:space="0" w:color="auto"/>
              <w:right w:val="single" w:sz="4" w:space="0" w:color="auto"/>
            </w:tcBorders>
            <w:shd w:val="clear" w:color="auto" w:fill="auto"/>
            <w:noWrap/>
            <w:vAlign w:val="center"/>
          </w:tcPr>
          <w:p w14:paraId="56287992" w14:textId="1B2EFD9F" w:rsidR="000C4F0C" w:rsidRPr="00111F34" w:rsidRDefault="000C4F0C" w:rsidP="000C4F0C">
            <w:pPr>
              <w:spacing w:before="0"/>
              <w:jc w:val="center"/>
              <w:rPr>
                <w:rFonts w:eastAsia="Times New Roman" w:cs="Arial"/>
                <w:color w:val="000000"/>
                <w:sz w:val="16"/>
                <w:szCs w:val="16"/>
                <w:lang w:eastAsia="cs-CZ"/>
              </w:rPr>
            </w:pPr>
            <w:r w:rsidRPr="00111F34">
              <w:rPr>
                <w:rFonts w:eastAsia="Times New Roman" w:cs="Arial"/>
                <w:color w:val="000000"/>
                <w:sz w:val="16"/>
                <w:szCs w:val="16"/>
                <w:lang w:eastAsia="cs-CZ"/>
              </w:rPr>
              <w:t>+/-</w:t>
            </w:r>
          </w:p>
        </w:tc>
        <w:tc>
          <w:tcPr>
            <w:tcW w:w="1838" w:type="pct"/>
            <w:gridSpan w:val="2"/>
            <w:tcBorders>
              <w:top w:val="nil"/>
              <w:left w:val="nil"/>
              <w:bottom w:val="single" w:sz="4" w:space="0" w:color="auto"/>
              <w:right w:val="single" w:sz="4" w:space="0" w:color="auto"/>
            </w:tcBorders>
            <w:vAlign w:val="center"/>
          </w:tcPr>
          <w:p w14:paraId="69CCAF6D" w14:textId="5BE18EE5" w:rsidR="000C4F0C" w:rsidRPr="00111F34" w:rsidRDefault="000C4F0C" w:rsidP="000C4F0C">
            <w:pPr>
              <w:spacing w:before="0"/>
              <w:jc w:val="center"/>
              <w:rPr>
                <w:rFonts w:eastAsia="Times New Roman" w:cs="Arial"/>
                <w:color w:val="000000"/>
                <w:sz w:val="16"/>
                <w:szCs w:val="16"/>
                <w:lang w:eastAsia="cs-CZ"/>
              </w:rPr>
            </w:pPr>
            <w:r w:rsidRPr="00111F34">
              <w:rPr>
                <w:rFonts w:eastAsia="Times New Roman" w:cs="Arial"/>
                <w:color w:val="000000"/>
                <w:sz w:val="16"/>
                <w:szCs w:val="16"/>
                <w:lang w:eastAsia="cs-CZ"/>
              </w:rPr>
              <w:t>Změna je jedním z opatření pro vytvoření moderní městské čtvrti a strukturou vymezených ploch vytváří územní předpoklady pro zlepšení dopravní obsluhy ve prospěch bezemisní VHD, realizaci bariérové zástavby vůči pronikajícímu hluku. Na druhou stranu zvyšující se intenzita využití území vytváří předpoklady pro nový zdroj hlukové zátěže v podobě tramvajové trati. Optimalizována a koordinována je poloha přivaděče Rybářka vůči hlukově chráněným objektům. Z hlediska klimatických změn a environmentálních rizik jsou vytvářeny územní předpoklady pro transformaci bývalých těžebních území, a tím i řešení zde přítomných rizik. Konkrétní ovlivnění a zda k němu vůbec dojde, bude záviset na konkrétním technickém řešení využití území.</w:t>
            </w:r>
            <w:r w:rsidR="00C81B4D" w:rsidRPr="00111F34">
              <w:rPr>
                <w:rFonts w:eastAsia="Times New Roman" w:cs="Arial"/>
                <w:color w:val="000000"/>
                <w:sz w:val="16"/>
                <w:szCs w:val="16"/>
                <w:lang w:eastAsia="cs-CZ"/>
              </w:rPr>
              <w:t xml:space="preserve"> Koncepce obsahuje územně plánovací opatření a podmínky využití ploch pro zmírnění potenciálních negativních vlivů.</w:t>
            </w:r>
          </w:p>
        </w:tc>
      </w:tr>
      <w:tr w:rsidR="000C4F0C" w:rsidRPr="00111F34" w14:paraId="03AB2FDB" w14:textId="77777777" w:rsidTr="009742E2">
        <w:trPr>
          <w:trHeight w:val="300"/>
        </w:trPr>
        <w:tc>
          <w:tcPr>
            <w:tcW w:w="5000" w:type="pct"/>
            <w:gridSpan w:val="5"/>
            <w:tcBorders>
              <w:top w:val="nil"/>
              <w:left w:val="single" w:sz="4" w:space="0" w:color="auto"/>
              <w:bottom w:val="single" w:sz="4" w:space="0" w:color="auto"/>
              <w:right w:val="single" w:sz="4" w:space="0" w:color="auto"/>
            </w:tcBorders>
            <w:shd w:val="clear" w:color="auto" w:fill="auto"/>
            <w:noWrap/>
            <w:vAlign w:val="center"/>
            <w:hideMark/>
          </w:tcPr>
          <w:p w14:paraId="75095FC0" w14:textId="77777777" w:rsidR="000C4F0C" w:rsidRPr="00111F34" w:rsidRDefault="000C4F0C" w:rsidP="000C4F0C">
            <w:pPr>
              <w:spacing w:before="0"/>
              <w:jc w:val="center"/>
              <w:rPr>
                <w:rFonts w:eastAsia="Times New Roman" w:cs="Arial"/>
                <w:b/>
                <w:i/>
                <w:snapToGrid w:val="0"/>
                <w:color w:val="233845"/>
                <w:sz w:val="16"/>
                <w:szCs w:val="16"/>
                <w:lang w:eastAsia="cs-CZ"/>
              </w:rPr>
            </w:pPr>
            <w:r w:rsidRPr="00111F34">
              <w:rPr>
                <w:rFonts w:eastAsia="Times New Roman" w:cs="Arial"/>
                <w:b/>
                <w:i/>
                <w:snapToGrid w:val="0"/>
                <w:color w:val="233845"/>
                <w:sz w:val="16"/>
                <w:szCs w:val="16"/>
                <w:lang w:eastAsia="cs-CZ"/>
              </w:rPr>
              <w:t>ZÚR hl. města Prahy</w:t>
            </w:r>
          </w:p>
        </w:tc>
      </w:tr>
      <w:tr w:rsidR="000C4F0C" w:rsidRPr="00111F34" w14:paraId="558B3549" w14:textId="77777777" w:rsidTr="0017530C">
        <w:trPr>
          <w:trHeight w:val="252"/>
        </w:trPr>
        <w:tc>
          <w:tcPr>
            <w:tcW w:w="2577" w:type="pct"/>
            <w:tcBorders>
              <w:top w:val="nil"/>
              <w:left w:val="single" w:sz="4" w:space="0" w:color="auto"/>
              <w:bottom w:val="single" w:sz="4" w:space="0" w:color="auto"/>
              <w:right w:val="single" w:sz="4" w:space="0" w:color="auto"/>
            </w:tcBorders>
            <w:shd w:val="clear" w:color="auto" w:fill="auto"/>
            <w:noWrap/>
            <w:vAlign w:val="center"/>
            <w:hideMark/>
          </w:tcPr>
          <w:p w14:paraId="595795A3" w14:textId="5CCF3B5F" w:rsidR="000C4F0C" w:rsidRPr="00111F34" w:rsidRDefault="000C4F0C" w:rsidP="000C4F0C">
            <w:pPr>
              <w:pStyle w:val="Odrky1"/>
              <w:rPr>
                <w:rFonts w:eastAsia="Times New Roman" w:cs="Arial"/>
                <w:color w:val="00B0B9"/>
                <w:sz w:val="16"/>
                <w:szCs w:val="16"/>
                <w:lang w:eastAsia="cs-CZ"/>
              </w:rPr>
            </w:pPr>
            <w:r w:rsidRPr="00111F34">
              <w:rPr>
                <w:rFonts w:cs="Arial"/>
                <w:sz w:val="16"/>
                <w:szCs w:val="16"/>
              </w:rPr>
              <w:t>1) Vycházet z výjimečného postavení Prahy jako hlavního města České republiky, přirozeného centra Pražského regionu a významného města Evropy.</w:t>
            </w:r>
          </w:p>
        </w:tc>
        <w:tc>
          <w:tcPr>
            <w:tcW w:w="585" w:type="pct"/>
            <w:gridSpan w:val="2"/>
            <w:tcBorders>
              <w:top w:val="nil"/>
              <w:left w:val="nil"/>
              <w:bottom w:val="single" w:sz="4" w:space="0" w:color="auto"/>
              <w:right w:val="single" w:sz="4" w:space="0" w:color="auto"/>
            </w:tcBorders>
            <w:shd w:val="clear" w:color="auto" w:fill="auto"/>
            <w:noWrap/>
            <w:vAlign w:val="center"/>
          </w:tcPr>
          <w:p w14:paraId="10146715" w14:textId="5FAF8EDE" w:rsidR="000C4F0C" w:rsidRPr="00111F34" w:rsidRDefault="000C4F0C" w:rsidP="000C4F0C">
            <w:pPr>
              <w:spacing w:before="0"/>
              <w:jc w:val="center"/>
              <w:rPr>
                <w:rFonts w:eastAsia="Times New Roman" w:cs="Arial"/>
                <w:color w:val="000000"/>
                <w:sz w:val="16"/>
                <w:szCs w:val="16"/>
                <w:lang w:eastAsia="cs-CZ"/>
              </w:rPr>
            </w:pPr>
            <w:r w:rsidRPr="00111F34">
              <w:rPr>
                <w:rFonts w:eastAsia="Times New Roman" w:cs="Arial"/>
                <w:color w:val="000000"/>
                <w:sz w:val="16"/>
                <w:szCs w:val="16"/>
                <w:lang w:eastAsia="cs-CZ"/>
              </w:rPr>
              <w:t>+</w:t>
            </w:r>
          </w:p>
        </w:tc>
        <w:tc>
          <w:tcPr>
            <w:tcW w:w="1838" w:type="pct"/>
            <w:gridSpan w:val="2"/>
            <w:tcBorders>
              <w:top w:val="nil"/>
              <w:left w:val="nil"/>
              <w:bottom w:val="single" w:sz="4" w:space="0" w:color="auto"/>
              <w:right w:val="single" w:sz="4" w:space="0" w:color="auto"/>
            </w:tcBorders>
            <w:vAlign w:val="center"/>
          </w:tcPr>
          <w:p w14:paraId="79C35470" w14:textId="060EA266" w:rsidR="000C4F0C" w:rsidRPr="00111F34" w:rsidRDefault="000C4F0C" w:rsidP="000C4F0C">
            <w:pPr>
              <w:spacing w:before="0"/>
              <w:jc w:val="center"/>
              <w:rPr>
                <w:rFonts w:eastAsia="Times New Roman" w:cs="Arial"/>
                <w:color w:val="000000"/>
                <w:sz w:val="16"/>
                <w:szCs w:val="16"/>
                <w:lang w:eastAsia="cs-CZ"/>
              </w:rPr>
            </w:pPr>
            <w:r w:rsidRPr="00111F34">
              <w:rPr>
                <w:rFonts w:eastAsia="Times New Roman" w:cs="Arial"/>
                <w:color w:val="000000"/>
                <w:sz w:val="16"/>
                <w:szCs w:val="16"/>
                <w:lang w:eastAsia="cs-CZ"/>
              </w:rPr>
              <w:t>Jsou zprostředkovaně vytvořeny územní předpoklady pro podporu ekonomického i sociálního pilíře udržitelného rozvoje prostřednictvím zlepšení dopravní obsluhy a přestavby dosud podvyužitého území.</w:t>
            </w:r>
          </w:p>
        </w:tc>
      </w:tr>
      <w:tr w:rsidR="000C4F0C" w:rsidRPr="00111F34" w14:paraId="4994CFAE" w14:textId="77777777" w:rsidTr="0017530C">
        <w:trPr>
          <w:trHeight w:val="269"/>
        </w:trPr>
        <w:tc>
          <w:tcPr>
            <w:tcW w:w="2577" w:type="pct"/>
            <w:tcBorders>
              <w:top w:val="nil"/>
              <w:left w:val="single" w:sz="4" w:space="0" w:color="auto"/>
              <w:bottom w:val="single" w:sz="4" w:space="0" w:color="auto"/>
              <w:right w:val="single" w:sz="4" w:space="0" w:color="auto"/>
            </w:tcBorders>
            <w:shd w:val="clear" w:color="auto" w:fill="auto"/>
            <w:noWrap/>
            <w:vAlign w:val="center"/>
            <w:hideMark/>
          </w:tcPr>
          <w:p w14:paraId="5888213D" w14:textId="0A01631D" w:rsidR="000C4F0C" w:rsidRPr="00111F34" w:rsidRDefault="000C4F0C" w:rsidP="000C4F0C">
            <w:pPr>
              <w:pStyle w:val="Odrky1"/>
              <w:rPr>
                <w:rFonts w:eastAsia="Times New Roman" w:cs="Arial"/>
                <w:color w:val="00B0B9"/>
                <w:sz w:val="16"/>
                <w:szCs w:val="16"/>
                <w:lang w:eastAsia="cs-CZ"/>
              </w:rPr>
            </w:pPr>
            <w:r w:rsidRPr="00111F34">
              <w:rPr>
                <w:rFonts w:cs="Arial"/>
                <w:sz w:val="16"/>
                <w:szCs w:val="16"/>
              </w:rPr>
              <w:lastRenderedPageBreak/>
              <w:t>4) Upřednostnit využití transformačních území oproti rozvoji v dosud nezastavěném území.</w:t>
            </w:r>
          </w:p>
        </w:tc>
        <w:tc>
          <w:tcPr>
            <w:tcW w:w="585" w:type="pct"/>
            <w:gridSpan w:val="2"/>
            <w:tcBorders>
              <w:top w:val="nil"/>
              <w:left w:val="nil"/>
              <w:bottom w:val="single" w:sz="4" w:space="0" w:color="auto"/>
              <w:right w:val="single" w:sz="4" w:space="0" w:color="auto"/>
            </w:tcBorders>
            <w:shd w:val="clear" w:color="auto" w:fill="auto"/>
            <w:noWrap/>
            <w:vAlign w:val="center"/>
          </w:tcPr>
          <w:p w14:paraId="796FF454" w14:textId="387341E6" w:rsidR="000C4F0C" w:rsidRPr="00111F34" w:rsidRDefault="000C4F0C" w:rsidP="000C4F0C">
            <w:pPr>
              <w:spacing w:before="0"/>
              <w:jc w:val="center"/>
              <w:rPr>
                <w:rFonts w:eastAsia="Times New Roman" w:cs="Arial"/>
                <w:color w:val="000000"/>
                <w:sz w:val="16"/>
                <w:szCs w:val="16"/>
                <w:lang w:eastAsia="cs-CZ"/>
              </w:rPr>
            </w:pPr>
            <w:r w:rsidRPr="00111F34">
              <w:rPr>
                <w:rFonts w:eastAsia="Times New Roman" w:cs="Arial"/>
                <w:color w:val="000000"/>
                <w:sz w:val="16"/>
                <w:szCs w:val="16"/>
                <w:lang w:eastAsia="cs-CZ"/>
              </w:rPr>
              <w:t>+</w:t>
            </w:r>
          </w:p>
        </w:tc>
        <w:tc>
          <w:tcPr>
            <w:tcW w:w="1838" w:type="pct"/>
            <w:gridSpan w:val="2"/>
            <w:tcBorders>
              <w:top w:val="nil"/>
              <w:left w:val="nil"/>
              <w:bottom w:val="single" w:sz="4" w:space="0" w:color="auto"/>
              <w:right w:val="single" w:sz="4" w:space="0" w:color="auto"/>
            </w:tcBorders>
            <w:vAlign w:val="center"/>
          </w:tcPr>
          <w:p w14:paraId="56FD2C2E" w14:textId="66F90AF4" w:rsidR="000C4F0C" w:rsidRPr="00111F34" w:rsidRDefault="000C4F0C" w:rsidP="000C4F0C">
            <w:pPr>
              <w:spacing w:before="0"/>
              <w:jc w:val="center"/>
              <w:rPr>
                <w:rFonts w:eastAsia="Times New Roman" w:cs="Arial"/>
                <w:color w:val="000000"/>
                <w:sz w:val="16"/>
                <w:szCs w:val="16"/>
                <w:lang w:eastAsia="cs-CZ"/>
              </w:rPr>
            </w:pPr>
            <w:r w:rsidRPr="00111F34">
              <w:rPr>
                <w:rFonts w:eastAsia="Times New Roman" w:cs="Arial"/>
                <w:color w:val="000000"/>
                <w:sz w:val="16"/>
                <w:szCs w:val="16"/>
                <w:lang w:eastAsia="cs-CZ"/>
              </w:rPr>
              <w:t>Přímo rozvíjí tuto prioritu.</w:t>
            </w:r>
          </w:p>
        </w:tc>
      </w:tr>
      <w:tr w:rsidR="000C4F0C" w:rsidRPr="00111F34" w14:paraId="271F74BE" w14:textId="77777777" w:rsidTr="0017530C">
        <w:trPr>
          <w:trHeight w:val="274"/>
        </w:trPr>
        <w:tc>
          <w:tcPr>
            <w:tcW w:w="2577" w:type="pct"/>
            <w:tcBorders>
              <w:top w:val="nil"/>
              <w:left w:val="single" w:sz="4" w:space="0" w:color="auto"/>
              <w:bottom w:val="single" w:sz="4" w:space="0" w:color="auto"/>
              <w:right w:val="single" w:sz="4" w:space="0" w:color="auto"/>
            </w:tcBorders>
            <w:shd w:val="clear" w:color="auto" w:fill="auto"/>
            <w:noWrap/>
            <w:vAlign w:val="center"/>
            <w:hideMark/>
          </w:tcPr>
          <w:p w14:paraId="6CF0206C" w14:textId="7E0FD879" w:rsidR="000C4F0C" w:rsidRPr="00111F34" w:rsidRDefault="000C4F0C" w:rsidP="000C4F0C">
            <w:pPr>
              <w:pStyle w:val="Odrky1"/>
              <w:rPr>
                <w:rFonts w:eastAsia="Times New Roman" w:cs="Arial"/>
                <w:color w:val="00B0B9"/>
                <w:sz w:val="16"/>
                <w:szCs w:val="16"/>
                <w:lang w:eastAsia="cs-CZ"/>
              </w:rPr>
            </w:pPr>
            <w:r w:rsidRPr="00111F34">
              <w:rPr>
                <w:rFonts w:cs="Arial"/>
                <w:sz w:val="16"/>
                <w:szCs w:val="16"/>
              </w:rPr>
              <w:t>8) Vytvořit podmínky pro rozvoj druhů dopravy šetrných k životnímu prostředí.</w:t>
            </w:r>
          </w:p>
        </w:tc>
        <w:tc>
          <w:tcPr>
            <w:tcW w:w="585" w:type="pct"/>
            <w:gridSpan w:val="2"/>
            <w:tcBorders>
              <w:top w:val="nil"/>
              <w:left w:val="nil"/>
              <w:bottom w:val="single" w:sz="4" w:space="0" w:color="auto"/>
              <w:right w:val="single" w:sz="4" w:space="0" w:color="auto"/>
            </w:tcBorders>
            <w:shd w:val="clear" w:color="auto" w:fill="auto"/>
            <w:noWrap/>
            <w:vAlign w:val="center"/>
          </w:tcPr>
          <w:p w14:paraId="5318C3BF" w14:textId="67FDF829" w:rsidR="000C4F0C" w:rsidRPr="00111F34" w:rsidRDefault="000C4F0C" w:rsidP="000C4F0C">
            <w:pPr>
              <w:spacing w:before="0"/>
              <w:jc w:val="center"/>
              <w:rPr>
                <w:rFonts w:eastAsia="Times New Roman" w:cs="Arial"/>
                <w:color w:val="000000"/>
                <w:sz w:val="16"/>
                <w:szCs w:val="16"/>
                <w:lang w:eastAsia="cs-CZ"/>
              </w:rPr>
            </w:pPr>
            <w:r w:rsidRPr="00111F34">
              <w:rPr>
                <w:rFonts w:eastAsia="Times New Roman" w:cs="Arial"/>
                <w:color w:val="000000"/>
                <w:sz w:val="16"/>
                <w:szCs w:val="16"/>
                <w:lang w:eastAsia="cs-CZ"/>
              </w:rPr>
              <w:t>+</w:t>
            </w:r>
          </w:p>
        </w:tc>
        <w:tc>
          <w:tcPr>
            <w:tcW w:w="1838" w:type="pct"/>
            <w:gridSpan w:val="2"/>
            <w:tcBorders>
              <w:top w:val="nil"/>
              <w:left w:val="nil"/>
              <w:bottom w:val="single" w:sz="4" w:space="0" w:color="auto"/>
              <w:right w:val="single" w:sz="4" w:space="0" w:color="auto"/>
            </w:tcBorders>
            <w:vAlign w:val="center"/>
          </w:tcPr>
          <w:p w14:paraId="781A619B" w14:textId="01B01329" w:rsidR="000C4F0C" w:rsidRPr="00111F34" w:rsidRDefault="000C4F0C" w:rsidP="000C4F0C">
            <w:pPr>
              <w:spacing w:before="0"/>
              <w:jc w:val="center"/>
              <w:rPr>
                <w:rFonts w:eastAsia="Times New Roman" w:cs="Arial"/>
                <w:color w:val="000000"/>
                <w:sz w:val="16"/>
                <w:szCs w:val="16"/>
                <w:lang w:eastAsia="cs-CZ"/>
              </w:rPr>
            </w:pPr>
            <w:r w:rsidRPr="00111F34">
              <w:rPr>
                <w:rFonts w:eastAsia="Times New Roman" w:cs="Arial"/>
                <w:color w:val="000000"/>
                <w:sz w:val="16"/>
                <w:szCs w:val="16"/>
                <w:lang w:eastAsia="cs-CZ"/>
              </w:rPr>
              <w:t>Přímo rozvíjí tuto prioritu.</w:t>
            </w:r>
          </w:p>
        </w:tc>
      </w:tr>
      <w:tr w:rsidR="000C4F0C" w:rsidRPr="00111F34" w14:paraId="4C225D00" w14:textId="77777777" w:rsidTr="00670C8D">
        <w:trPr>
          <w:trHeight w:val="126"/>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E646277" w14:textId="77777777" w:rsidR="000C4F0C" w:rsidRPr="00111F34" w:rsidRDefault="000C4F0C" w:rsidP="000C4F0C">
            <w:pPr>
              <w:pStyle w:val="Podnadpis1"/>
              <w:spacing w:before="40" w:after="40"/>
              <w:jc w:val="center"/>
              <w:rPr>
                <w:sz w:val="16"/>
                <w:szCs w:val="16"/>
              </w:rPr>
            </w:pPr>
            <w:r w:rsidRPr="00111F34">
              <w:rPr>
                <w:rFonts w:cs="Arial"/>
                <w:bCs/>
                <w:iCs/>
                <w:sz w:val="16"/>
                <w:szCs w:val="16"/>
              </w:rPr>
              <w:t>Strategický plán hl. m. Prahy</w:t>
            </w:r>
          </w:p>
        </w:tc>
      </w:tr>
      <w:tr w:rsidR="000C4F0C" w:rsidRPr="00111F34" w14:paraId="7B4F1351" w14:textId="77777777" w:rsidTr="00C36C8D">
        <w:trPr>
          <w:trHeight w:val="265"/>
        </w:trPr>
        <w:tc>
          <w:tcPr>
            <w:tcW w:w="2577" w:type="pct"/>
            <w:tcBorders>
              <w:top w:val="nil"/>
              <w:left w:val="single" w:sz="4" w:space="0" w:color="auto"/>
              <w:bottom w:val="single" w:sz="4" w:space="0" w:color="auto"/>
              <w:right w:val="single" w:sz="4" w:space="0" w:color="auto"/>
            </w:tcBorders>
            <w:shd w:val="clear" w:color="auto" w:fill="auto"/>
            <w:noWrap/>
            <w:vAlign w:val="center"/>
          </w:tcPr>
          <w:p w14:paraId="00320779" w14:textId="77777777" w:rsidR="000C4F0C" w:rsidRPr="00111F34" w:rsidRDefault="000C4F0C" w:rsidP="000C4F0C">
            <w:pPr>
              <w:pStyle w:val="Odrky1"/>
              <w:jc w:val="left"/>
              <w:rPr>
                <w:sz w:val="16"/>
                <w:szCs w:val="16"/>
                <w:lang w:eastAsia="cs-CZ"/>
              </w:rPr>
            </w:pPr>
            <w:r w:rsidRPr="00111F34">
              <w:rPr>
                <w:rFonts w:cs="Arial"/>
                <w:sz w:val="16"/>
                <w:szCs w:val="16"/>
              </w:rPr>
              <w:t>Sledovat vyšší kvalitu veřejných prostranství při návrhu dopravních řešení.</w:t>
            </w:r>
          </w:p>
        </w:tc>
        <w:tc>
          <w:tcPr>
            <w:tcW w:w="585" w:type="pct"/>
            <w:gridSpan w:val="2"/>
            <w:tcBorders>
              <w:top w:val="nil"/>
              <w:left w:val="nil"/>
              <w:bottom w:val="single" w:sz="4" w:space="0" w:color="auto"/>
              <w:right w:val="single" w:sz="4" w:space="0" w:color="auto"/>
            </w:tcBorders>
            <w:shd w:val="clear" w:color="auto" w:fill="auto"/>
            <w:noWrap/>
            <w:vAlign w:val="center"/>
          </w:tcPr>
          <w:p w14:paraId="1A556B73" w14:textId="710FA362" w:rsidR="000C4F0C" w:rsidRPr="00111F34" w:rsidRDefault="000C4F0C" w:rsidP="000C4F0C">
            <w:pPr>
              <w:spacing w:before="0"/>
              <w:jc w:val="center"/>
              <w:rPr>
                <w:rFonts w:eastAsia="Times New Roman" w:cs="Arial"/>
                <w:color w:val="000000"/>
                <w:sz w:val="16"/>
                <w:szCs w:val="16"/>
                <w:lang w:eastAsia="cs-CZ"/>
              </w:rPr>
            </w:pPr>
            <w:r w:rsidRPr="00111F34">
              <w:rPr>
                <w:rFonts w:eastAsia="Times New Roman" w:cs="Arial"/>
                <w:color w:val="000000"/>
                <w:sz w:val="16"/>
                <w:szCs w:val="16"/>
                <w:lang w:eastAsia="cs-CZ"/>
              </w:rPr>
              <w:t>+</w:t>
            </w:r>
          </w:p>
        </w:tc>
        <w:tc>
          <w:tcPr>
            <w:tcW w:w="1838" w:type="pct"/>
            <w:gridSpan w:val="2"/>
            <w:tcBorders>
              <w:top w:val="nil"/>
              <w:left w:val="nil"/>
              <w:bottom w:val="single" w:sz="4" w:space="0" w:color="auto"/>
              <w:right w:val="single" w:sz="4" w:space="0" w:color="auto"/>
            </w:tcBorders>
            <w:vAlign w:val="center"/>
          </w:tcPr>
          <w:p w14:paraId="5A07E0FC" w14:textId="5F8B331D" w:rsidR="000C4F0C" w:rsidRPr="00111F34" w:rsidRDefault="000C4F0C" w:rsidP="000C4F0C">
            <w:pPr>
              <w:spacing w:before="0"/>
              <w:jc w:val="center"/>
              <w:rPr>
                <w:rFonts w:eastAsia="Times New Roman" w:cs="Arial"/>
                <w:color w:val="000000"/>
                <w:sz w:val="16"/>
                <w:szCs w:val="16"/>
                <w:lang w:eastAsia="cs-CZ"/>
              </w:rPr>
            </w:pPr>
            <w:r w:rsidRPr="00111F34">
              <w:rPr>
                <w:rFonts w:eastAsia="Times New Roman" w:cs="Arial"/>
                <w:color w:val="000000"/>
                <w:sz w:val="16"/>
                <w:szCs w:val="16"/>
                <w:lang w:eastAsia="cs-CZ"/>
              </w:rPr>
              <w:t xml:space="preserve">Jsou vytvořeny územní předpoklady pro optimalizaci dopravní infrastruktury, a s tím spojené zkvalitňování veřejných prostranství v souvisejícím území. </w:t>
            </w:r>
          </w:p>
        </w:tc>
      </w:tr>
      <w:tr w:rsidR="00C36C8D" w:rsidRPr="00111F34" w14:paraId="24680634" w14:textId="77777777" w:rsidTr="00C36C8D">
        <w:trPr>
          <w:trHeight w:val="265"/>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5AF281BD" w14:textId="13FAC63C" w:rsidR="00C36C8D" w:rsidRPr="00111F34" w:rsidRDefault="00C36C8D" w:rsidP="00C36C8D">
            <w:pPr>
              <w:pStyle w:val="Podnadpis1"/>
              <w:spacing w:before="0"/>
              <w:jc w:val="center"/>
              <w:rPr>
                <w:sz w:val="16"/>
                <w:szCs w:val="16"/>
              </w:rPr>
            </w:pPr>
            <w:r w:rsidRPr="00111F34">
              <w:rPr>
                <w:sz w:val="16"/>
                <w:szCs w:val="16"/>
              </w:rPr>
              <w:t>Plán udržitelné mobility a okolí</w:t>
            </w:r>
          </w:p>
        </w:tc>
      </w:tr>
      <w:tr w:rsidR="00C36C8D" w:rsidRPr="00111F34" w14:paraId="4AB5C7E7" w14:textId="77777777" w:rsidTr="009B4A0C">
        <w:trPr>
          <w:trHeight w:val="265"/>
        </w:trPr>
        <w:tc>
          <w:tcPr>
            <w:tcW w:w="2577" w:type="pct"/>
            <w:tcBorders>
              <w:top w:val="single" w:sz="4" w:space="0" w:color="auto"/>
              <w:left w:val="single" w:sz="4" w:space="0" w:color="auto"/>
              <w:bottom w:val="single" w:sz="4" w:space="0" w:color="auto"/>
              <w:right w:val="single" w:sz="4" w:space="0" w:color="auto"/>
            </w:tcBorders>
            <w:shd w:val="clear" w:color="auto" w:fill="auto"/>
            <w:noWrap/>
          </w:tcPr>
          <w:p w14:paraId="01718BF7" w14:textId="106BB4A1" w:rsidR="00C36C8D" w:rsidRPr="00111F34" w:rsidRDefault="00C36C8D" w:rsidP="00C36C8D">
            <w:pPr>
              <w:pStyle w:val="Odrky1"/>
              <w:jc w:val="left"/>
              <w:rPr>
                <w:rFonts w:cs="Arial"/>
                <w:sz w:val="16"/>
                <w:szCs w:val="18"/>
              </w:rPr>
            </w:pPr>
            <w:r w:rsidRPr="00111F34">
              <w:rPr>
                <w:sz w:val="16"/>
                <w:szCs w:val="18"/>
              </w:rPr>
              <w:t xml:space="preserve">Preferování veřejné dopravy a rozvoj kolejové dopravy </w:t>
            </w:r>
          </w:p>
        </w:tc>
        <w:tc>
          <w:tcPr>
            <w:tcW w:w="585" w:type="pct"/>
            <w:gridSpan w:val="2"/>
            <w:tcBorders>
              <w:top w:val="single" w:sz="4" w:space="0" w:color="auto"/>
              <w:left w:val="nil"/>
              <w:bottom w:val="single" w:sz="4" w:space="0" w:color="auto"/>
              <w:right w:val="single" w:sz="4" w:space="0" w:color="auto"/>
            </w:tcBorders>
            <w:shd w:val="clear" w:color="auto" w:fill="auto"/>
            <w:noWrap/>
          </w:tcPr>
          <w:p w14:paraId="7C13409E" w14:textId="72B5B397" w:rsidR="00C36C8D" w:rsidRPr="00111F34" w:rsidRDefault="00C36C8D" w:rsidP="00C36C8D">
            <w:pPr>
              <w:spacing w:before="0"/>
              <w:jc w:val="center"/>
              <w:rPr>
                <w:rFonts w:eastAsia="Times New Roman" w:cs="Arial"/>
                <w:color w:val="000000"/>
                <w:sz w:val="16"/>
                <w:szCs w:val="18"/>
                <w:lang w:eastAsia="cs-CZ"/>
              </w:rPr>
            </w:pPr>
            <w:r w:rsidRPr="00111F34">
              <w:rPr>
                <w:rFonts w:eastAsia="Times New Roman" w:cs="Arial"/>
                <w:color w:val="000000"/>
                <w:sz w:val="16"/>
                <w:szCs w:val="16"/>
                <w:lang w:eastAsia="cs-CZ"/>
              </w:rPr>
              <w:t>+</w:t>
            </w:r>
          </w:p>
        </w:tc>
        <w:tc>
          <w:tcPr>
            <w:tcW w:w="1838" w:type="pct"/>
            <w:gridSpan w:val="2"/>
            <w:tcBorders>
              <w:top w:val="single" w:sz="4" w:space="0" w:color="auto"/>
              <w:left w:val="nil"/>
              <w:bottom w:val="single" w:sz="4" w:space="0" w:color="auto"/>
              <w:right w:val="single" w:sz="4" w:space="0" w:color="auto"/>
            </w:tcBorders>
          </w:tcPr>
          <w:p w14:paraId="09A2EEF4" w14:textId="1E01569B" w:rsidR="00C36C8D" w:rsidRPr="00111F34" w:rsidRDefault="00C36C8D" w:rsidP="00C36C8D">
            <w:pPr>
              <w:spacing w:before="0"/>
              <w:jc w:val="center"/>
              <w:rPr>
                <w:rFonts w:eastAsia="Times New Roman" w:cs="Arial"/>
                <w:color w:val="000000"/>
                <w:sz w:val="16"/>
                <w:szCs w:val="18"/>
                <w:lang w:eastAsia="cs-CZ"/>
              </w:rPr>
            </w:pPr>
            <w:r w:rsidRPr="00111F34">
              <w:rPr>
                <w:sz w:val="16"/>
                <w:szCs w:val="18"/>
              </w:rPr>
              <w:t>Přímo rozvíjí tuto prioritu</w:t>
            </w:r>
          </w:p>
        </w:tc>
      </w:tr>
      <w:tr w:rsidR="00C36C8D" w:rsidRPr="00111F34" w14:paraId="4DD2679C" w14:textId="77777777" w:rsidTr="009B4A0C">
        <w:trPr>
          <w:trHeight w:val="265"/>
        </w:trPr>
        <w:tc>
          <w:tcPr>
            <w:tcW w:w="2577" w:type="pct"/>
            <w:tcBorders>
              <w:top w:val="single" w:sz="4" w:space="0" w:color="auto"/>
              <w:left w:val="single" w:sz="4" w:space="0" w:color="auto"/>
              <w:bottom w:val="single" w:sz="4" w:space="0" w:color="auto"/>
              <w:right w:val="single" w:sz="4" w:space="0" w:color="auto"/>
            </w:tcBorders>
            <w:shd w:val="clear" w:color="auto" w:fill="auto"/>
            <w:noWrap/>
          </w:tcPr>
          <w:p w14:paraId="22EE1F16" w14:textId="6C323395" w:rsidR="00C36C8D" w:rsidRPr="00111F34" w:rsidRDefault="00C36C8D" w:rsidP="00C36C8D">
            <w:pPr>
              <w:pStyle w:val="Odrky1"/>
              <w:jc w:val="left"/>
              <w:rPr>
                <w:rFonts w:cs="Arial"/>
                <w:sz w:val="16"/>
                <w:szCs w:val="18"/>
              </w:rPr>
            </w:pPr>
            <w:r w:rsidRPr="00111F34">
              <w:rPr>
                <w:sz w:val="16"/>
                <w:szCs w:val="18"/>
              </w:rPr>
              <w:t xml:space="preserve">Provázanost veřejné dopravy s ostatními druhy dopravy </w:t>
            </w:r>
          </w:p>
        </w:tc>
        <w:tc>
          <w:tcPr>
            <w:tcW w:w="585" w:type="pct"/>
            <w:gridSpan w:val="2"/>
            <w:tcBorders>
              <w:top w:val="single" w:sz="4" w:space="0" w:color="auto"/>
              <w:left w:val="nil"/>
              <w:bottom w:val="single" w:sz="4" w:space="0" w:color="auto"/>
              <w:right w:val="single" w:sz="4" w:space="0" w:color="auto"/>
            </w:tcBorders>
            <w:shd w:val="clear" w:color="auto" w:fill="auto"/>
            <w:noWrap/>
          </w:tcPr>
          <w:p w14:paraId="242B61A4" w14:textId="00A09CB1" w:rsidR="00C36C8D" w:rsidRPr="00111F34" w:rsidRDefault="00C36C8D" w:rsidP="00C36C8D">
            <w:pPr>
              <w:spacing w:before="0"/>
              <w:jc w:val="center"/>
              <w:rPr>
                <w:rFonts w:eastAsia="Times New Roman" w:cs="Arial"/>
                <w:color w:val="000000"/>
                <w:sz w:val="16"/>
                <w:szCs w:val="18"/>
                <w:lang w:eastAsia="cs-CZ"/>
              </w:rPr>
            </w:pPr>
            <w:r w:rsidRPr="00111F34">
              <w:rPr>
                <w:rFonts w:eastAsia="Times New Roman" w:cs="Arial"/>
                <w:color w:val="000000"/>
                <w:sz w:val="16"/>
                <w:szCs w:val="16"/>
                <w:lang w:eastAsia="cs-CZ"/>
              </w:rPr>
              <w:t>+</w:t>
            </w:r>
          </w:p>
        </w:tc>
        <w:tc>
          <w:tcPr>
            <w:tcW w:w="1838" w:type="pct"/>
            <w:gridSpan w:val="2"/>
            <w:tcBorders>
              <w:top w:val="single" w:sz="4" w:space="0" w:color="auto"/>
              <w:left w:val="nil"/>
              <w:bottom w:val="single" w:sz="4" w:space="0" w:color="auto"/>
              <w:right w:val="single" w:sz="4" w:space="0" w:color="auto"/>
            </w:tcBorders>
          </w:tcPr>
          <w:p w14:paraId="2F4D9178" w14:textId="23B6AF0C" w:rsidR="00C36C8D" w:rsidRPr="00111F34" w:rsidRDefault="00C36C8D" w:rsidP="00C36C8D">
            <w:pPr>
              <w:spacing w:before="0"/>
              <w:jc w:val="center"/>
              <w:rPr>
                <w:rFonts w:eastAsia="Times New Roman" w:cs="Arial"/>
                <w:color w:val="000000"/>
                <w:sz w:val="16"/>
                <w:szCs w:val="18"/>
                <w:lang w:eastAsia="cs-CZ"/>
              </w:rPr>
            </w:pPr>
            <w:r w:rsidRPr="00111F34">
              <w:rPr>
                <w:sz w:val="16"/>
                <w:szCs w:val="18"/>
              </w:rPr>
              <w:t>Přímo rozvíjí tuto prioritu</w:t>
            </w:r>
          </w:p>
        </w:tc>
      </w:tr>
      <w:tr w:rsidR="00C36C8D" w:rsidRPr="00111F34" w14:paraId="39094F0B" w14:textId="77777777" w:rsidTr="009B4A0C">
        <w:trPr>
          <w:trHeight w:val="265"/>
        </w:trPr>
        <w:tc>
          <w:tcPr>
            <w:tcW w:w="2577" w:type="pct"/>
            <w:tcBorders>
              <w:top w:val="single" w:sz="4" w:space="0" w:color="auto"/>
              <w:left w:val="single" w:sz="4" w:space="0" w:color="auto"/>
              <w:bottom w:val="single" w:sz="4" w:space="0" w:color="auto"/>
              <w:right w:val="single" w:sz="4" w:space="0" w:color="auto"/>
            </w:tcBorders>
            <w:shd w:val="clear" w:color="auto" w:fill="auto"/>
            <w:noWrap/>
          </w:tcPr>
          <w:p w14:paraId="041E4639" w14:textId="6B05B436" w:rsidR="00C36C8D" w:rsidRPr="00111F34" w:rsidRDefault="00C36C8D" w:rsidP="00C36C8D">
            <w:pPr>
              <w:pStyle w:val="Odrky1"/>
              <w:jc w:val="left"/>
              <w:rPr>
                <w:rFonts w:cs="Arial"/>
                <w:sz w:val="16"/>
                <w:szCs w:val="18"/>
              </w:rPr>
            </w:pPr>
            <w:r w:rsidRPr="00111F34">
              <w:rPr>
                <w:sz w:val="16"/>
                <w:szCs w:val="18"/>
              </w:rPr>
              <w:t xml:space="preserve">Nová propojení pro různé druhy dopravy </w:t>
            </w:r>
          </w:p>
        </w:tc>
        <w:tc>
          <w:tcPr>
            <w:tcW w:w="585" w:type="pct"/>
            <w:gridSpan w:val="2"/>
            <w:tcBorders>
              <w:top w:val="single" w:sz="4" w:space="0" w:color="auto"/>
              <w:left w:val="nil"/>
              <w:bottom w:val="single" w:sz="4" w:space="0" w:color="auto"/>
              <w:right w:val="single" w:sz="4" w:space="0" w:color="auto"/>
            </w:tcBorders>
            <w:shd w:val="clear" w:color="auto" w:fill="auto"/>
            <w:noWrap/>
          </w:tcPr>
          <w:p w14:paraId="1878A943" w14:textId="3D721422" w:rsidR="00C36C8D" w:rsidRPr="00111F34" w:rsidRDefault="00C36C8D" w:rsidP="00C36C8D">
            <w:pPr>
              <w:spacing w:before="0"/>
              <w:jc w:val="center"/>
              <w:rPr>
                <w:rFonts w:eastAsia="Times New Roman" w:cs="Arial"/>
                <w:color w:val="000000"/>
                <w:sz w:val="16"/>
                <w:szCs w:val="18"/>
                <w:lang w:eastAsia="cs-CZ"/>
              </w:rPr>
            </w:pPr>
            <w:r w:rsidRPr="00111F34">
              <w:rPr>
                <w:rFonts w:eastAsia="Times New Roman" w:cs="Arial"/>
                <w:color w:val="000000"/>
                <w:sz w:val="16"/>
                <w:szCs w:val="16"/>
                <w:lang w:eastAsia="cs-CZ"/>
              </w:rPr>
              <w:t>+</w:t>
            </w:r>
          </w:p>
        </w:tc>
        <w:tc>
          <w:tcPr>
            <w:tcW w:w="1838" w:type="pct"/>
            <w:gridSpan w:val="2"/>
            <w:tcBorders>
              <w:top w:val="single" w:sz="4" w:space="0" w:color="auto"/>
              <w:left w:val="nil"/>
              <w:bottom w:val="single" w:sz="4" w:space="0" w:color="auto"/>
              <w:right w:val="single" w:sz="4" w:space="0" w:color="auto"/>
            </w:tcBorders>
          </w:tcPr>
          <w:p w14:paraId="68023DCA" w14:textId="10A5B80A" w:rsidR="00C36C8D" w:rsidRPr="00111F34" w:rsidRDefault="00C36C8D" w:rsidP="00C36C8D">
            <w:pPr>
              <w:spacing w:before="0"/>
              <w:jc w:val="center"/>
              <w:rPr>
                <w:rFonts w:eastAsia="Times New Roman" w:cs="Arial"/>
                <w:color w:val="000000"/>
                <w:sz w:val="16"/>
                <w:szCs w:val="18"/>
                <w:lang w:eastAsia="cs-CZ"/>
              </w:rPr>
            </w:pPr>
            <w:r w:rsidRPr="00111F34">
              <w:rPr>
                <w:sz w:val="16"/>
                <w:szCs w:val="18"/>
              </w:rPr>
              <w:t>Přímo rozvíjí tuto prioritu</w:t>
            </w:r>
          </w:p>
        </w:tc>
      </w:tr>
      <w:tr w:rsidR="00C36C8D" w:rsidRPr="00111F34" w14:paraId="510F2915" w14:textId="77777777" w:rsidTr="009B4A0C">
        <w:trPr>
          <w:trHeight w:val="265"/>
        </w:trPr>
        <w:tc>
          <w:tcPr>
            <w:tcW w:w="2577" w:type="pct"/>
            <w:tcBorders>
              <w:top w:val="single" w:sz="4" w:space="0" w:color="auto"/>
              <w:left w:val="single" w:sz="4" w:space="0" w:color="auto"/>
              <w:bottom w:val="single" w:sz="4" w:space="0" w:color="auto"/>
              <w:right w:val="single" w:sz="4" w:space="0" w:color="auto"/>
            </w:tcBorders>
            <w:shd w:val="clear" w:color="auto" w:fill="auto"/>
            <w:noWrap/>
          </w:tcPr>
          <w:p w14:paraId="43C3C2D0" w14:textId="072745E9" w:rsidR="00C36C8D" w:rsidRPr="00111F34" w:rsidRDefault="00C36C8D" w:rsidP="00C36C8D">
            <w:pPr>
              <w:pStyle w:val="Odrky1"/>
              <w:jc w:val="left"/>
              <w:rPr>
                <w:rFonts w:cs="Arial"/>
                <w:sz w:val="16"/>
                <w:szCs w:val="18"/>
              </w:rPr>
            </w:pPr>
            <w:r w:rsidRPr="00111F34">
              <w:rPr>
                <w:sz w:val="16"/>
                <w:szCs w:val="18"/>
              </w:rPr>
              <w:t xml:space="preserve">Podpora chůze a dopravní cyklistiky </w:t>
            </w:r>
          </w:p>
        </w:tc>
        <w:tc>
          <w:tcPr>
            <w:tcW w:w="585" w:type="pct"/>
            <w:gridSpan w:val="2"/>
            <w:tcBorders>
              <w:top w:val="single" w:sz="4" w:space="0" w:color="auto"/>
              <w:left w:val="nil"/>
              <w:bottom w:val="single" w:sz="4" w:space="0" w:color="auto"/>
              <w:right w:val="single" w:sz="4" w:space="0" w:color="auto"/>
            </w:tcBorders>
            <w:shd w:val="clear" w:color="auto" w:fill="auto"/>
            <w:noWrap/>
          </w:tcPr>
          <w:p w14:paraId="48157643" w14:textId="6F37DDF9" w:rsidR="00C36C8D" w:rsidRPr="00111F34" w:rsidRDefault="00C36C8D" w:rsidP="00C36C8D">
            <w:pPr>
              <w:spacing w:before="0"/>
              <w:jc w:val="center"/>
              <w:rPr>
                <w:rFonts w:eastAsia="Times New Roman" w:cs="Arial"/>
                <w:color w:val="000000"/>
                <w:sz w:val="16"/>
                <w:szCs w:val="18"/>
                <w:lang w:eastAsia="cs-CZ"/>
              </w:rPr>
            </w:pPr>
            <w:r w:rsidRPr="00111F34">
              <w:rPr>
                <w:sz w:val="16"/>
                <w:szCs w:val="18"/>
              </w:rPr>
              <w:t>+</w:t>
            </w:r>
          </w:p>
        </w:tc>
        <w:tc>
          <w:tcPr>
            <w:tcW w:w="1838" w:type="pct"/>
            <w:gridSpan w:val="2"/>
            <w:tcBorders>
              <w:top w:val="single" w:sz="4" w:space="0" w:color="auto"/>
              <w:left w:val="nil"/>
              <w:bottom w:val="single" w:sz="4" w:space="0" w:color="auto"/>
              <w:right w:val="single" w:sz="4" w:space="0" w:color="auto"/>
            </w:tcBorders>
          </w:tcPr>
          <w:p w14:paraId="7A66B3DD" w14:textId="096AFCD0" w:rsidR="00C36C8D" w:rsidRPr="00111F34" w:rsidRDefault="00C36C8D" w:rsidP="00C36C8D">
            <w:pPr>
              <w:spacing w:before="0"/>
              <w:jc w:val="center"/>
              <w:rPr>
                <w:rFonts w:eastAsia="Times New Roman" w:cs="Arial"/>
                <w:color w:val="000000"/>
                <w:sz w:val="16"/>
                <w:szCs w:val="18"/>
                <w:lang w:eastAsia="cs-CZ"/>
              </w:rPr>
            </w:pPr>
            <w:r w:rsidRPr="00111F34">
              <w:rPr>
                <w:sz w:val="16"/>
                <w:szCs w:val="18"/>
              </w:rPr>
              <w:t>Posuzovaná změna prostřednictvím podmínek využití ploch vytváří územní předpoklady pro zlepšení prostupnosti území a obsluhy nemotorovou dopravou.</w:t>
            </w:r>
          </w:p>
        </w:tc>
      </w:tr>
      <w:tr w:rsidR="00C36C8D" w:rsidRPr="00111F34" w14:paraId="7E45001F" w14:textId="77777777" w:rsidTr="009B4A0C">
        <w:trPr>
          <w:trHeight w:val="265"/>
        </w:trPr>
        <w:tc>
          <w:tcPr>
            <w:tcW w:w="2577" w:type="pct"/>
            <w:tcBorders>
              <w:top w:val="single" w:sz="4" w:space="0" w:color="auto"/>
              <w:left w:val="single" w:sz="4" w:space="0" w:color="auto"/>
              <w:bottom w:val="single" w:sz="4" w:space="0" w:color="auto"/>
              <w:right w:val="single" w:sz="4" w:space="0" w:color="auto"/>
            </w:tcBorders>
            <w:shd w:val="clear" w:color="auto" w:fill="auto"/>
            <w:noWrap/>
          </w:tcPr>
          <w:p w14:paraId="4D5BE6AA" w14:textId="1490CE99" w:rsidR="00C36C8D" w:rsidRPr="00111F34" w:rsidRDefault="00C36C8D" w:rsidP="00C36C8D">
            <w:pPr>
              <w:pStyle w:val="Odrky1"/>
              <w:jc w:val="left"/>
              <w:rPr>
                <w:rFonts w:cs="Arial"/>
                <w:sz w:val="16"/>
                <w:szCs w:val="18"/>
              </w:rPr>
            </w:pPr>
            <w:r w:rsidRPr="00111F34">
              <w:rPr>
                <w:sz w:val="16"/>
                <w:szCs w:val="18"/>
              </w:rPr>
              <w:t xml:space="preserve">Zlepšení kvality veřejných prostranství  </w:t>
            </w:r>
          </w:p>
        </w:tc>
        <w:tc>
          <w:tcPr>
            <w:tcW w:w="585" w:type="pct"/>
            <w:gridSpan w:val="2"/>
            <w:tcBorders>
              <w:top w:val="single" w:sz="4" w:space="0" w:color="auto"/>
              <w:left w:val="nil"/>
              <w:bottom w:val="single" w:sz="4" w:space="0" w:color="auto"/>
              <w:right w:val="single" w:sz="4" w:space="0" w:color="auto"/>
            </w:tcBorders>
            <w:shd w:val="clear" w:color="auto" w:fill="auto"/>
            <w:noWrap/>
          </w:tcPr>
          <w:p w14:paraId="59ACD89B" w14:textId="6377610B" w:rsidR="00C36C8D" w:rsidRPr="00111F34" w:rsidRDefault="00BA366F" w:rsidP="00C36C8D">
            <w:pPr>
              <w:spacing w:before="0"/>
              <w:jc w:val="center"/>
              <w:rPr>
                <w:rFonts w:eastAsia="Times New Roman" w:cs="Arial"/>
                <w:color w:val="000000"/>
                <w:sz w:val="16"/>
                <w:szCs w:val="18"/>
                <w:lang w:eastAsia="cs-CZ"/>
              </w:rPr>
            </w:pPr>
            <w:r w:rsidRPr="00111F34">
              <w:rPr>
                <w:sz w:val="16"/>
                <w:szCs w:val="18"/>
              </w:rPr>
              <w:t>+</w:t>
            </w:r>
          </w:p>
        </w:tc>
        <w:tc>
          <w:tcPr>
            <w:tcW w:w="1838" w:type="pct"/>
            <w:gridSpan w:val="2"/>
            <w:tcBorders>
              <w:top w:val="single" w:sz="4" w:space="0" w:color="auto"/>
              <w:left w:val="nil"/>
              <w:bottom w:val="single" w:sz="4" w:space="0" w:color="auto"/>
              <w:right w:val="single" w:sz="4" w:space="0" w:color="auto"/>
            </w:tcBorders>
          </w:tcPr>
          <w:p w14:paraId="56FE8BC6" w14:textId="75D2C8D2" w:rsidR="00C36C8D" w:rsidRPr="00111F34" w:rsidRDefault="00C36C8D" w:rsidP="00C36C8D">
            <w:pPr>
              <w:spacing w:before="0"/>
              <w:jc w:val="center"/>
              <w:rPr>
                <w:rFonts w:eastAsia="Times New Roman" w:cs="Arial"/>
                <w:color w:val="000000"/>
                <w:sz w:val="16"/>
                <w:szCs w:val="18"/>
                <w:lang w:eastAsia="cs-CZ"/>
              </w:rPr>
            </w:pPr>
            <w:r w:rsidRPr="00111F34">
              <w:rPr>
                <w:sz w:val="16"/>
                <w:szCs w:val="18"/>
              </w:rPr>
              <w:t>Posuzovaná změna prostřednictvím podmínek využití ploch vytváří územní předpoklady pro zlepšení stávajících a vytvoření nových veřejných prostranství včetně ploch veřejné zeleně.</w:t>
            </w:r>
          </w:p>
        </w:tc>
      </w:tr>
      <w:tr w:rsidR="00C36C8D" w:rsidRPr="00111F34" w14:paraId="6FC1FB5C" w14:textId="77777777" w:rsidTr="009B4A0C">
        <w:trPr>
          <w:trHeight w:val="265"/>
        </w:trPr>
        <w:tc>
          <w:tcPr>
            <w:tcW w:w="2577" w:type="pct"/>
            <w:tcBorders>
              <w:top w:val="single" w:sz="4" w:space="0" w:color="auto"/>
              <w:left w:val="single" w:sz="4" w:space="0" w:color="auto"/>
              <w:bottom w:val="single" w:sz="4" w:space="0" w:color="auto"/>
              <w:right w:val="single" w:sz="4" w:space="0" w:color="auto"/>
            </w:tcBorders>
            <w:shd w:val="clear" w:color="auto" w:fill="auto"/>
            <w:noWrap/>
          </w:tcPr>
          <w:p w14:paraId="34C28E85" w14:textId="493F927C" w:rsidR="00C36C8D" w:rsidRPr="00111F34" w:rsidRDefault="00C36C8D" w:rsidP="00C36C8D">
            <w:pPr>
              <w:pStyle w:val="Odrky1"/>
              <w:jc w:val="left"/>
              <w:rPr>
                <w:rFonts w:cs="Arial"/>
                <w:sz w:val="16"/>
                <w:szCs w:val="18"/>
              </w:rPr>
            </w:pPr>
            <w:r w:rsidRPr="00111F34">
              <w:rPr>
                <w:sz w:val="16"/>
                <w:szCs w:val="18"/>
              </w:rPr>
              <w:t xml:space="preserve">Snížení znečištění ovzduší, hlukové zátěže a uhlíkové stopy </w:t>
            </w:r>
          </w:p>
        </w:tc>
        <w:tc>
          <w:tcPr>
            <w:tcW w:w="585" w:type="pct"/>
            <w:gridSpan w:val="2"/>
            <w:tcBorders>
              <w:top w:val="single" w:sz="4" w:space="0" w:color="auto"/>
              <w:left w:val="nil"/>
              <w:bottom w:val="single" w:sz="4" w:space="0" w:color="auto"/>
              <w:right w:val="single" w:sz="4" w:space="0" w:color="auto"/>
            </w:tcBorders>
            <w:shd w:val="clear" w:color="auto" w:fill="auto"/>
            <w:noWrap/>
          </w:tcPr>
          <w:p w14:paraId="26E24A3A" w14:textId="322E0261" w:rsidR="00C36C8D" w:rsidRPr="00111F34" w:rsidRDefault="00BA366F" w:rsidP="00C36C8D">
            <w:pPr>
              <w:spacing w:before="0"/>
              <w:jc w:val="center"/>
              <w:rPr>
                <w:rFonts w:eastAsia="Times New Roman" w:cs="Arial"/>
                <w:color w:val="000000"/>
                <w:sz w:val="16"/>
                <w:szCs w:val="18"/>
                <w:lang w:eastAsia="cs-CZ"/>
              </w:rPr>
            </w:pPr>
            <w:r w:rsidRPr="00111F34">
              <w:rPr>
                <w:sz w:val="16"/>
                <w:szCs w:val="18"/>
              </w:rPr>
              <w:t>+/-</w:t>
            </w:r>
          </w:p>
        </w:tc>
        <w:tc>
          <w:tcPr>
            <w:tcW w:w="1838" w:type="pct"/>
            <w:gridSpan w:val="2"/>
            <w:tcBorders>
              <w:top w:val="single" w:sz="4" w:space="0" w:color="auto"/>
              <w:left w:val="nil"/>
              <w:bottom w:val="single" w:sz="4" w:space="0" w:color="auto"/>
              <w:right w:val="single" w:sz="4" w:space="0" w:color="auto"/>
            </w:tcBorders>
          </w:tcPr>
          <w:p w14:paraId="5246589A" w14:textId="6339E224" w:rsidR="00C36C8D" w:rsidRPr="00111F34" w:rsidRDefault="00BA366F" w:rsidP="00C36C8D">
            <w:pPr>
              <w:spacing w:before="0"/>
              <w:jc w:val="center"/>
              <w:rPr>
                <w:rFonts w:eastAsia="Times New Roman" w:cs="Arial"/>
                <w:color w:val="000000"/>
                <w:sz w:val="16"/>
                <w:szCs w:val="18"/>
                <w:lang w:eastAsia="cs-CZ"/>
              </w:rPr>
            </w:pPr>
            <w:r w:rsidRPr="00111F34">
              <w:rPr>
                <w:rFonts w:eastAsia="Times New Roman" w:cs="Arial"/>
                <w:color w:val="000000"/>
                <w:sz w:val="16"/>
                <w:szCs w:val="16"/>
                <w:lang w:eastAsia="cs-CZ"/>
              </w:rPr>
              <w:t>Změna je jedním z opatření pro ochranu území před externalitami z dopravy, přerozdělení dopravních zátěží ve prospěch bezemisní VHD a snížení emisí CO</w:t>
            </w:r>
            <w:r w:rsidRPr="00111F34">
              <w:rPr>
                <w:rFonts w:eastAsia="Times New Roman" w:cs="Arial"/>
                <w:color w:val="000000"/>
                <w:sz w:val="16"/>
                <w:szCs w:val="16"/>
                <w:vertAlign w:val="subscript"/>
                <w:lang w:eastAsia="cs-CZ"/>
              </w:rPr>
              <w:t>2</w:t>
            </w:r>
            <w:r w:rsidRPr="00111F34">
              <w:rPr>
                <w:rFonts w:eastAsia="Times New Roman" w:cs="Arial"/>
                <w:color w:val="000000"/>
                <w:sz w:val="16"/>
                <w:szCs w:val="16"/>
                <w:lang w:eastAsia="cs-CZ"/>
              </w:rPr>
              <w:t>, transformace ploch dopravy v intravilánu a výroby na rezidenční funkce. Zároveň jsou vytvářeny územní předpoklady pro vložení nové tramvajové trati do profilu stávajících ulic jako nového zdroje hlukové zátěže.</w:t>
            </w:r>
          </w:p>
        </w:tc>
      </w:tr>
      <w:tr w:rsidR="00C36C8D" w:rsidRPr="00111F34" w14:paraId="7950F4ED" w14:textId="77777777" w:rsidTr="009B4A0C">
        <w:trPr>
          <w:trHeight w:val="265"/>
        </w:trPr>
        <w:tc>
          <w:tcPr>
            <w:tcW w:w="2577" w:type="pct"/>
            <w:tcBorders>
              <w:top w:val="single" w:sz="4" w:space="0" w:color="auto"/>
              <w:left w:val="single" w:sz="4" w:space="0" w:color="auto"/>
              <w:bottom w:val="single" w:sz="4" w:space="0" w:color="auto"/>
              <w:right w:val="single" w:sz="4" w:space="0" w:color="auto"/>
            </w:tcBorders>
            <w:shd w:val="clear" w:color="auto" w:fill="auto"/>
            <w:noWrap/>
          </w:tcPr>
          <w:p w14:paraId="2836C4B8" w14:textId="6EEDF87C" w:rsidR="00C36C8D" w:rsidRPr="00111F34" w:rsidRDefault="00C36C8D" w:rsidP="00C36C8D">
            <w:pPr>
              <w:pStyle w:val="Odrky1"/>
              <w:jc w:val="left"/>
              <w:rPr>
                <w:rFonts w:cs="Arial"/>
                <w:sz w:val="16"/>
                <w:szCs w:val="18"/>
              </w:rPr>
            </w:pPr>
            <w:r w:rsidRPr="00111F34">
              <w:rPr>
                <w:sz w:val="16"/>
                <w:szCs w:val="18"/>
              </w:rPr>
              <w:t xml:space="preserve">Snížení prostorových nároků dopravy </w:t>
            </w:r>
          </w:p>
        </w:tc>
        <w:tc>
          <w:tcPr>
            <w:tcW w:w="585" w:type="pct"/>
            <w:gridSpan w:val="2"/>
            <w:tcBorders>
              <w:top w:val="single" w:sz="4" w:space="0" w:color="auto"/>
              <w:left w:val="nil"/>
              <w:bottom w:val="single" w:sz="4" w:space="0" w:color="auto"/>
              <w:right w:val="single" w:sz="4" w:space="0" w:color="auto"/>
            </w:tcBorders>
            <w:shd w:val="clear" w:color="auto" w:fill="auto"/>
            <w:noWrap/>
          </w:tcPr>
          <w:p w14:paraId="58259B70" w14:textId="581A2D45" w:rsidR="00C36C8D" w:rsidRPr="00111F34" w:rsidRDefault="00BA366F" w:rsidP="00C36C8D">
            <w:pPr>
              <w:spacing w:before="0"/>
              <w:jc w:val="center"/>
              <w:rPr>
                <w:rFonts w:eastAsia="Times New Roman" w:cs="Arial"/>
                <w:color w:val="000000"/>
                <w:sz w:val="16"/>
                <w:szCs w:val="18"/>
                <w:lang w:eastAsia="cs-CZ"/>
              </w:rPr>
            </w:pPr>
            <w:r w:rsidRPr="00111F34">
              <w:rPr>
                <w:sz w:val="16"/>
                <w:szCs w:val="18"/>
              </w:rPr>
              <w:t>-</w:t>
            </w:r>
          </w:p>
        </w:tc>
        <w:tc>
          <w:tcPr>
            <w:tcW w:w="1838" w:type="pct"/>
            <w:gridSpan w:val="2"/>
            <w:tcBorders>
              <w:top w:val="single" w:sz="4" w:space="0" w:color="auto"/>
              <w:left w:val="nil"/>
              <w:bottom w:val="single" w:sz="4" w:space="0" w:color="auto"/>
              <w:right w:val="single" w:sz="4" w:space="0" w:color="auto"/>
            </w:tcBorders>
          </w:tcPr>
          <w:p w14:paraId="35C8F44D" w14:textId="325FF025" w:rsidR="00C36C8D" w:rsidRPr="00111F34" w:rsidRDefault="00C36C8D" w:rsidP="00C36C8D">
            <w:pPr>
              <w:spacing w:before="0"/>
              <w:jc w:val="center"/>
              <w:rPr>
                <w:rFonts w:eastAsia="Times New Roman" w:cs="Arial"/>
                <w:color w:val="000000"/>
                <w:sz w:val="16"/>
                <w:szCs w:val="18"/>
                <w:lang w:eastAsia="cs-CZ"/>
              </w:rPr>
            </w:pPr>
            <w:r w:rsidRPr="00111F34">
              <w:rPr>
                <w:sz w:val="16"/>
                <w:szCs w:val="18"/>
              </w:rPr>
              <w:t>Jsou vymezovány nové plochy pro rozšíření dopravních ploch, a to i ve volné krajině.</w:t>
            </w:r>
            <w:r w:rsidR="00C81B4D" w:rsidRPr="00111F34">
              <w:rPr>
                <w:sz w:val="16"/>
                <w:szCs w:val="18"/>
              </w:rPr>
              <w:t xml:space="preserve"> Část ploch využívá již zastavěného území, vedení tramvajové trati využívá koridoru stávajících dopravních staveb a zbytkových ploch v jejich bezprostředním okolí, část je vymezena jako podzemní stavby, parkoviště P+R je vymezeno v rámci ploch izolační zeleně. </w:t>
            </w:r>
            <w:r w:rsidR="00C81B4D" w:rsidRPr="00111F34">
              <w:rPr>
                <w:rFonts w:eastAsia="Times New Roman" w:cs="Arial"/>
                <w:color w:val="000000"/>
                <w:sz w:val="16"/>
                <w:szCs w:val="16"/>
                <w:lang w:eastAsia="cs-CZ"/>
              </w:rPr>
              <w:t>Koncepce obsahuje územně plánovací opatření a podmínky využití ploch pro zmírnění potenciálních negativních vlivů.</w:t>
            </w:r>
          </w:p>
        </w:tc>
      </w:tr>
    </w:tbl>
    <w:p w14:paraId="24C8FA72" w14:textId="5212DB1B" w:rsidR="00794578" w:rsidRPr="00111F34" w:rsidRDefault="00794578" w:rsidP="00794578">
      <w:pPr>
        <w:rPr>
          <w:rFonts w:cs="Arial"/>
        </w:rPr>
      </w:pPr>
      <w:r w:rsidRPr="00111F34">
        <w:rPr>
          <w:rFonts w:cs="Arial"/>
        </w:rPr>
        <w:t xml:space="preserve">Cíle ochrany životního prostředí a ochrany veřejného zdraví přijaté na vnitrostátní úrovni byly do </w:t>
      </w:r>
      <w:r w:rsidR="00584239" w:rsidRPr="00111F34">
        <w:rPr>
          <w:rFonts w:cs="Arial"/>
        </w:rPr>
        <w:t>řešené koncepce</w:t>
      </w:r>
      <w:r w:rsidRPr="00111F34">
        <w:rPr>
          <w:rFonts w:cs="Arial"/>
        </w:rPr>
        <w:t xml:space="preserve"> zapracovány způsobem charakterizovaným v předchozích tabulkách a kapitolách.</w:t>
      </w:r>
    </w:p>
    <w:p w14:paraId="4D3C9ABE" w14:textId="77777777" w:rsidR="00794578" w:rsidRPr="00111F34" w:rsidRDefault="00794578" w:rsidP="00794578">
      <w:pPr>
        <w:rPr>
          <w:rFonts w:cs="Arial"/>
        </w:rPr>
      </w:pPr>
      <w:r w:rsidRPr="00111F34">
        <w:rPr>
          <w:rFonts w:cs="Arial"/>
        </w:rPr>
        <w:t>Soulad s nadřazenou ÚPD a rozvojovými koncepcemi na regionální i místní úrovni je podrobněji komentován v kapitole A.II na základě identifikovaných vztahů dle výše uvedené tabulky.</w:t>
      </w:r>
    </w:p>
    <w:p w14:paraId="0EDB7384" w14:textId="77777777" w:rsidR="00F677DF" w:rsidRPr="00111F34" w:rsidRDefault="00794578" w:rsidP="001F608B">
      <w:pPr>
        <w:rPr>
          <w:rFonts w:cs="Arial"/>
        </w:rPr>
      </w:pPr>
      <w:r w:rsidRPr="00111F34">
        <w:rPr>
          <w:rFonts w:cs="Arial"/>
        </w:rPr>
        <w:t xml:space="preserve">Opatření pro předcházení negativním vlivům na životní prostředí v důsledku identifikovaných rozporů s cíli přijatými na vnitrostátní úrovni v oblasti ochrany životního prostředí jsou uvedena v kapitole A.VIII. </w:t>
      </w:r>
      <w:bookmarkStart w:id="333" w:name="_Toc531606279"/>
    </w:p>
    <w:p w14:paraId="13EB35B2" w14:textId="77777777" w:rsidR="00F677DF" w:rsidRPr="00111F34" w:rsidRDefault="00F677DF" w:rsidP="00F677DF">
      <w:pPr>
        <w:rPr>
          <w:rFonts w:cs="Arial"/>
        </w:rPr>
      </w:pPr>
      <w:r w:rsidRPr="00111F34">
        <w:rPr>
          <w:rFonts w:cs="Arial"/>
        </w:rPr>
        <w:t>Shrnutí:</w:t>
      </w:r>
    </w:p>
    <w:p w14:paraId="7093452D" w14:textId="1D2D79D8" w:rsidR="00531863" w:rsidRPr="00111F34" w:rsidRDefault="00F677DF" w:rsidP="00F677DF">
      <w:pPr>
        <w:rPr>
          <w:rFonts w:cs="Arial"/>
        </w:rPr>
      </w:pPr>
      <w:r w:rsidRPr="00111F34">
        <w:rPr>
          <w:rFonts w:cs="Arial"/>
        </w:rPr>
        <w:t>Na úrovni posouzení vlivů na životní prostředí (SEA) pro posuzovanou změn územního plánu Z </w:t>
      </w:r>
      <w:r w:rsidR="001663EA" w:rsidRPr="00111F34">
        <w:rPr>
          <w:rFonts w:cs="Arial"/>
        </w:rPr>
        <w:t>3827</w:t>
      </w:r>
      <w:r w:rsidRPr="00111F34">
        <w:rPr>
          <w:rFonts w:cs="Arial"/>
        </w:rPr>
        <w:t xml:space="preserve">/00 lze konstatovat, že předkládaná koncepce je vzhledem ke svému charakteru a lokálnímu dopadu z hlediska environmentálního pilíře většinou bez přímého vztahu vůči ostatním strategickým dokumentům přijatým na evropské, národní a místní úrovni a jejich cílům v oblasti ochrany životního prostředí a veřejného zdraví, s výjimkou strategických dokumentů v oblasti územního plánování. </w:t>
      </w:r>
      <w:r w:rsidR="00C81B4D" w:rsidRPr="00111F34">
        <w:rPr>
          <w:rFonts w:cs="Arial"/>
        </w:rPr>
        <w:t xml:space="preserve">Vůči ostatním strategickým dokumentům je vazba převážně nepřímá – zprostředkovaná. </w:t>
      </w:r>
      <w:r w:rsidRPr="00111F34">
        <w:rPr>
          <w:rFonts w:cs="Arial"/>
        </w:rPr>
        <w:t>Změna bude mít</w:t>
      </w:r>
      <w:r w:rsidR="00C81B4D" w:rsidRPr="00111F34">
        <w:rPr>
          <w:rFonts w:cs="Arial"/>
        </w:rPr>
        <w:t xml:space="preserve"> zprostředkovaně</w:t>
      </w:r>
      <w:r w:rsidRPr="00111F34">
        <w:rPr>
          <w:rFonts w:cs="Arial"/>
        </w:rPr>
        <w:t xml:space="preserve"> pozitivní důsledky s místním dopadem především z hlediska sociálního a ekonomického pilíře udržitelného rozvoje, zároveň</w:t>
      </w:r>
      <w:r w:rsidR="009434B2" w:rsidRPr="00111F34">
        <w:rPr>
          <w:rFonts w:cs="Arial"/>
        </w:rPr>
        <w:t xml:space="preserve"> </w:t>
      </w:r>
      <w:r w:rsidRPr="00111F34">
        <w:rPr>
          <w:rFonts w:cs="Arial"/>
        </w:rPr>
        <w:t xml:space="preserve">negeneruje významné negativní vlivy na environmentální pilíř udržitelného rozvoje ani sledované cíle ochrany životního prostředí přijaté v ostatních strategických dokumentech. </w:t>
      </w:r>
      <w:r w:rsidR="00531863" w:rsidRPr="00111F34">
        <w:rPr>
          <w:rFonts w:cs="Arial"/>
        </w:rPr>
        <w:br w:type="page"/>
      </w:r>
    </w:p>
    <w:p w14:paraId="620CE638" w14:textId="77777777" w:rsidR="00794578" w:rsidRPr="00111F34" w:rsidRDefault="00794578" w:rsidP="00BA72D5">
      <w:pPr>
        <w:pStyle w:val="Nadpis2"/>
      </w:pPr>
      <w:bookmarkStart w:id="334" w:name="_Toc30188469"/>
      <w:bookmarkStart w:id="335" w:name="_Toc29298367"/>
      <w:bookmarkStart w:id="336" w:name="_Toc138848146"/>
      <w:bookmarkEnd w:id="334"/>
      <w:r w:rsidRPr="00111F34">
        <w:lastRenderedPageBreak/>
        <w:t>Návrh ukazatelů pro sledování vlivu územně plánovací dokumentace na životní prostředí.</w:t>
      </w:r>
      <w:bookmarkEnd w:id="333"/>
      <w:bookmarkEnd w:id="335"/>
      <w:bookmarkEnd w:id="336"/>
    </w:p>
    <w:p w14:paraId="23E8CFEE" w14:textId="45DC9A64" w:rsidR="00794578" w:rsidRPr="00111F34" w:rsidRDefault="00794578" w:rsidP="005659EA">
      <w:r w:rsidRPr="00111F34">
        <w:t xml:space="preserve">Vzhledem k tomu, že se v případě tohoto vyhodnocení jedná </w:t>
      </w:r>
      <w:r w:rsidR="00FA3985" w:rsidRPr="00111F34">
        <w:t xml:space="preserve">o </w:t>
      </w:r>
      <w:r w:rsidR="00C4089B" w:rsidRPr="00111F34">
        <w:t>dílčí změn</w:t>
      </w:r>
      <w:r w:rsidR="00690595" w:rsidRPr="00111F34">
        <w:t>u</w:t>
      </w:r>
      <w:r w:rsidR="00C4089B" w:rsidRPr="00111F34">
        <w:t xml:space="preserve"> platné územně </w:t>
      </w:r>
      <w:r w:rsidR="00FA3985" w:rsidRPr="00111F34">
        <w:t>plánovací dokumentac</w:t>
      </w:r>
      <w:r w:rsidR="00131710" w:rsidRPr="00111F34">
        <w:t>e</w:t>
      </w:r>
      <w:r w:rsidRPr="00111F34">
        <w:t xml:space="preserve">, je návrh ukazatelů pro sledování vlivu </w:t>
      </w:r>
      <w:r w:rsidR="005308CC" w:rsidRPr="00111F34">
        <w:t>předkládané ÚPD</w:t>
      </w:r>
      <w:r w:rsidRPr="00111F34">
        <w:t xml:space="preserve"> na životní prostředí shodný se sadou indikátorů vybraných aspektů udržitelného rozvoje </w:t>
      </w:r>
      <w:r w:rsidR="00C4089B" w:rsidRPr="00111F34">
        <w:t>hlavního města Prahy</w:t>
      </w:r>
      <w:r w:rsidRPr="00111F34">
        <w:t xml:space="preserve"> definovaných v ÚAP </w:t>
      </w:r>
      <w:r w:rsidR="00690595" w:rsidRPr="00111F34">
        <w:t xml:space="preserve">hl. m. Prahy </w:t>
      </w:r>
      <w:r w:rsidRPr="00111F34">
        <w:t>a koresponduje tak se</w:t>
      </w:r>
      <w:r w:rsidR="00531863" w:rsidRPr="00111F34">
        <w:t> </w:t>
      </w:r>
      <w:r w:rsidRPr="00111F34">
        <w:t>systémem vyhodnocování platného územního plánu v</w:t>
      </w:r>
      <w:r w:rsidR="008534BD" w:rsidRPr="00111F34">
        <w:t> </w:t>
      </w:r>
      <w:r w:rsidRPr="00111F34">
        <w:t>současnosti.</w:t>
      </w:r>
    </w:p>
    <w:p w14:paraId="357DB248" w14:textId="77777777" w:rsidR="00794578" w:rsidRPr="00111F34" w:rsidRDefault="00794578" w:rsidP="005659EA">
      <w:r w:rsidRPr="00111F34">
        <w:t>V rámci </w:t>
      </w:r>
      <w:r w:rsidR="00505F06" w:rsidRPr="00111F34">
        <w:t>Ú</w:t>
      </w:r>
      <w:r w:rsidRPr="00111F34">
        <w:t>AP by měla být dle metodického pokynu MMR sledována celá řada indikátorů, které ilustrují změny a trendy v průběhu času pomocí kvantifikovatelných údajů. Z interpretačního hlediska je důležité, že pro každý indikátor je možné stanovit žádoucí trend změny vývoje hodnot z hlediska principů udržitelného rozvoje pro nejbližší okolí. Indikátory tak umožňují poměrně přehledným způsobem napomáhat objektivnímu vyhodnocování vyváženosti rozvoje území a zároveň v budoucnu provádět porovnání míry změny v průběhu času.</w:t>
      </w:r>
    </w:p>
    <w:p w14:paraId="322D3F4F" w14:textId="787A5D35" w:rsidR="00794578" w:rsidRPr="00111F34" w:rsidRDefault="00794578" w:rsidP="00674172">
      <w:pPr>
        <w:pStyle w:val="Odrky1"/>
        <w:numPr>
          <w:ilvl w:val="0"/>
          <w:numId w:val="0"/>
        </w:numPr>
        <w:spacing w:before="120" w:after="0"/>
      </w:pPr>
      <w:r w:rsidRPr="00111F34">
        <w:t xml:space="preserve">Vzhledem k výše uvedenému </w:t>
      </w:r>
      <w:r w:rsidR="00B717B7" w:rsidRPr="00111F34">
        <w:t>uvádíme soubor vybraných indikátorů, které jsou pravidelně vyhodnocovány v rámci ÚAP,</w:t>
      </w:r>
      <w:r w:rsidRPr="00111F34">
        <w:t xml:space="preserve"> </w:t>
      </w:r>
      <w:r w:rsidR="00432E1B" w:rsidRPr="00111F34">
        <w:t xml:space="preserve">a které je možno uplatnit </w:t>
      </w:r>
      <w:r w:rsidRPr="00111F34">
        <w:t xml:space="preserve">pro sledování </w:t>
      </w:r>
      <w:r w:rsidR="009F739F" w:rsidRPr="00111F34">
        <w:t xml:space="preserve">vlivu </w:t>
      </w:r>
      <w:r w:rsidR="005308CC" w:rsidRPr="00111F34">
        <w:t>změny</w:t>
      </w:r>
      <w:r w:rsidR="00654469" w:rsidRPr="00111F34">
        <w:t xml:space="preserve"> územního plánu</w:t>
      </w:r>
      <w:r w:rsidR="00432E1B" w:rsidRPr="00111F34">
        <w:t xml:space="preserve"> na </w:t>
      </w:r>
      <w:r w:rsidR="009F739F" w:rsidRPr="00111F34">
        <w:t>ž</w:t>
      </w:r>
      <w:r w:rsidR="00432E1B" w:rsidRPr="00111F34">
        <w:t>ivotní prostředí. S</w:t>
      </w:r>
      <w:r w:rsidRPr="00111F34">
        <w:t xml:space="preserve">ledování indikátorů je třeba provádět plošně nad územním plánem jako celkem. </w:t>
      </w:r>
    </w:p>
    <w:p w14:paraId="6DC73FB1" w14:textId="77777777" w:rsidR="00FE78F0" w:rsidRPr="00111F34" w:rsidRDefault="00FA3985" w:rsidP="00FE78F0">
      <w:pPr>
        <w:rPr>
          <w:rFonts w:cs="Arial"/>
        </w:rPr>
      </w:pPr>
      <w:r w:rsidRPr="00111F34">
        <w:rPr>
          <w:rFonts w:cs="Arial"/>
        </w:rPr>
        <w:t xml:space="preserve">Níže uvádíme ty indikátory, které se vztahují k aspektům environmentálního pilíře udržitelného rozvoje a mohou ilustrovat uplatňování návrhu </w:t>
      </w:r>
      <w:r w:rsidR="00690595" w:rsidRPr="00111F34">
        <w:rPr>
          <w:rFonts w:cs="Arial"/>
        </w:rPr>
        <w:t>posouzen</w:t>
      </w:r>
      <w:r w:rsidR="00553668" w:rsidRPr="00111F34">
        <w:rPr>
          <w:rFonts w:cs="Arial"/>
        </w:rPr>
        <w:t>ých</w:t>
      </w:r>
      <w:r w:rsidR="00690595" w:rsidRPr="00111F34">
        <w:rPr>
          <w:rFonts w:cs="Arial"/>
        </w:rPr>
        <w:t xml:space="preserve"> změn</w:t>
      </w:r>
      <w:r w:rsidR="0082081D" w:rsidRPr="00111F34">
        <w:rPr>
          <w:rFonts w:cs="Arial"/>
        </w:rPr>
        <w:t xml:space="preserve"> územního plánu</w:t>
      </w:r>
      <w:r w:rsidRPr="00111F34">
        <w:rPr>
          <w:rFonts w:cs="Arial"/>
        </w:rPr>
        <w:t xml:space="preserve">. </w:t>
      </w:r>
      <w:r w:rsidR="00FE78F0" w:rsidRPr="00111F34">
        <w:rPr>
          <w:rFonts w:cs="Arial"/>
        </w:rPr>
        <w:t xml:space="preserve">Tyto indikátory jsou sledovány v rámci ÚAP a měly by být využity pro sledování uplatňování posuzované koncepce. </w:t>
      </w:r>
    </w:p>
    <w:p w14:paraId="01DD2C8B" w14:textId="498934F2" w:rsidR="00DD035D" w:rsidRPr="00111F34" w:rsidRDefault="00DD035D" w:rsidP="00690595">
      <w:pPr>
        <w:pStyle w:val="Podnadpis2"/>
        <w:rPr>
          <w:b/>
        </w:rPr>
      </w:pPr>
      <w:r w:rsidRPr="00111F34">
        <w:rPr>
          <w:b/>
        </w:rPr>
        <w:t>Ohniska biodiverzity</w:t>
      </w:r>
    </w:p>
    <w:p w14:paraId="1CC02004" w14:textId="7732BC50" w:rsidR="00DD035D" w:rsidRPr="00111F34" w:rsidRDefault="00DD035D" w:rsidP="00DD035D">
      <w:pPr>
        <w:pStyle w:val="Odrky1"/>
        <w:rPr>
          <w:lang w:eastAsia="cs-CZ"/>
        </w:rPr>
      </w:pPr>
      <w:r w:rsidRPr="00111F34">
        <w:rPr>
          <w:lang w:eastAsia="cs-CZ"/>
        </w:rPr>
        <w:t>Rozloha prvků ÚSES¨</w:t>
      </w:r>
    </w:p>
    <w:p w14:paraId="77AE5CCB" w14:textId="77777777" w:rsidR="00DD035D" w:rsidRPr="00111F34" w:rsidRDefault="00DD035D" w:rsidP="00DD035D">
      <w:pPr>
        <w:pStyle w:val="Odstavecseseznamem"/>
        <w:numPr>
          <w:ilvl w:val="1"/>
          <w:numId w:val="2"/>
        </w:numPr>
      </w:pPr>
      <w:r w:rsidRPr="00111F34">
        <w:t>Plocha v ha data Hlavního města Prahy – změna oproti předchozí aktualizaci ÚAP, sledování v rámci ÚAP, aktualizace 1x za 2 roky</w:t>
      </w:r>
    </w:p>
    <w:p w14:paraId="16B55877" w14:textId="54E8CBBE" w:rsidR="00690595" w:rsidRPr="00111F34" w:rsidRDefault="00690595" w:rsidP="00690595">
      <w:pPr>
        <w:pStyle w:val="Podnadpis2"/>
        <w:rPr>
          <w:b/>
        </w:rPr>
      </w:pPr>
      <w:r w:rsidRPr="00111F34">
        <w:rPr>
          <w:b/>
        </w:rPr>
        <w:t>Snížení hlukové zátěže</w:t>
      </w:r>
    </w:p>
    <w:p w14:paraId="5F1B7907" w14:textId="77777777" w:rsidR="00FE78F0" w:rsidRPr="00111F34" w:rsidRDefault="00FE78F0" w:rsidP="00FE78F0">
      <w:pPr>
        <w:pStyle w:val="Odrky1"/>
        <w:spacing w:before="120"/>
      </w:pPr>
      <w:r w:rsidRPr="00111F34">
        <w:t>Počet trvale bydlících obyvatel žijících v oblastech s překročenými limity nočního hluku.</w:t>
      </w:r>
    </w:p>
    <w:p w14:paraId="3BFEE0C7" w14:textId="77777777" w:rsidR="00FE78F0" w:rsidRPr="00111F34" w:rsidRDefault="00FE78F0" w:rsidP="00FE78F0">
      <w:pPr>
        <w:pStyle w:val="Odrky1"/>
        <w:numPr>
          <w:ilvl w:val="1"/>
          <w:numId w:val="2"/>
        </w:numPr>
        <w:spacing w:before="120"/>
      </w:pPr>
      <w:r w:rsidRPr="00111F34">
        <w:t>Počet obyvatel, data SZÚ, sledování v rámci Strategického hlukového mapování</w:t>
      </w:r>
    </w:p>
    <w:p w14:paraId="68853FE4" w14:textId="612E7251" w:rsidR="00FE78F0" w:rsidRPr="00111F34" w:rsidRDefault="00FE78F0" w:rsidP="00FE78F0">
      <w:pPr>
        <w:pStyle w:val="Podnadpis2"/>
        <w:rPr>
          <w:b/>
        </w:rPr>
      </w:pPr>
      <w:r w:rsidRPr="00111F34">
        <w:rPr>
          <w:b/>
        </w:rPr>
        <w:t xml:space="preserve">Klima </w:t>
      </w:r>
    </w:p>
    <w:p w14:paraId="5AF0EE2F" w14:textId="77777777" w:rsidR="00FE78F0" w:rsidRPr="00111F34" w:rsidRDefault="00FE78F0" w:rsidP="00FE78F0">
      <w:pPr>
        <w:pStyle w:val="Odrky1"/>
        <w:spacing w:before="120"/>
      </w:pPr>
      <w:r w:rsidRPr="00111F34">
        <w:t>Podíl ploch zeleně z celkové plochy.</w:t>
      </w:r>
    </w:p>
    <w:p w14:paraId="67EE718A" w14:textId="6E59F69C" w:rsidR="00FE78F0" w:rsidRPr="00111F34" w:rsidRDefault="00FE78F0" w:rsidP="00FE78F0">
      <w:pPr>
        <w:pStyle w:val="Odrky1"/>
        <w:numPr>
          <w:ilvl w:val="1"/>
          <w:numId w:val="2"/>
        </w:numPr>
        <w:spacing w:before="120"/>
      </w:pPr>
      <w:r w:rsidRPr="00111F34">
        <w:t>Podíl v %, data Hlavního města Prahy, sledování v rámci ÚAP, aktualizace 1x za 2 roky</w:t>
      </w:r>
    </w:p>
    <w:p w14:paraId="75A097CF" w14:textId="5A92F40E" w:rsidR="00FE78F0" w:rsidRPr="00111F34" w:rsidRDefault="00FE78F0" w:rsidP="00FE78F0">
      <w:pPr>
        <w:pStyle w:val="Podnadpis1"/>
      </w:pPr>
      <w:r w:rsidRPr="00111F34">
        <w:t xml:space="preserve">Voda </w:t>
      </w:r>
    </w:p>
    <w:p w14:paraId="2CECCCD9" w14:textId="7668385B" w:rsidR="00FE78F0" w:rsidRPr="00111F34" w:rsidRDefault="008703AB" w:rsidP="00FE78F0">
      <w:pPr>
        <w:pStyle w:val="Odrky1"/>
      </w:pPr>
      <w:r w:rsidRPr="00111F34">
        <w:t>Nárůst v</w:t>
      </w:r>
      <w:r w:rsidR="00FE78F0" w:rsidRPr="00111F34">
        <w:t>ýměr</w:t>
      </w:r>
      <w:r w:rsidRPr="00111F34">
        <w:t>y</w:t>
      </w:r>
      <w:r w:rsidR="00FE78F0" w:rsidRPr="00111F34">
        <w:t xml:space="preserve"> nových zastavitelných ploch</w:t>
      </w:r>
      <w:r w:rsidR="009434B2" w:rsidRPr="00111F34">
        <w:t>.</w:t>
      </w:r>
    </w:p>
    <w:p w14:paraId="3C8788AE" w14:textId="699D93AC" w:rsidR="00FE78F0" w:rsidRPr="00111F34" w:rsidRDefault="00FE78F0" w:rsidP="00FE78F0">
      <w:pPr>
        <w:pStyle w:val="Odstavecseseznamem"/>
        <w:numPr>
          <w:ilvl w:val="1"/>
          <w:numId w:val="2"/>
        </w:numPr>
      </w:pPr>
      <w:r w:rsidRPr="00111F34">
        <w:t>Plocha v ha data Hlavního města Prahy</w:t>
      </w:r>
      <w:r w:rsidR="008703AB" w:rsidRPr="00111F34">
        <w:t xml:space="preserve"> – změna oproti předchozí aktualizaci ÚAP</w:t>
      </w:r>
      <w:r w:rsidRPr="00111F34">
        <w:t>, sledování v rámci ÚAP, aktualizace 1x za 2 roky</w:t>
      </w:r>
    </w:p>
    <w:p w14:paraId="0C56B669" w14:textId="5E67DE84" w:rsidR="00FE78F0" w:rsidRPr="00111F34" w:rsidRDefault="00FE78F0" w:rsidP="008703AB">
      <w:pPr>
        <w:pStyle w:val="Podnadpis1"/>
      </w:pPr>
      <w:r w:rsidRPr="00111F34">
        <w:t>Horninové prostředí</w:t>
      </w:r>
    </w:p>
    <w:p w14:paraId="712226F7" w14:textId="1746E7C8" w:rsidR="00690595" w:rsidRPr="00111F34" w:rsidRDefault="00FE78F0" w:rsidP="00690595">
      <w:pPr>
        <w:pStyle w:val="Odrky1"/>
        <w:spacing w:before="120"/>
      </w:pPr>
      <w:r w:rsidRPr="00111F34">
        <w:t>Počet lokalit evidovaných starých ekologických zátěží</w:t>
      </w:r>
      <w:r w:rsidR="009434B2" w:rsidRPr="00111F34">
        <w:t>.</w:t>
      </w:r>
    </w:p>
    <w:p w14:paraId="615CD6EB" w14:textId="785AD2E8" w:rsidR="00FE78F0" w:rsidRPr="00111F34" w:rsidRDefault="00FE78F0" w:rsidP="00FE78F0">
      <w:pPr>
        <w:pStyle w:val="Odstavecseseznamem"/>
        <w:numPr>
          <w:ilvl w:val="1"/>
          <w:numId w:val="2"/>
        </w:numPr>
      </w:pPr>
      <w:r w:rsidRPr="00111F34">
        <w:t>Počet dle dat MŽP evidovaných v SEKM, sledování v rámci ÚAP, aktualizace 1x za 2 roky</w:t>
      </w:r>
    </w:p>
    <w:p w14:paraId="765B054E" w14:textId="49868929" w:rsidR="00DD035D" w:rsidRPr="00111F34" w:rsidRDefault="00DD035D" w:rsidP="00DD035D">
      <w:pPr>
        <w:pStyle w:val="Odrky1"/>
        <w:spacing w:before="120"/>
      </w:pPr>
      <w:r w:rsidRPr="00111F34">
        <w:t>Počet lokalit ohrožených svahovými pohyby.</w:t>
      </w:r>
    </w:p>
    <w:p w14:paraId="1CE77EC5" w14:textId="1F888F29" w:rsidR="00DD035D" w:rsidRPr="00111F34" w:rsidRDefault="00DD035D" w:rsidP="00DD035D">
      <w:pPr>
        <w:pStyle w:val="Odstavecseseznamem"/>
        <w:numPr>
          <w:ilvl w:val="1"/>
          <w:numId w:val="2"/>
        </w:numPr>
      </w:pPr>
      <w:r w:rsidRPr="00111F34">
        <w:t>Počet dle dat ČGS evidovaných v Registru svahových nestabilit, sledování v rámci ÚAP, aktualizace 1x za 2 roky</w:t>
      </w:r>
    </w:p>
    <w:p w14:paraId="47D45AB2" w14:textId="55359C9A" w:rsidR="00DD035D" w:rsidRPr="00111F34" w:rsidRDefault="00DD035D" w:rsidP="00DD035D">
      <w:pPr>
        <w:pStyle w:val="Podnadpis1"/>
      </w:pPr>
      <w:r w:rsidRPr="00111F34">
        <w:t>Nemovité památky, Krajinný ráz</w:t>
      </w:r>
    </w:p>
    <w:p w14:paraId="1558E932" w14:textId="5CFA966B" w:rsidR="00DD035D" w:rsidRPr="00111F34" w:rsidRDefault="00DD035D" w:rsidP="00DD035D">
      <w:pPr>
        <w:pStyle w:val="Odrky1"/>
      </w:pPr>
      <w:r w:rsidRPr="00111F34">
        <w:t>Počet evidovaných nemovitých kulturních památek</w:t>
      </w:r>
    </w:p>
    <w:p w14:paraId="1DE8BF26" w14:textId="28E03A2A" w:rsidR="00DD035D" w:rsidRPr="00111F34" w:rsidRDefault="00DD035D" w:rsidP="00DD035D">
      <w:pPr>
        <w:pStyle w:val="Odstavecseseznamem"/>
        <w:numPr>
          <w:ilvl w:val="1"/>
          <w:numId w:val="2"/>
        </w:numPr>
      </w:pPr>
      <w:r w:rsidRPr="00111F34">
        <w:t>Počet dle dat NKÚ evidovaných v Památkovém seznamu ČR, sledování v rámci ÚAP, aktualizace 1x za 2 roky</w:t>
      </w:r>
    </w:p>
    <w:p w14:paraId="3AA66E78" w14:textId="77777777" w:rsidR="00DD035D" w:rsidRPr="00111F34" w:rsidRDefault="00DD035D" w:rsidP="00DD035D">
      <w:pPr>
        <w:pStyle w:val="Odrky1"/>
        <w:numPr>
          <w:ilvl w:val="0"/>
          <w:numId w:val="0"/>
        </w:numPr>
      </w:pPr>
    </w:p>
    <w:p w14:paraId="0CE29AA9" w14:textId="4F5FA5CA" w:rsidR="00794578" w:rsidRPr="00111F34" w:rsidRDefault="00794578" w:rsidP="00BA72D5">
      <w:pPr>
        <w:pStyle w:val="Nadpis2"/>
      </w:pPr>
      <w:bookmarkStart w:id="337" w:name="_Toc531606280"/>
      <w:bookmarkStart w:id="338" w:name="_Toc29298368"/>
      <w:bookmarkStart w:id="339" w:name="_Toc138848147"/>
      <w:r w:rsidRPr="00111F34">
        <w:lastRenderedPageBreak/>
        <w:t>Návrh požadavků na rozhodování ve vymezených plochách a</w:t>
      </w:r>
      <w:r w:rsidR="00A97E3C" w:rsidRPr="00111F34">
        <w:t> </w:t>
      </w:r>
      <w:r w:rsidRPr="00111F34">
        <w:t>koridorech z hlediska minimalizace negativních vlivů na životní prostředí</w:t>
      </w:r>
      <w:bookmarkEnd w:id="337"/>
      <w:bookmarkEnd w:id="338"/>
      <w:bookmarkEnd w:id="339"/>
    </w:p>
    <w:p w14:paraId="5D29F62A" w14:textId="1636ACB7" w:rsidR="0032549B" w:rsidRPr="00111F34" w:rsidRDefault="0032549B" w:rsidP="0032549B">
      <w:pPr>
        <w:rPr>
          <w:rFonts w:cs="Arial"/>
        </w:rPr>
      </w:pPr>
      <w:bookmarkStart w:id="340" w:name="_Toc531606281"/>
      <w:r w:rsidRPr="00111F34">
        <w:rPr>
          <w:rFonts w:cs="Arial"/>
        </w:rPr>
        <w:t xml:space="preserve">Obsahovou náplň této kapitoly tvoří opatření pro předcházení, snížení nebo kompenzaci všech zjištěných nebo předpokládaných závažných záporných vlivů předkládaného návrhu </w:t>
      </w:r>
      <w:r w:rsidR="005308CC" w:rsidRPr="00111F34">
        <w:rPr>
          <w:rFonts w:cs="Arial"/>
        </w:rPr>
        <w:t>posuzované ÚPD</w:t>
      </w:r>
      <w:r w:rsidRPr="00111F34">
        <w:rPr>
          <w:rFonts w:cs="Arial"/>
        </w:rPr>
        <w:t xml:space="preserve"> na životní prostředí, formulovaná v kap. A.VIII., formulované ve formě návrhu stanoviska jako podkladu pro rozhodnutí příslušného úřadu, dle zákona č. 100/2001 Sb., o posuzování vlivů na životní prostředí. </w:t>
      </w:r>
    </w:p>
    <w:p w14:paraId="20407396" w14:textId="3588062F" w:rsidR="00B8361D" w:rsidRPr="00111F34" w:rsidRDefault="0032549B" w:rsidP="0032549B">
      <w:pPr>
        <w:pStyle w:val="Textkomente"/>
        <w:rPr>
          <w:rFonts w:cs="Arial"/>
        </w:rPr>
      </w:pPr>
      <w:r w:rsidRPr="00111F34">
        <w:rPr>
          <w:rFonts w:cs="Arial"/>
        </w:rPr>
        <w:t xml:space="preserve">Na základě vyhodnocení vlivu předloženého návrhu na životní prostředí navrhujeme </w:t>
      </w:r>
      <w:r w:rsidR="00C47FD7" w:rsidRPr="00111F34">
        <w:rPr>
          <w:rFonts w:cs="Arial"/>
        </w:rPr>
        <w:t>SOUHLASNÉ STANOVISKO</w:t>
      </w:r>
      <w:r w:rsidRPr="00111F34">
        <w:rPr>
          <w:rFonts w:cs="Arial"/>
        </w:rPr>
        <w:t xml:space="preserve">. </w:t>
      </w:r>
    </w:p>
    <w:p w14:paraId="7268E627" w14:textId="77777777" w:rsidR="00690595" w:rsidRPr="00111F34" w:rsidRDefault="00690595" w:rsidP="00690595">
      <w:pPr>
        <w:pStyle w:val="Podnadpis1"/>
      </w:pPr>
      <w:bookmarkStart w:id="341" w:name="_Toc29298370"/>
      <w:r w:rsidRPr="00111F34" w:rsidDel="00EF479D">
        <w:t>Výběr varianty</w:t>
      </w:r>
    </w:p>
    <w:p w14:paraId="19294856" w14:textId="7CB445D3" w:rsidR="00131710" w:rsidRPr="00111F34" w:rsidRDefault="005308CC" w:rsidP="00131710">
      <w:pPr>
        <w:rPr>
          <w:lang w:eastAsia="cs-CZ"/>
        </w:rPr>
      </w:pPr>
      <w:r w:rsidRPr="00111F34">
        <w:rPr>
          <w:lang w:eastAsia="cs-CZ"/>
        </w:rPr>
        <w:t>Navrhovaná změna územního plánu je předkládána invariantně</w:t>
      </w:r>
      <w:r w:rsidR="00131710" w:rsidRPr="00111F34">
        <w:rPr>
          <w:lang w:eastAsia="cs-CZ"/>
        </w:rPr>
        <w:t>.</w:t>
      </w:r>
      <w:r w:rsidR="00390D9F" w:rsidRPr="00111F34">
        <w:rPr>
          <w:lang w:eastAsia="cs-CZ"/>
        </w:rPr>
        <w:t xml:space="preserve"> Na základě vyhodnocení nevyplynula potřeba řešení koncepce ve variantách, předkládaná aktivní varianta je z hlediska prověření vlivů na životní prostředí a veřejné zdraví dostačující.</w:t>
      </w:r>
    </w:p>
    <w:p w14:paraId="66259F72" w14:textId="7E61FC6C" w:rsidR="00D128AC" w:rsidRPr="007E2FB4" w:rsidRDefault="00D128AC" w:rsidP="00D128AC">
      <w:pPr>
        <w:pStyle w:val="Podnadpis1"/>
        <w:spacing w:before="240" w:after="240"/>
      </w:pPr>
      <w:r w:rsidRPr="00111F34">
        <w:t>Akceptovatelné</w:t>
      </w:r>
      <w:r w:rsidRPr="007E2FB4">
        <w:t xml:space="preserve"> </w:t>
      </w:r>
      <w:r w:rsidR="00A3243C">
        <w:t>s podmínkou</w:t>
      </w:r>
    </w:p>
    <w:p w14:paraId="6EB76099" w14:textId="4A322283" w:rsidR="00553E14" w:rsidRPr="007E2FB4" w:rsidRDefault="00F80CDD" w:rsidP="00553E14">
      <w:pPr>
        <w:tabs>
          <w:tab w:val="left" w:pos="1275"/>
        </w:tabs>
        <w:snapToGrid w:val="0"/>
        <w:rPr>
          <w:rFonts w:cs="Arial"/>
          <w:b/>
          <w:szCs w:val="20"/>
        </w:rPr>
      </w:pPr>
      <w:r w:rsidRPr="007E2FB4">
        <w:rPr>
          <w:rFonts w:cs="Arial"/>
          <w:b/>
          <w:szCs w:val="20"/>
        </w:rPr>
        <w:t>Z</w:t>
      </w:r>
      <w:r w:rsidR="008703AB" w:rsidRPr="007E2FB4">
        <w:rPr>
          <w:rFonts w:cs="Arial"/>
          <w:b/>
          <w:szCs w:val="20"/>
        </w:rPr>
        <w:t xml:space="preserve"> </w:t>
      </w:r>
      <w:r w:rsidR="001663EA">
        <w:rPr>
          <w:rFonts w:cs="Arial"/>
          <w:b/>
          <w:szCs w:val="20"/>
        </w:rPr>
        <w:t>3827</w:t>
      </w:r>
      <w:r w:rsidRPr="007E2FB4">
        <w:rPr>
          <w:rFonts w:cs="Arial"/>
          <w:b/>
          <w:szCs w:val="20"/>
        </w:rPr>
        <w:t>/00</w:t>
      </w:r>
      <w:r w:rsidR="00553E14" w:rsidRPr="007E2FB4">
        <w:rPr>
          <w:rFonts w:cs="Arial"/>
          <w:b/>
          <w:szCs w:val="20"/>
        </w:rPr>
        <w:tab/>
      </w:r>
    </w:p>
    <w:p w14:paraId="121F2FAA" w14:textId="77777777" w:rsidR="00A3243C" w:rsidRDefault="008703AB" w:rsidP="008703AB">
      <w:pPr>
        <w:snapToGrid w:val="0"/>
      </w:pPr>
      <w:bookmarkStart w:id="342" w:name="_Hlk139976847"/>
      <w:r w:rsidRPr="007E2FB4">
        <w:t>Změna ÚP HMP Z </w:t>
      </w:r>
      <w:r w:rsidR="001663EA">
        <w:t>3827</w:t>
      </w:r>
      <w:r w:rsidRPr="007E2FB4">
        <w:t xml:space="preserve">/00 je akceptovatelná </w:t>
      </w:r>
      <w:r w:rsidR="00A3243C">
        <w:t>s následující podmínkou:</w:t>
      </w:r>
    </w:p>
    <w:p w14:paraId="59651889" w14:textId="7F148DDA" w:rsidR="00A3243C" w:rsidRPr="009B2CC0" w:rsidRDefault="00A3243C" w:rsidP="009B2CC0">
      <w:pPr>
        <w:pStyle w:val="Bullets"/>
        <w:numPr>
          <w:ilvl w:val="0"/>
          <w:numId w:val="60"/>
        </w:numPr>
        <w:ind w:left="284" w:hanging="284"/>
        <w:jc w:val="both"/>
        <w:rPr>
          <w:sz w:val="20"/>
          <w:szCs w:val="20"/>
        </w:rPr>
      </w:pPr>
      <w:bookmarkStart w:id="343" w:name="_Hlk138940490"/>
      <w:r w:rsidRPr="009B2CC0">
        <w:rPr>
          <w:sz w:val="20"/>
          <w:szCs w:val="20"/>
        </w:rPr>
        <w:t xml:space="preserve">Plochu OB-D ve východní části Nového Sedlce mezi ulicí Kamýcká a novou tramvajovou tratí převést </w:t>
      </w:r>
      <w:r w:rsidR="009B2CC0">
        <w:rPr>
          <w:sz w:val="20"/>
          <w:szCs w:val="20"/>
        </w:rPr>
        <w:t xml:space="preserve">např. </w:t>
      </w:r>
      <w:r w:rsidRPr="009B2CC0">
        <w:rPr>
          <w:sz w:val="20"/>
          <w:szCs w:val="20"/>
        </w:rPr>
        <w:t>do funkce smíšených ploch, která lépe odpovídá stávající i budoucí zátěži plochy z hlediska hluku.</w:t>
      </w:r>
      <w:bookmarkEnd w:id="343"/>
      <w:r w:rsidRPr="009B2CC0">
        <w:rPr>
          <w:sz w:val="20"/>
          <w:szCs w:val="20"/>
        </w:rPr>
        <w:t xml:space="preserve"> (Jedná se o opatření z hlediska identifikovaného mírně negativního vlivu vůči hlukové zátěži včetně synergických vlivů, které je třeba zapracovat do výrokové části posuzované změny územního plánu v podobě změny funkčního využití plochy na funkci, která odpovídá očekávaným zátěžím z hlediska hluku</w:t>
      </w:r>
      <w:r w:rsidR="009B2CC0">
        <w:rPr>
          <w:sz w:val="20"/>
          <w:szCs w:val="20"/>
        </w:rPr>
        <w:t xml:space="preserve">. Navrhované </w:t>
      </w:r>
      <w:r w:rsidRPr="009B2CC0">
        <w:rPr>
          <w:sz w:val="20"/>
          <w:szCs w:val="20"/>
        </w:rPr>
        <w:t>využití plochy jako čisté bydlení odporuje zátěžím, které v ploše v současnosti jsou, a i v budoucnosti budou z hlediska veřejného zdraví</w:t>
      </w:r>
      <w:r w:rsidR="009B2CC0">
        <w:rPr>
          <w:sz w:val="20"/>
          <w:szCs w:val="20"/>
        </w:rPr>
        <w:t xml:space="preserve"> – působení hlukové zátěže z provozu po ulici Kamýcká a současně z provozu po nové tramvajové trati</w:t>
      </w:r>
      <w:r w:rsidRPr="009B2CC0">
        <w:rPr>
          <w:sz w:val="20"/>
          <w:szCs w:val="20"/>
        </w:rPr>
        <w:t>. Zároveň by plocha čistého bydlení v této poloze mohla způsobovat potíže při případné realizaci tramvajové trati, jejíž technické řešení i prosté umístění by významně omezila</w:t>
      </w:r>
      <w:r w:rsidR="009B2CC0">
        <w:rPr>
          <w:sz w:val="20"/>
          <w:szCs w:val="20"/>
        </w:rPr>
        <w:t>, resp. znemožnila</w:t>
      </w:r>
      <w:r w:rsidRPr="009B2CC0">
        <w:rPr>
          <w:sz w:val="20"/>
          <w:szCs w:val="20"/>
        </w:rPr>
        <w:t>).</w:t>
      </w:r>
    </w:p>
    <w:bookmarkEnd w:id="342"/>
    <w:p w14:paraId="387AA0D6" w14:textId="51E3FDB2" w:rsidR="003E48DA" w:rsidRPr="007E2FB4" w:rsidRDefault="00A3243C" w:rsidP="008703AB">
      <w:pPr>
        <w:snapToGrid w:val="0"/>
      </w:pPr>
      <w:r>
        <w:t xml:space="preserve">Jiné požadavky na úpravu </w:t>
      </w:r>
      <w:r w:rsidR="008703AB" w:rsidRPr="007E2FB4">
        <w:t>výrokové části</w:t>
      </w:r>
      <w:r>
        <w:t xml:space="preserve"> z vyhodnocení vlivů na udržitelný rozvoj území pro změnu Z 3827/00 územního plánu hlavního města Prahy nevyplynuly</w:t>
      </w:r>
      <w:r w:rsidR="008703AB" w:rsidRPr="007E2FB4">
        <w:t xml:space="preserve">, a to zejména z toho důvodu, že vlastní návrh koncepce obsahuje </w:t>
      </w:r>
      <w:r w:rsidR="002F727C">
        <w:t xml:space="preserve">územně plánovací </w:t>
      </w:r>
      <w:r w:rsidR="008703AB" w:rsidRPr="007E2FB4">
        <w:t>opatření, která na příslušné strategické úrovni umožňují snížení negativních vlivů na životní prostředí a veřejné zdraví. Jedná se jak o opatření vyjádřená graficky – tj. především vlastní vymezení a struktura ploch a kód míry využití ploch, kter</w:t>
      </w:r>
      <w:r w:rsidR="00A06030" w:rsidRPr="007E2FB4">
        <w:t>é</w:t>
      </w:r>
      <w:r w:rsidR="008703AB" w:rsidRPr="007E2FB4">
        <w:t xml:space="preserve"> vytváří územní předpoklady pro transformaci území tak, aby byly minimalizovány negativní vlivy na obyvatelstvo díky vytvoření územních předpokladů pro realizaci bariérové zástavby, rekreačního zázemí a veřejné občanské vybavenosti. Dále jsou to podmínky využití ploch definované v regulativech územního plánu a obecné podmínky</w:t>
      </w:r>
      <w:r w:rsidR="00A06030" w:rsidRPr="007E2FB4">
        <w:t xml:space="preserve"> např. z hlediska odkanalizování území a hospodaření s dešťovou vodou</w:t>
      </w:r>
      <w:r w:rsidR="008703AB" w:rsidRPr="007E2FB4">
        <w:t xml:space="preserve"> </w:t>
      </w:r>
      <w:r w:rsidR="00A06030" w:rsidRPr="007E2FB4">
        <w:t>a legislativní požadavky na zástavbu, které budou uplatněny v navazujících řízení (především podmínky umisťování hlukově chráněných prostor).</w:t>
      </w:r>
      <w:r w:rsidR="003E48DA" w:rsidRPr="007E2FB4">
        <w:t xml:space="preserve"> </w:t>
      </w:r>
    </w:p>
    <w:p w14:paraId="79AD35DF" w14:textId="1C63F168" w:rsidR="008703AB" w:rsidRPr="007E2FB4" w:rsidRDefault="003E48DA" w:rsidP="008703AB">
      <w:pPr>
        <w:snapToGrid w:val="0"/>
      </w:pPr>
      <w:r w:rsidRPr="007E2FB4">
        <w:t>Níže uvádíme požadavky na rozhodování ve vymezených plochách, které je třeba promítnout do odůvodnění posuzované změny a uplatnit v navazujících řízeních.</w:t>
      </w:r>
    </w:p>
    <w:p w14:paraId="25B452AA" w14:textId="40CFCF32" w:rsidR="00A06030" w:rsidRPr="00111F34" w:rsidRDefault="00A06030" w:rsidP="00A06030">
      <w:pPr>
        <w:pStyle w:val="Podnadpis1"/>
      </w:pPr>
      <w:r w:rsidRPr="00111F34">
        <w:t>Požadavky na rozhodování ve vymezených plochách:</w:t>
      </w:r>
    </w:p>
    <w:p w14:paraId="72F2EB12" w14:textId="58E20667" w:rsidR="00C07A22" w:rsidRPr="00111F34" w:rsidRDefault="00C07A22" w:rsidP="009434B2">
      <w:pPr>
        <w:pStyle w:val="Odrka1"/>
        <w:jc w:val="both"/>
      </w:pPr>
      <w:r w:rsidRPr="00111F34">
        <w:t>V navazujících řízeních zajistit maximální zastínění nově vznikajících betonových povrchů a realizaci vzrostlé zeleně (stromového patra) v uličních prostranstvích, vnitroblocích a plochách ZMK a ZP. Opatření je třeba uplatnit v navazujících řízeních (</w:t>
      </w:r>
      <w:r w:rsidR="003577E4" w:rsidRPr="00111F34">
        <w:t>územní,</w:t>
      </w:r>
      <w:r w:rsidRPr="00111F34">
        <w:t xml:space="preserve"> resp. stavební řízení).  </w:t>
      </w:r>
    </w:p>
    <w:p w14:paraId="309C85AE" w14:textId="20646A00" w:rsidR="00C07A22" w:rsidRPr="00111F34" w:rsidRDefault="00C07A22" w:rsidP="009434B2">
      <w:pPr>
        <w:pStyle w:val="Odrka1"/>
        <w:jc w:val="both"/>
      </w:pPr>
      <w:r w:rsidRPr="00111F34">
        <w:t xml:space="preserve">V navazujících řízeních minimalizovat podíl zastavěných a zpevněných povrchů, realizovat modrozelenou infrastrukturu. Opatření je třeba uplatnit v navazujících řízeních.  </w:t>
      </w:r>
    </w:p>
    <w:p w14:paraId="6C1109CA" w14:textId="59CE717B" w:rsidR="00C07A22" w:rsidRPr="00111F34" w:rsidRDefault="00C07A22" w:rsidP="009434B2">
      <w:pPr>
        <w:pStyle w:val="Odrka1"/>
        <w:jc w:val="both"/>
      </w:pPr>
      <w:r w:rsidRPr="00111F34">
        <w:t xml:space="preserve">V navazující fázi projektové přípravy staveb umisťovaných v plochách s rizikem kontaminace je třeba provést podrobný hydrogeologický průzkum a v případě prokázání kontaminace provést rizikovou analýzu a navrhnout sanační opatření pro zamezení identifikovaných rizik, opatření je třeba uplatnit v navazujících řízeních, jako požadavek na rozhodování v území. </w:t>
      </w:r>
    </w:p>
    <w:p w14:paraId="731D199C" w14:textId="64B17681" w:rsidR="00C07A22" w:rsidRPr="00111F34" w:rsidRDefault="00C07A22" w:rsidP="009434B2">
      <w:pPr>
        <w:pStyle w:val="Odrka1"/>
        <w:jc w:val="both"/>
      </w:pPr>
      <w:r w:rsidRPr="00111F34">
        <w:lastRenderedPageBreak/>
        <w:t>Před umístěním stavby do území v další fázi projektové přípravy stavby prokázat, že vlivem realizace záměru, kterému dává posuzovaná koncepce rámec, včetně souvisejících staveb a přeložek při zohlednění spolupůsobení stávajících i uvažovaných záměrů v dopravně souvisejícím území nedojde k novým překročením hygienických limitů z hlediska hluku u nejbližších hlukově chráněných objektů, opatření je třeba uplatnit v navazujících řízeních, jako požadavek na rozhodování v území.</w:t>
      </w:r>
    </w:p>
    <w:p w14:paraId="6BB614D3" w14:textId="086A0961" w:rsidR="00C81B4D" w:rsidRDefault="00C81B4D" w:rsidP="009B4A0C">
      <w:pPr>
        <w:pStyle w:val="Odrka1"/>
        <w:jc w:val="both"/>
      </w:pPr>
      <w:bookmarkStart w:id="344" w:name="_Hlk139977232"/>
      <w:r w:rsidRPr="00111F34">
        <w:t xml:space="preserve">Při umisťování hlukově chráněných prostor s hlukově chráněnými fasádami orientovanými k nové tramvajové trati prokázat v navazujících řízeních (stavební řízení) dodržení hlukových limitů. </w:t>
      </w:r>
    </w:p>
    <w:bookmarkEnd w:id="344"/>
    <w:p w14:paraId="5E9C0E38" w14:textId="77777777" w:rsidR="00DA39A6" w:rsidRPr="00DA39A6" w:rsidRDefault="00DA39A6" w:rsidP="00DA39A6">
      <w:pPr>
        <w:pStyle w:val="Podnadpis1"/>
      </w:pPr>
      <w:r w:rsidRPr="00DA39A6">
        <w:t xml:space="preserve">Požadavky na rozhodování ve vymezených plochách </w:t>
      </w:r>
      <w:bookmarkStart w:id="345" w:name="_Hlk139977374"/>
      <w:r w:rsidRPr="00DA39A6">
        <w:t>vyplývající z vyhodnocení vlivů změny na EVL Kaňon Vltavy u Sedlce</w:t>
      </w:r>
      <w:bookmarkEnd w:id="345"/>
      <w:r w:rsidRPr="00DA39A6">
        <w:t>:</w:t>
      </w:r>
    </w:p>
    <w:p w14:paraId="23DA61BF" w14:textId="77777777" w:rsidR="00DA39A6" w:rsidRPr="00DA39A6" w:rsidRDefault="00DA39A6" w:rsidP="00DA39A6">
      <w:pPr>
        <w:pStyle w:val="Odsazentext"/>
      </w:pPr>
      <w:bookmarkStart w:id="346" w:name="_Hlk139977420"/>
      <w:r w:rsidRPr="00DA39A6">
        <w:t xml:space="preserve">Z důvodu předběžné opatrnosti doporučujeme, aby ještě před fázi přípravy území pro výstavbu v rozvojovém území Nový Sedlec, byla v součinnosti s územně příslušným orgánem ochrany přírody a krajiny stanovena a vyznačena jednoznačná hranice, za kterou stavební čára nesmí překročit. Jedná se především o to, aby úpravy terénu pro výstavbu spojené s odtěžováním, vyhrnováním a přesouváním zemin v areálu cihelny severně, do prostoru EVL zbytečně nezasáhly. V této souvislosti se jeví jako vhodné zesouladit průběh hranic PP Podbabské skály a segmentu EVL, a tyto hranice v kontaktní zóně se změnou Z 3827/00 dle odborných kritérií upravit. Jedná se o opatření v kompetenci příslušného orgánu ochrany přírody. </w:t>
      </w:r>
    </w:p>
    <w:p w14:paraId="1A08CC8D" w14:textId="7FB03272" w:rsidR="00DA39A6" w:rsidRPr="00DA39A6" w:rsidRDefault="00DA39A6" w:rsidP="00DA39A6">
      <w:pPr>
        <w:pStyle w:val="Odsazentext"/>
      </w:pPr>
      <w:r w:rsidRPr="00DA39A6">
        <w:t xml:space="preserve">Potenciálnímu riziku zvýšené zátěže EVL, spojené se zvýšenou návštěvností, lze částečně předejít i návrhem příp. organizačních opatření z hlediska regulace návštěvnosti, zákazu vstupu cyklistů či venčení psů, příp. i oplocením části EVL (avšak s ohledem na zachování prostupnosti v území podél jihozápadního okraje EVL, mimo koridor stezky vedoucí od severu k jihu podél zídky do ulice Pod Babou). Takovému opatření by po realizaci záměrů v rozvojové lokalitě ale měl předcházet monitoring území, spojený se sledováním míry návštěvnosti lokality, a stavu přírodních stanovišť. Jedná se o opatření v kompetenci příslušného orgánu ochrany přírody v rámci prováděného managementu péče o EVL. </w:t>
      </w:r>
    </w:p>
    <w:bookmarkEnd w:id="346"/>
    <w:p w14:paraId="4A0D913D" w14:textId="77777777" w:rsidR="00C07A22" w:rsidRPr="00111F34" w:rsidRDefault="00C07A22" w:rsidP="00BD7256">
      <w:pPr>
        <w:pStyle w:val="Odrky1"/>
        <w:numPr>
          <w:ilvl w:val="0"/>
          <w:numId w:val="0"/>
        </w:numPr>
        <w:spacing w:before="120"/>
        <w:ind w:left="360" w:hanging="360"/>
      </w:pPr>
      <w:r w:rsidRPr="00DA39A6">
        <w:t>Shrnutí:</w:t>
      </w:r>
      <w:r w:rsidRPr="00111F34">
        <w:t xml:space="preserve"> </w:t>
      </w:r>
    </w:p>
    <w:p w14:paraId="550C5204" w14:textId="03F41830" w:rsidR="00C07A22" w:rsidRPr="00111F34" w:rsidRDefault="00C07A22" w:rsidP="00E96725">
      <w:pPr>
        <w:snapToGrid w:val="0"/>
      </w:pPr>
      <w:bookmarkStart w:id="347" w:name="_Hlk139977598"/>
      <w:r w:rsidRPr="00111F34">
        <w:t>Změna ÚP HMP Z </w:t>
      </w:r>
      <w:r w:rsidR="001663EA" w:rsidRPr="00111F34">
        <w:t>3827</w:t>
      </w:r>
      <w:r w:rsidRPr="00111F34">
        <w:t>/00 je v podobě, v jaké je navržena</w:t>
      </w:r>
      <w:r w:rsidRPr="007E2FB4">
        <w:t xml:space="preserve">, </w:t>
      </w:r>
      <w:r w:rsidRPr="00595E08">
        <w:t xml:space="preserve">akceptovatelná </w:t>
      </w:r>
      <w:r w:rsidR="00595E08" w:rsidRPr="00595E08">
        <w:t>s</w:t>
      </w:r>
      <w:r w:rsidR="00595E08">
        <w:t> uplatněním výše uvedeného požadavku na změnu funkčního využití ploch OB-D mezi ulicí Kamýcká a budoucí tramvajovou tratí v Novém Sedlci</w:t>
      </w:r>
      <w:r w:rsidRPr="00111F34">
        <w:t xml:space="preserve">, a to zejména z toho důvodu, že vlastní návrh koncepce obsahuje </w:t>
      </w:r>
      <w:r w:rsidR="004A5874" w:rsidRPr="00111F34">
        <w:t xml:space="preserve">územně plánovací </w:t>
      </w:r>
      <w:r w:rsidRPr="00111F34">
        <w:t xml:space="preserve">opatření, která na příslušné strategické úrovni umožňují snížení negativních vlivů na životní prostředí a veřejné zdraví. Jedná se jak o opatření vyjádřená graficky – tj. především vlastní vymezení a struktura ploch a kód míry využití ploch, které vytváří územní předpoklady pro transformaci území tak, aby byly minimalizovány negativní vlivy na obyvatelstvo díky vytvoření územních předpokladů pro realizaci bariérové zástavby, rekreačního zázemí a veřejné občanské vybavenosti.  Dále jsou to podmínky využití ploch definované v regulativech územního plánu a obecné podmínky např. z hlediska odkanalizování území a hospodaření s dešťovou vodou a legislativní požadavky na zástavbu, které budou uplatněny v navazujících řízení (především podmínky umisťování hlukově chráněných prostor). </w:t>
      </w:r>
    </w:p>
    <w:p w14:paraId="633EB417" w14:textId="372E362B" w:rsidR="00553E14" w:rsidRPr="00111F34" w:rsidRDefault="00C07A22" w:rsidP="00BD7256">
      <w:pPr>
        <w:pStyle w:val="Odrky1"/>
        <w:numPr>
          <w:ilvl w:val="0"/>
          <w:numId w:val="0"/>
        </w:numPr>
        <w:spacing w:before="120"/>
      </w:pPr>
      <w:r w:rsidRPr="00111F34">
        <w:t>Tato opatření obsažená ve výrokové části</w:t>
      </w:r>
      <w:r w:rsidR="00194A11" w:rsidRPr="00111F34">
        <w:t>, resp. vyplývající z legislativních požadavků,</w:t>
      </w:r>
      <w:r w:rsidRPr="00111F34">
        <w:t xml:space="preserve"> považuje zpracovatel vyhodnocení z hlediska akceptovatelnosti návrhu posuzované ÚPD</w:t>
      </w:r>
      <w:r w:rsidR="00595E08">
        <w:t>, při promítnutí výše uvedeného požadavku na změnu funkčního využití ploch OB-D,</w:t>
      </w:r>
      <w:r w:rsidRPr="00111F34">
        <w:t xml:space="preserve"> </w:t>
      </w:r>
      <w:r w:rsidR="00595E08">
        <w:t>z</w:t>
      </w:r>
      <w:r w:rsidRPr="00111F34">
        <w:t>a dostatečn</w:t>
      </w:r>
      <w:r w:rsidR="0001212C">
        <w:t>á</w:t>
      </w:r>
      <w:r w:rsidRPr="00111F34">
        <w:t xml:space="preserve"> na příslušné strategické úrovni. Do části odůvodnění, </w:t>
      </w:r>
      <w:r w:rsidR="00194A11" w:rsidRPr="00111F34">
        <w:t>část C</w:t>
      </w:r>
      <w:r w:rsidRPr="00111F34">
        <w:t xml:space="preserve">, </w:t>
      </w:r>
      <w:r w:rsidR="009434B2" w:rsidRPr="00111F34">
        <w:t>je třeba zapracovat</w:t>
      </w:r>
      <w:r w:rsidRPr="00111F34">
        <w:t xml:space="preserve"> výše uvedené požadavky na rozhodování ve </w:t>
      </w:r>
      <w:r w:rsidR="00194A11" w:rsidRPr="00111F34">
        <w:t>vymezených plochách</w:t>
      </w:r>
      <w:r w:rsidRPr="00111F34">
        <w:t>, které jsou navrženy pro minimalizaci všech zjištěných negativních vlivů na životní prostředí a veřejné zdraví identifikovaných na základě SEA</w:t>
      </w:r>
      <w:r w:rsidR="00194A11" w:rsidRPr="00111F34">
        <w:t xml:space="preserve"> (tj. potenciálně negativních vlivů na klima, retenční schopnost území, horninové prostředí a hlukovou zátěž </w:t>
      </w:r>
      <w:r w:rsidR="00DA39A6">
        <w:t xml:space="preserve">a EVL </w:t>
      </w:r>
      <w:r w:rsidR="00194A11" w:rsidRPr="00111F34">
        <w:t>včetně synergických vlivů), a které je třeba uplatnit v navazujících řízeních (územní a stavební řízení)</w:t>
      </w:r>
      <w:r w:rsidRPr="00111F34">
        <w:t>.</w:t>
      </w:r>
      <w:bookmarkEnd w:id="347"/>
    </w:p>
    <w:p w14:paraId="5412032C" w14:textId="1D4980F9" w:rsidR="00794578" w:rsidRPr="00111F34" w:rsidRDefault="00794578" w:rsidP="00BA72D5">
      <w:pPr>
        <w:pStyle w:val="Nadpis2"/>
      </w:pPr>
      <w:bookmarkStart w:id="348" w:name="_Toc138848148"/>
      <w:r w:rsidRPr="00111F34">
        <w:t>Netechnické shrnutí výše uvedených údajů.</w:t>
      </w:r>
      <w:bookmarkEnd w:id="340"/>
      <w:bookmarkEnd w:id="341"/>
      <w:bookmarkEnd w:id="348"/>
      <w:r w:rsidRPr="00111F34">
        <w:t xml:space="preserve"> </w:t>
      </w:r>
    </w:p>
    <w:p w14:paraId="52108F57" w14:textId="737B9BD6" w:rsidR="00794578" w:rsidRPr="00111F34" w:rsidRDefault="00794578" w:rsidP="00794578">
      <w:pPr>
        <w:rPr>
          <w:i/>
        </w:rPr>
      </w:pPr>
      <w:r w:rsidRPr="00111F34">
        <w:rPr>
          <w:i/>
        </w:rPr>
        <w:t>Tato část SEA je určena zájemcům o všeobecné informace. Jsou zde shrnuty veškeré předchozí kapitoly do</w:t>
      </w:r>
      <w:r w:rsidR="0020557D" w:rsidRPr="00111F34">
        <w:rPr>
          <w:i/>
        </w:rPr>
        <w:t> </w:t>
      </w:r>
      <w:r w:rsidRPr="00111F34">
        <w:rPr>
          <w:i/>
        </w:rPr>
        <w:t>přehledné a stručnější formy. Podrobnější informace zájemce najde v předchozích kapitolách.</w:t>
      </w:r>
    </w:p>
    <w:p w14:paraId="087FCA21" w14:textId="7FFBBBFF" w:rsidR="00553E14" w:rsidRPr="00111F34" w:rsidRDefault="00553E14" w:rsidP="00553E14">
      <w:r w:rsidRPr="00111F34">
        <w:t xml:space="preserve">Předmětem </w:t>
      </w:r>
      <w:r w:rsidR="009434B2" w:rsidRPr="00111F34">
        <w:t>posouzení</w:t>
      </w:r>
      <w:r w:rsidRPr="00111F34">
        <w:t xml:space="preserve"> je zpracování Vyhodnocení vlivu na udržitelný rozvoj území pro samostatně projednávanou změnu Územního plánu hlavního města Prahy </w:t>
      </w:r>
      <w:r w:rsidR="00B23CD6" w:rsidRPr="00111F34">
        <w:t xml:space="preserve">označenou </w:t>
      </w:r>
      <w:r w:rsidR="00F80CDD" w:rsidRPr="00111F34">
        <w:t>Z</w:t>
      </w:r>
      <w:r w:rsidR="009434B2" w:rsidRPr="00111F34">
        <w:t xml:space="preserve"> </w:t>
      </w:r>
      <w:r w:rsidR="001663EA" w:rsidRPr="00111F34">
        <w:t>3827</w:t>
      </w:r>
      <w:r w:rsidR="00F80CDD" w:rsidRPr="00111F34">
        <w:t>/00</w:t>
      </w:r>
      <w:r w:rsidRPr="00111F34">
        <w:t>,</w:t>
      </w:r>
      <w:r w:rsidRPr="00111F34">
        <w:rPr>
          <w:rFonts w:cs="Arial"/>
        </w:rPr>
        <w:t xml:space="preserve"> a tím vytvoření odborného podkladu pro vydání stanoviska ze strany příslušného úřadu.</w:t>
      </w:r>
    </w:p>
    <w:p w14:paraId="350D483B" w14:textId="77777777" w:rsidR="003D1271" w:rsidRPr="00111F34" w:rsidRDefault="003D1271" w:rsidP="003D1271">
      <w:r w:rsidRPr="00111F34">
        <w:t xml:space="preserve">Součástí vyhodnocení je i návrh případných opatření k eliminaci, minimalizaci a kompenzaci negativních vlivů na životní prostředí a veřejné zdraví včetně vyhodnocení synergických a kumulativních vlivů. </w:t>
      </w:r>
    </w:p>
    <w:p w14:paraId="2CC36F01" w14:textId="6840E428" w:rsidR="0007717F" w:rsidRPr="00111F34" w:rsidRDefault="0007717F" w:rsidP="0007717F">
      <w:r w:rsidRPr="00111F34">
        <w:lastRenderedPageBreak/>
        <w:t xml:space="preserve">Posouzení vlivů </w:t>
      </w:r>
      <w:r w:rsidR="00B9398C" w:rsidRPr="00111F34">
        <w:t>předkládané změny</w:t>
      </w:r>
      <w:r w:rsidR="00FE0ABB" w:rsidRPr="00111F34">
        <w:t xml:space="preserve"> územního plánu </w:t>
      </w:r>
      <w:r w:rsidRPr="00111F34">
        <w:t xml:space="preserve">na udržitelný rozvoj území je zpracováno řešitelským týmem firmy </w:t>
      </w:r>
      <w:r w:rsidR="002E7BB5" w:rsidRPr="00111F34">
        <w:t>Jacobs Clean Energy</w:t>
      </w:r>
      <w:r w:rsidRPr="00111F34">
        <w:t xml:space="preserve"> s.r.o. pod vedením autorizované osoby Mgr. Jany Švábové Nezvalové.</w:t>
      </w:r>
    </w:p>
    <w:p w14:paraId="1DDE8C9F" w14:textId="54F2131C" w:rsidR="00553E14" w:rsidRPr="00111F34" w:rsidRDefault="00194A11" w:rsidP="00194A11">
      <w:pPr>
        <w:pStyle w:val="Podnadpis1"/>
        <w:rPr>
          <w:u w:val="single"/>
        </w:rPr>
      </w:pPr>
      <w:r w:rsidRPr="00111F34">
        <w:rPr>
          <w:u w:val="single"/>
        </w:rPr>
        <w:t>Předmět řešení</w:t>
      </w:r>
      <w:r w:rsidR="002D6A11" w:rsidRPr="00111F34">
        <w:rPr>
          <w:u w:val="single"/>
        </w:rPr>
        <w:t>:</w:t>
      </w:r>
    </w:p>
    <w:p w14:paraId="127E027B" w14:textId="317380ED" w:rsidR="008F0489" w:rsidRPr="00111F34" w:rsidRDefault="008F0489" w:rsidP="008F0489">
      <w:r w:rsidRPr="00111F34">
        <w:t>Jedná se o Vyhodnocení vlivu na udržitelný rozvoj území pro změnu územního plánu Prahy vedenou pod označením Z 3827/00. Cílem je vytvoření územních předpokladů pro transformaci ploch v podobě prověření a přeskupení ploch platného územního plánu, koordinace rozvojových záměrů a vybavení území dopravní a technickou infrastrukturou a plochami krajinné i sídelní zeleně, veřejných prostranství a vybavenost</w:t>
      </w:r>
      <w:r w:rsidR="007E657C" w:rsidRPr="00111F34">
        <w:t>í</w:t>
      </w:r>
      <w:r w:rsidRPr="00111F34">
        <w:t>.</w:t>
      </w:r>
    </w:p>
    <w:p w14:paraId="55BA90D9" w14:textId="77777777" w:rsidR="007E657C" w:rsidRPr="00111F34" w:rsidRDefault="007E657C" w:rsidP="007E657C">
      <w:pPr>
        <w:rPr>
          <w:rFonts w:cs="Arial"/>
        </w:rPr>
      </w:pPr>
      <w:r w:rsidRPr="00111F34">
        <w:rPr>
          <w:rFonts w:cs="Arial"/>
        </w:rPr>
        <w:t>Návrh změny vytváří předpoklady realizace připravovaného komplexního rozvoje rezidenčních lokalit Nový Sedlec a Výhledy, stabilizace tramvajové trati a dopravního řešení v koordinaci s ostatními záměry v území. Cílem změny je vzájemně smysluplně provázat území Sedlce a Suchdola a propojit tuto lokalitu i s centrem Prahy.</w:t>
      </w:r>
    </w:p>
    <w:p w14:paraId="752F79C7" w14:textId="20B0E687" w:rsidR="008F0489" w:rsidRPr="00111F34" w:rsidRDefault="008F0489" w:rsidP="008F0489">
      <w:pPr>
        <w:rPr>
          <w:rFonts w:cs="Arial"/>
        </w:rPr>
      </w:pPr>
      <w:r w:rsidRPr="00111F34">
        <w:rPr>
          <w:rFonts w:cs="Arial"/>
        </w:rPr>
        <w:t xml:space="preserve">Řešené území na jihu navazuje na stávající tramvajovou smyčku v Podbabě a dále pokračuje Podbabskou a Roztockou ulicí až ke křižovatce s ulicí Kamýckou (dále lokalita </w:t>
      </w:r>
      <w:r w:rsidR="00C51945" w:rsidRPr="00111F34">
        <w:rPr>
          <w:rFonts w:cs="Arial"/>
        </w:rPr>
        <w:t>Podbaba – Kamýcká</w:t>
      </w:r>
      <w:r w:rsidRPr="00111F34">
        <w:rPr>
          <w:rFonts w:cs="Arial"/>
        </w:rPr>
        <w:t>). Zde se rozšiřuje a umožňuje návrh zástavby v okolí nové tramvajové trati. Jedná se o lokalitu zvanou Nový Sedlec – jednu ze dvou oblastí, kde se navrhuje nová zástavba. Jde o plochy vymezené ze severu Kamýckou ulicí, z východu železnicí, z jihu a jihovýchodu hranou Podbabských skal a Lysolajského údolí a na západě stávající zástavbou rodinných domů při ulici Nad Podbabskou skálou. Suchdolem prochází řešené území převážně v rozsahu Kamýcké ulice, kterou vede navrhovaná tramvajová trať (dále lokalita Kamýcká). Řešené území končí v oblasti nazvané Výhledy, kde se opět mírně rozšiřuje na dnes nezastavěné pozemky mezi Kamýckou ulicí a zástavbou Starého Suchdola. V oblasti Výhledů má končit nová tramvajová trať smyčkou.</w:t>
      </w:r>
    </w:p>
    <w:p w14:paraId="26C0A67E" w14:textId="77777777" w:rsidR="008F0489" w:rsidRPr="00111F34" w:rsidRDefault="008F0489" w:rsidP="008F0489">
      <w:pPr>
        <w:rPr>
          <w:rFonts w:cs="Arial"/>
        </w:rPr>
      </w:pPr>
      <w:r w:rsidRPr="00111F34">
        <w:rPr>
          <w:rFonts w:cs="Arial"/>
        </w:rPr>
        <w:t>Změna navrhuje zastavitelné plochy v rozsahu 133 083 m</w:t>
      </w:r>
      <w:r w:rsidRPr="00111F34">
        <w:rPr>
          <w:rFonts w:cs="Arial"/>
          <w:vertAlign w:val="superscript"/>
        </w:rPr>
        <w:t>2</w:t>
      </w:r>
      <w:r w:rsidRPr="00111F34">
        <w:rPr>
          <w:rFonts w:cs="Arial"/>
        </w:rPr>
        <w:t>. Oproti tomu návrh změny navrhuje plochy nezastavitelné a tímto ruší zastavitelné plochy v rozsahu 31 244 m</w:t>
      </w:r>
      <w:r w:rsidRPr="00111F34">
        <w:rPr>
          <w:rFonts w:cs="Arial"/>
          <w:vertAlign w:val="superscript"/>
        </w:rPr>
        <w:t>2</w:t>
      </w:r>
      <w:r w:rsidRPr="00111F34">
        <w:rPr>
          <w:rFonts w:cs="Arial"/>
        </w:rPr>
        <w:t>. Finálně je ve změně navrhován nárůst zastavitelných ploch v rozsahu 101 839 m</w:t>
      </w:r>
      <w:r w:rsidRPr="00111F34">
        <w:rPr>
          <w:rFonts w:cs="Arial"/>
          <w:vertAlign w:val="superscript"/>
        </w:rPr>
        <w:t>2</w:t>
      </w:r>
      <w:r w:rsidRPr="00111F34">
        <w:rPr>
          <w:rFonts w:cs="Arial"/>
        </w:rPr>
        <w:t>.</w:t>
      </w:r>
    </w:p>
    <w:p w14:paraId="15505DAD" w14:textId="77777777" w:rsidR="007E657C" w:rsidRPr="00111F34" w:rsidRDefault="007E657C" w:rsidP="007E657C">
      <w:pPr>
        <w:rPr>
          <w:rFonts w:cs="Arial"/>
        </w:rPr>
      </w:pPr>
      <w:r w:rsidRPr="00111F34">
        <w:rPr>
          <w:rFonts w:cs="Arial"/>
        </w:rPr>
        <w:t>V řešeném území je vymezena přírodní památka Podbabské skály, evropsky významná oblast (EVL) Kaňon Vltavy u Sedlce, celoměstský systém zeleně a územní systém ekologické stability (ÚSES).</w:t>
      </w:r>
    </w:p>
    <w:p w14:paraId="2E7D4C05" w14:textId="393D3F0E" w:rsidR="007E657C" w:rsidRPr="00111F34" w:rsidRDefault="007E657C" w:rsidP="007E657C">
      <w:pPr>
        <w:rPr>
          <w:rFonts w:cs="Arial"/>
        </w:rPr>
      </w:pPr>
      <w:r w:rsidRPr="00111F34">
        <w:rPr>
          <w:rFonts w:cs="Arial"/>
        </w:rPr>
        <w:t xml:space="preserve">Řešené území zahrnuje oblast tzv. Nového Sedlce a Výhledů, okrajové části MČ </w:t>
      </w:r>
      <w:r w:rsidR="00C51945" w:rsidRPr="00111F34">
        <w:rPr>
          <w:rFonts w:cs="Arial"/>
        </w:rPr>
        <w:t>Praha – Suchdol</w:t>
      </w:r>
      <w:r w:rsidRPr="00111F34">
        <w:rPr>
          <w:rFonts w:cs="Arial"/>
        </w:rPr>
        <w:t>. Obě tyto oblasti jsou vzájemně provázány Kamýckou ulicí, kterou je plánováno vedení budoucí tramvajové trati z Podbaby do Suchdola. Území řešené změnou lze rozdělit na lokality Podbabská, Nový Sedlec, Kamýcká a Výhledy.</w:t>
      </w:r>
    </w:p>
    <w:p w14:paraId="47BFEAF7" w14:textId="77777777" w:rsidR="008F0489" w:rsidRPr="00111F34" w:rsidRDefault="008F0489" w:rsidP="008F0489">
      <w:pPr>
        <w:rPr>
          <w:rFonts w:cs="Arial"/>
        </w:rPr>
      </w:pPr>
      <w:r w:rsidRPr="00111F34">
        <w:rPr>
          <w:rFonts w:cs="Arial"/>
        </w:rPr>
        <w:t xml:space="preserve">Z věcného hlediska jsou navrhovány tyto základní typy změn: </w:t>
      </w:r>
    </w:p>
    <w:p w14:paraId="41F7C344" w14:textId="77777777" w:rsidR="004F3948" w:rsidRPr="004F3948" w:rsidRDefault="004F3948" w:rsidP="004F3948">
      <w:pPr>
        <w:rPr>
          <w:rFonts w:cs="Arial"/>
        </w:rPr>
      </w:pPr>
      <w:r w:rsidRPr="004F3948">
        <w:rPr>
          <w:rFonts w:cs="Arial"/>
        </w:rPr>
        <w:t>Úsek z Podbaby po křižovatku Roztocká x Kamýcká:</w:t>
      </w:r>
    </w:p>
    <w:p w14:paraId="590AD1A8" w14:textId="77777777" w:rsidR="004F3948" w:rsidRPr="004F3948" w:rsidRDefault="004F3948" w:rsidP="004F3948">
      <w:pPr>
        <w:rPr>
          <w:rFonts w:cs="Arial"/>
        </w:rPr>
      </w:pPr>
      <w:r w:rsidRPr="004F3948">
        <w:rPr>
          <w:rFonts w:cs="Arial"/>
        </w:rPr>
        <w:t>V této části Podbabské ulice vymezené tělesem železniční trati Praha – Děčín a řekou dochází k rozšíření stávající plochy sběrné komunikace městského významu /S2/ a plochy tratě a zařízení železniční dopravy, vlečky a nákladové terminály /DZ/ z důvodu realizace tramvajové trati. Zarovnáním plochy /DZ/ zde vzniká plocha nerušící výroby a služeb /VN/, která je logicky přiřazena ke stávající ploše stejného využití. Měněné plochy se nacházejí v záplavovém území Vltavy Q2002, konkrétně v aktivní, průtočné a neprůtočné zóně, které je potřeba respektovat. V těchto místech byla upravena hranice nerozvojového území tak, aby korespondovala s hranicemi celé plochy /VN/.</w:t>
      </w:r>
    </w:p>
    <w:p w14:paraId="0F19FE97" w14:textId="77777777" w:rsidR="004F3948" w:rsidRPr="004F3948" w:rsidRDefault="004F3948" w:rsidP="004F3948">
      <w:pPr>
        <w:rPr>
          <w:rFonts w:cs="Arial"/>
        </w:rPr>
      </w:pPr>
      <w:r w:rsidRPr="004F3948">
        <w:rPr>
          <w:rFonts w:cs="Arial"/>
        </w:rPr>
        <w:t>Nový Sedlec:</w:t>
      </w:r>
    </w:p>
    <w:p w14:paraId="73489130" w14:textId="77777777" w:rsidR="004F3948" w:rsidRPr="004F3948" w:rsidRDefault="004F3948" w:rsidP="004F3948">
      <w:pPr>
        <w:rPr>
          <w:rFonts w:cs="Arial"/>
        </w:rPr>
      </w:pPr>
      <w:r w:rsidRPr="004F3948">
        <w:rPr>
          <w:rFonts w:cs="Arial"/>
        </w:rPr>
        <w:t>Oblast Nového Sedlce, dnes zčásti využívaná jako deponie stavebního materiálu, zčásti sloužící pro různorodé služby a výrobu, je od zástavby převážně vesnického typu, která tvoří velkou část stávající obytné zástavby Sedlce, oddělena Kamýckou ulicí a strukturálně na ni nenavazuje.</w:t>
      </w:r>
    </w:p>
    <w:p w14:paraId="41F6D054" w14:textId="77777777" w:rsidR="004F3948" w:rsidRPr="004F3948" w:rsidRDefault="004F3948" w:rsidP="004F3948">
      <w:pPr>
        <w:rPr>
          <w:rFonts w:cs="Arial"/>
        </w:rPr>
      </w:pPr>
      <w:r w:rsidRPr="004F3948">
        <w:rPr>
          <w:rFonts w:cs="Arial"/>
        </w:rPr>
        <w:t>Rozvoj lokality zčásti zahrnuje transformaci brownfieldu a dle urbanistické studie je zde navržena svébytná enkláva zástavby převážně městského typu, představující obytnou čtvrť s potřebnou občanskou vybaveností, kterou reprezentují plochy s rozdílným způsobem využití všeobecně smíšené /SV/, všeobecně obytné /OV/ a pro individuální bydlení čistě obytné /OB/. Intenzita zástavby směrem k přírodním okrajům území postupně klesá (navržený kód míry využití území C–G). Navazuje na již zastavěné území obdobného charakteru při ulici K vinici a Nad Podbabskou skálou.</w:t>
      </w:r>
    </w:p>
    <w:p w14:paraId="34A303F4" w14:textId="77777777" w:rsidR="004F3948" w:rsidRPr="004F3948" w:rsidRDefault="004F3948" w:rsidP="004F3948">
      <w:pPr>
        <w:rPr>
          <w:rFonts w:cs="Arial"/>
        </w:rPr>
      </w:pPr>
      <w:r w:rsidRPr="004F3948">
        <w:rPr>
          <w:rFonts w:cs="Arial"/>
        </w:rPr>
        <w:t xml:space="preserve">Do této lokality jsou také umístěny plochy veřejného vybavení /VV/ sloužící jako rezerva pro základní a střední školy. Plocha pro mateřské školy, kulturní a komunitní centra, lékařskou vybavenost a poštu je vymezena plovoucí značkou /VV/ v ploše /OB-F/. Do plochy /SV-F/ se vkládá pevná značka /VV/ pro mateřskou školu. </w:t>
      </w:r>
      <w:r w:rsidRPr="004F3948">
        <w:rPr>
          <w:rFonts w:cs="Arial"/>
        </w:rPr>
        <w:lastRenderedPageBreak/>
        <w:t xml:space="preserve">Rozvojové plochy protíná hlavní severojižní urbanistická osa definovaná plochou urbanisticky významné plochy a dopravní spojení, veřejná prostranství /DU/. Od východu na západ probíhá oblouk tramvajové trati, jejíž trasa je rozvinuta územím tak, aby překonala výškový rozdíl ve stoupání směrem k Suchdolu. Je navržena jako plochy a zařízení hromadné dopravy osob, parkoviště P+R /DH/. Jižně od ní je pro využití stávající střelnice v ploše /SV-E/ vložena plovoucí značka sportu /SP/. </w:t>
      </w:r>
    </w:p>
    <w:p w14:paraId="6CDB6E85" w14:textId="77777777" w:rsidR="004F3948" w:rsidRPr="004F3948" w:rsidRDefault="004F3948" w:rsidP="004F3948">
      <w:pPr>
        <w:rPr>
          <w:rFonts w:cs="Arial"/>
        </w:rPr>
      </w:pPr>
      <w:r w:rsidRPr="004F3948">
        <w:rPr>
          <w:rFonts w:cs="Arial"/>
        </w:rPr>
        <w:t>Území je strukturováno v příčném směru veřejnými prostranstvími, tvořenými hlavním náměstím v ploše /DU/ ve směru sever–jih a zelenou osou území ve směru severozápad–jihovýchod, kterou tvoří městský park ve využití zeleň městská a krajinná /ZMK/, navazující ze severu na plochu náměstí při tramvajové trati (plocha /DU/) a z jihu na rekreační sad (využití pro sady, zahrady a vinice /PS/). Ve vazbě na tuto plochu probíhá po jižním okraji zastavitelná plocha pro veřejné vybavení /VV/ a společně s plochou pro částečně urbanizované rekreační plochy a zvláštní rekreační aktivity a naučné a poznávací aktivity /SO5,6/ vytváří jižní okraj urbanizovaného území. Na něj navazuje vymezená plocha zeleň městská a krajinná /ZMK/, která tvoří přechod mezi navrhovanou urbánní strukturou Nového Sedlce a přírodním parkem Šárka – Lysolaje.</w:t>
      </w:r>
    </w:p>
    <w:p w14:paraId="392BDE13" w14:textId="77777777" w:rsidR="004F3948" w:rsidRPr="004F3948" w:rsidRDefault="004F3948" w:rsidP="004F3948">
      <w:pPr>
        <w:rPr>
          <w:rFonts w:cs="Arial"/>
        </w:rPr>
      </w:pPr>
      <w:r w:rsidRPr="004F3948">
        <w:rPr>
          <w:rFonts w:cs="Arial"/>
        </w:rPr>
        <w:t>Kamýcká:</w:t>
      </w:r>
    </w:p>
    <w:p w14:paraId="62F35F2F" w14:textId="77777777" w:rsidR="004F3948" w:rsidRPr="004F3948" w:rsidRDefault="004F3948" w:rsidP="004F3948">
      <w:pPr>
        <w:rPr>
          <w:rFonts w:cs="Arial"/>
        </w:rPr>
      </w:pPr>
      <w:r w:rsidRPr="004F3948">
        <w:rPr>
          <w:rFonts w:cs="Arial"/>
        </w:rPr>
        <w:t xml:space="preserve">Při výjezdu z území Nového Sedlce vede tramvajová trať v nově navržené ploše /DU/ rozšířením ulice Kamýcké k Brandejsovu náměstí, kde je uvnitř kruhové křižovatky rovněž navržena plocha /DU/. V návaznosti na podrobnější dopravně – inženýrské prověření křižovatky přivaděče Rybářka s upravenou ulicí Kamýckou je navrženo přesunutí aktuální plochy sběrné komunikace městského významu /S2/ východním směrem a doplnění plochy /SV-B/ v návaznosti na sousední stávající vymezenou ploch s rozdílným způsobem využití /SV-B/. </w:t>
      </w:r>
    </w:p>
    <w:p w14:paraId="2D977793" w14:textId="77777777" w:rsidR="004F3948" w:rsidRPr="004F3948" w:rsidRDefault="004F3948" w:rsidP="004F3948">
      <w:pPr>
        <w:rPr>
          <w:rFonts w:cs="Arial"/>
        </w:rPr>
      </w:pPr>
      <w:r w:rsidRPr="004F3948">
        <w:rPr>
          <w:rFonts w:cs="Arial"/>
        </w:rPr>
        <w:t>Jižně od ulice Kamýcké je ve funkční ploše /OV/ navýšena míra využití území z kódu B na C a v návaznosti na ni je navržena plocha stejného využití /OV-D/. Obě plochy budou využity jak plochy pro bydlení, tak i pro další funkce sloužící pro obsluhu obyvatel v příznivé poloze ulice Kamýcké.</w:t>
      </w:r>
    </w:p>
    <w:p w14:paraId="26D312A7" w14:textId="77777777" w:rsidR="004F3948" w:rsidRPr="004F3948" w:rsidRDefault="004F3948" w:rsidP="004F3948">
      <w:pPr>
        <w:rPr>
          <w:rFonts w:cs="Arial"/>
        </w:rPr>
      </w:pPr>
      <w:r w:rsidRPr="004F3948">
        <w:rPr>
          <w:rFonts w:cs="Arial"/>
        </w:rPr>
        <w:t>Výhledy:</w:t>
      </w:r>
    </w:p>
    <w:p w14:paraId="0A7F58C1" w14:textId="77777777" w:rsidR="004F3948" w:rsidRPr="004F3948" w:rsidRDefault="004F3948" w:rsidP="004F3948">
      <w:pPr>
        <w:rPr>
          <w:rFonts w:cs="Arial"/>
        </w:rPr>
      </w:pPr>
      <w:r w:rsidRPr="004F3948">
        <w:rPr>
          <w:rFonts w:cs="Arial"/>
        </w:rPr>
        <w:t>Oblast Výhledů je momentálně nezastavěnou prolukou v rámci struktury městské části Praha – Suchdol, která bude do značné míry ovlivněna trasováním Pražského okruhu. Zpracovaný návrh změny si klade za cíl dotvořit okolí plánované tramvajové trati. Využití plánované zástavby je reprezentováno plochami s rozdílným způsobem využití /SV/ a /OV/ s méně kapacitní zástavbou – kódy míry využití území C–</w:t>
      </w:r>
      <w:r w:rsidRPr="004F3948">
        <w:rPr>
          <w:rFonts w:ascii="Tahoma" w:hAnsi="Tahoma" w:cs="Tahoma"/>
        </w:rPr>
        <w:t>⁠</w:t>
      </w:r>
      <w:r w:rsidRPr="004F3948">
        <w:rPr>
          <w:rFonts w:cs="Arial"/>
        </w:rPr>
        <w:t>F. Řešené území navazuje západním směrem na historické jádro původní obce Suchdol, tvořené vesnickou zástavbou s dominantou Brandejsova statku; míra využití území směrem k historické zástavbě se snižuje.</w:t>
      </w:r>
    </w:p>
    <w:p w14:paraId="527C8D8C" w14:textId="77777777" w:rsidR="004F3948" w:rsidRPr="004F3948" w:rsidRDefault="004F3948" w:rsidP="004F3948">
      <w:pPr>
        <w:rPr>
          <w:rFonts w:cs="Arial"/>
        </w:rPr>
      </w:pPr>
      <w:r w:rsidRPr="004F3948">
        <w:rPr>
          <w:rFonts w:cs="Arial"/>
        </w:rPr>
        <w:t>V lokalitě je navržen park, tvořený plochami louky a pastviny /NL/, zeleň městská</w:t>
      </w:r>
    </w:p>
    <w:p w14:paraId="0F4F1EDC" w14:textId="77777777" w:rsidR="004F3948" w:rsidRPr="004F3948" w:rsidRDefault="004F3948" w:rsidP="004F3948">
      <w:pPr>
        <w:rPr>
          <w:rFonts w:cs="Arial"/>
        </w:rPr>
      </w:pPr>
      <w:r w:rsidRPr="004F3948">
        <w:rPr>
          <w:rFonts w:cs="Arial"/>
        </w:rPr>
        <w:t xml:space="preserve">a krajinná /ZMK/ a plochou izolační zeleň /IZ/, který je jednou z rekreačních ploch území Na Výhledech. Jeho vymezení je do velké míry dáno vedením přeložek nadřazených inženýrských sítí. Spolu s parkem, který je tvořen pásem vymezeným pro trasování tunelu Pražského okruhu, vytváří zelené propojení Suchdola s plochami okolní krajiny. </w:t>
      </w:r>
    </w:p>
    <w:p w14:paraId="695FA015" w14:textId="77777777" w:rsidR="004F3948" w:rsidRPr="004F3948" w:rsidRDefault="004F3948" w:rsidP="004F3948">
      <w:pPr>
        <w:rPr>
          <w:rFonts w:cs="Arial"/>
        </w:rPr>
      </w:pPr>
      <w:r w:rsidRPr="004F3948">
        <w:rPr>
          <w:rFonts w:cs="Arial"/>
        </w:rPr>
        <w:t>Tramvajová trať vede v ploše /DU/ a v ploše /DH/ končí smyčkou při severozápadní hraně oblasti Výhledy.</w:t>
      </w:r>
    </w:p>
    <w:p w14:paraId="3E664247" w14:textId="77777777" w:rsidR="004F3948" w:rsidRDefault="004F3948" w:rsidP="004F3948">
      <w:pPr>
        <w:rPr>
          <w:rFonts w:cs="Arial"/>
        </w:rPr>
      </w:pPr>
      <w:r w:rsidRPr="004F3948">
        <w:rPr>
          <w:rFonts w:cs="Arial"/>
        </w:rPr>
        <w:t>V ploše /IZ/ je umístěna pevná značka /DH/ pro realizací parkoviště v systému P+R.</w:t>
      </w:r>
    </w:p>
    <w:p w14:paraId="29F7A4D5" w14:textId="7B3604BF" w:rsidR="003D1271" w:rsidRPr="00111F34" w:rsidRDefault="00B23CD6" w:rsidP="008F0489">
      <w:r w:rsidRPr="00111F34">
        <w:t xml:space="preserve">Zde posuzovaná změna </w:t>
      </w:r>
      <w:r w:rsidR="003D1271" w:rsidRPr="00111F34">
        <w:t xml:space="preserve">řeší detaily dílčích navrhovaných změn využití území a </w:t>
      </w:r>
      <w:r w:rsidRPr="00111F34">
        <w:t>má</w:t>
      </w:r>
      <w:r w:rsidR="003D1271" w:rsidRPr="00111F34">
        <w:t xml:space="preserve"> tak dopady omezeně do bezprostředního okolí řešených ploch. Nejedná se o systémov</w:t>
      </w:r>
      <w:r w:rsidRPr="00111F34">
        <w:t>ou</w:t>
      </w:r>
      <w:r w:rsidR="003D1271" w:rsidRPr="00111F34">
        <w:t xml:space="preserve"> změn</w:t>
      </w:r>
      <w:r w:rsidRPr="00111F34">
        <w:t>u</w:t>
      </w:r>
      <w:r w:rsidR="003D1271" w:rsidRPr="00111F34">
        <w:t>, kter</w:t>
      </w:r>
      <w:r w:rsidRPr="00111F34">
        <w:t>á</w:t>
      </w:r>
      <w:r w:rsidR="003D1271" w:rsidRPr="00111F34">
        <w:t xml:space="preserve"> by měl</w:t>
      </w:r>
      <w:r w:rsidRPr="00111F34">
        <w:t>a</w:t>
      </w:r>
      <w:r w:rsidR="003D1271" w:rsidRPr="00111F34">
        <w:t xml:space="preserve"> vliv na koncepční řešení územního plánu</w:t>
      </w:r>
      <w:r w:rsidR="009434B2" w:rsidRPr="00111F34">
        <w:t xml:space="preserve"> jako celku</w:t>
      </w:r>
      <w:r w:rsidR="003D1271" w:rsidRPr="00111F34">
        <w:t xml:space="preserve">. </w:t>
      </w:r>
    </w:p>
    <w:p w14:paraId="06D3A89D" w14:textId="77777777" w:rsidR="0030273F" w:rsidRPr="00111F34" w:rsidRDefault="0030273F" w:rsidP="0030273F">
      <w:pPr>
        <w:pStyle w:val="Podnadpis1"/>
        <w:rPr>
          <w:u w:val="single"/>
        </w:rPr>
      </w:pPr>
      <w:r w:rsidRPr="00111F34">
        <w:rPr>
          <w:u w:val="single"/>
        </w:rPr>
        <w:t>Obsah dokumentace:</w:t>
      </w:r>
    </w:p>
    <w:p w14:paraId="00F850E7" w14:textId="418DBCD7" w:rsidR="0030273F" w:rsidRPr="00111F34" w:rsidRDefault="0030273F" w:rsidP="0030273F">
      <w:r w:rsidRPr="00111F34">
        <w:t xml:space="preserve">V úvodní kapitole je stručně charakterizován důvod, předmět a způsob posouzení. V kapitole A.I je podrobně popsán předmět a cíle posuzovaného dokumentu včetně územních souvislostí a charakterizován vztah posuzované ÚPD k ostatním strategickým dokumentům na různých hierarchických úrovních, od dokumentů mezinárodních po koncepce na úrovni města. Následně jsou v kapitole A.II vybrány ty cíle ochrany životního prostředí, přijaté v relevantních strategických dokumentech, jejichž splnění lze dosáhnout nebo k jejichž dosažení lze přispět nástroji územního plánování použitými v rámci návrhu předkládané ÚPD a zároveň zhodnocení vztahu předmětné koncepce k těmto cílům. Údaje o současném stavu a vývoji životního prostředí v dotčeném území jsou podrobně charakterizovány v kapitole A.III., vývoj životního prostředí bez provedení koncepce je popsán v kapitole A.III.12. V kapitole A.IV. jsou identifikovány skutečnosti z hlediska sledovaných témat životního prostředí a veřejného zdraví, které by mohly být významně ovlivněny v důsledku uplatnění koncepce, včetně identifikace a prostorové analýzy možných kumulativních a synergických vlivů. Vlivy </w:t>
      </w:r>
      <w:r w:rsidRPr="00111F34">
        <w:lastRenderedPageBreak/>
        <w:t xml:space="preserve">předkládané koncepce jsou vyhodnoceny v kapitole A.VI. a shrnuty dle jednotlivých sledovaných složek životního prostředí v kapitole A.VII. Následně jsou navržena opatření pro kompenzaci a předcházení negativním vlivům v kapitole A.VIII. V kapitole A.IX je zhodnocen způsob zapracování relevantních cílů v oblasti ochrany životního prostředí a veřejného zdraví přijatých strategickými dokumenty s vazbou na posuzovanou </w:t>
      </w:r>
      <w:r w:rsidRPr="00111F34">
        <w:rPr>
          <w:rFonts w:eastAsia="Times New Roman" w:cs="Arial"/>
          <w:color w:val="000000"/>
          <w:szCs w:val="20"/>
          <w:lang w:eastAsia="cs-CZ"/>
        </w:rPr>
        <w:t xml:space="preserve">Posuzované ÚPD. </w:t>
      </w:r>
      <w:r w:rsidRPr="00111F34">
        <w:t>V kapitole A.X. jsou navrženy indikátory pro monitoring a sledování vlivů uplatňování koncepce v oblastech, které mohou být uplatněním dokumentu ovlivněny.  Minimalizační opatření, která je možné uplatnit v navazujících řízeních jsou dále uvedena v kapitole A.XI.</w:t>
      </w:r>
    </w:p>
    <w:p w14:paraId="6986A376" w14:textId="515CC7BD" w:rsidR="009C5210" w:rsidRPr="00111F34" w:rsidRDefault="009C5210" w:rsidP="009C5210">
      <w:pPr>
        <w:rPr>
          <w:b/>
          <w:bCs/>
          <w:i/>
          <w:iCs/>
          <w:u w:val="single"/>
        </w:rPr>
      </w:pPr>
      <w:r w:rsidRPr="00111F34">
        <w:rPr>
          <w:b/>
          <w:bCs/>
          <w:i/>
          <w:iCs/>
          <w:u w:val="single"/>
        </w:rPr>
        <w:t>Stručné shrnutí identifikovaných vlivů na sledované složky a témata životního prostředí a veřejného zdraví</w:t>
      </w:r>
      <w:r w:rsidR="00390D9F" w:rsidRPr="00111F34">
        <w:rPr>
          <w:b/>
          <w:bCs/>
          <w:i/>
          <w:iCs/>
          <w:u w:val="single"/>
        </w:rPr>
        <w:t xml:space="preserve"> včetně vlivů kumulativních, resp. synergických</w:t>
      </w:r>
      <w:r w:rsidRPr="00111F34">
        <w:rPr>
          <w:b/>
          <w:bCs/>
          <w:i/>
          <w:iCs/>
          <w:u w:val="single"/>
        </w:rPr>
        <w:t>:</w:t>
      </w:r>
    </w:p>
    <w:p w14:paraId="6D39CC71" w14:textId="77777777" w:rsidR="009C5210" w:rsidRPr="00111F34" w:rsidRDefault="009C5210" w:rsidP="009C5210">
      <w:r w:rsidRPr="00111F34">
        <w:t xml:space="preserve">Níže uvádíme základní závěry, ke kterým dospěl zpracovatelský tým z hlediska vlivů předkládané ÚPD na životní prostředí: </w:t>
      </w:r>
    </w:p>
    <w:p w14:paraId="0B2E7B18" w14:textId="77777777" w:rsidR="002D6A11" w:rsidRPr="00111F34" w:rsidRDefault="002D6A11" w:rsidP="002D6A11">
      <w:pPr>
        <w:pStyle w:val="Podnadpis1"/>
      </w:pPr>
      <w:r w:rsidRPr="00111F34">
        <w:t xml:space="preserve">Pozitivní vlivy: </w:t>
      </w:r>
    </w:p>
    <w:p w14:paraId="72C9B6DB" w14:textId="438CA4A8" w:rsidR="002D6A11" w:rsidRPr="00111F34" w:rsidRDefault="002D6A11" w:rsidP="002D6A11">
      <w:r w:rsidRPr="00111F34">
        <w:t>•</w:t>
      </w:r>
      <w:r w:rsidR="00390D9F" w:rsidRPr="00111F34">
        <w:t xml:space="preserve"> </w:t>
      </w:r>
      <w:r w:rsidRPr="00111F34">
        <w:t xml:space="preserve">Obyvatelstvo a veřejné zdraví: </w:t>
      </w:r>
    </w:p>
    <w:p w14:paraId="36302DA8" w14:textId="77777777" w:rsidR="00E77F01" w:rsidRPr="00111F34" w:rsidRDefault="00E77F01" w:rsidP="002D6A11">
      <w:r w:rsidRPr="00111F34">
        <w:t>Významně pozitivní vliv díky transformaci jádrového území s využitím pro kvalitní bydlení, pracovní příležitosti i občanskou a komerční vybavenost, včetně veřejných prostranství a zeleně, a tím i ke zvýšení kvality života obyvatel i uživatelů Nového Sedlce i Výhledů se synergickým spolupůsobením ostatních strategických rozhodnutí v souvisejícím území, zejména z hlediska přerozdělení dopravních zátěží v souvislosti s dobudování dopravního systému nadmístního významu, obsluhy kapacitní VHD a záchytným parkovištěm v oblasti Výhledů. Vytvoření územních předpokladů pro vytvoření kvalitní rezidenční zástavby s unikátní polohou v rámci města i dopravní obslužností a s občanskou vybaveností v podobě školských zařízení a možností rekreace v přírodním prostředí.</w:t>
      </w:r>
    </w:p>
    <w:p w14:paraId="1DA6FCC2" w14:textId="57138A7F" w:rsidR="002D6A11" w:rsidRPr="00111F34" w:rsidRDefault="002D6A11" w:rsidP="002D6A11">
      <w:r w:rsidRPr="00111F34">
        <w:t xml:space="preserve">• </w:t>
      </w:r>
      <w:r w:rsidR="00E77F01" w:rsidRPr="00111F34">
        <w:t>Ovzduší a klima</w:t>
      </w:r>
      <w:r w:rsidRPr="00111F34">
        <w:t xml:space="preserve">: </w:t>
      </w:r>
    </w:p>
    <w:p w14:paraId="34BB904E" w14:textId="77777777" w:rsidR="00E77F01" w:rsidRPr="00111F34" w:rsidRDefault="00E77F01" w:rsidP="002D6A11">
      <w:r w:rsidRPr="00111F34">
        <w:t>Potenciálně mírně pozitivní vliv na přerozdělení dopravních zátěží ve prospěch bezemisní kapacitní VHD, a tím i snížení intenzit IAD směřujících do města s místním (z hlediska obsluhy vymezených ploch) a nadmístním významem (s přesahem i do zázemí aglomerace v kontextu parkoviště P+R a SOKP) a synergickým spolupůsobením s nadmístním významem v kontextu souvisejících připravovaných staveb SOKP.</w:t>
      </w:r>
    </w:p>
    <w:p w14:paraId="71FCA39D" w14:textId="1A9BDCCD" w:rsidR="002D6A11" w:rsidRPr="00111F34" w:rsidRDefault="002D6A11" w:rsidP="002D6A11">
      <w:r w:rsidRPr="00111F34">
        <w:t xml:space="preserve">• Hluková zátěž: </w:t>
      </w:r>
    </w:p>
    <w:p w14:paraId="405A5DA3" w14:textId="4525DA56" w:rsidR="002D6A11" w:rsidRPr="00111F34" w:rsidRDefault="002D6A11" w:rsidP="002D6A11">
      <w:r w:rsidRPr="00111F34">
        <w:t>Zprostředkovaně potenciálně mírně pozitivní</w:t>
      </w:r>
      <w:r w:rsidR="009434B2" w:rsidRPr="00111F34">
        <w:t xml:space="preserve"> až marginální</w:t>
      </w:r>
      <w:r w:rsidRPr="00111F34">
        <w:t xml:space="preserve"> vliv s mírně pozitivním synergickým spolupůsobením v širším kontextu z hlediska optimalizace dopravního systému jako celku a přerozdělení dopravních zátěží, a s nimi spojených externalit ve prospěch bezemisní veřejné hromadné dopravy ve vazbě na ostatní strategická rozhodnutí v území. </w:t>
      </w:r>
    </w:p>
    <w:p w14:paraId="00F3201F" w14:textId="77777777" w:rsidR="002D6A11" w:rsidRPr="00111F34" w:rsidRDefault="002D6A11" w:rsidP="002D6A11">
      <w:r w:rsidRPr="00111F34">
        <w:t xml:space="preserve">• Sídla, urbanizace: </w:t>
      </w:r>
    </w:p>
    <w:p w14:paraId="4318BDD3" w14:textId="77777777" w:rsidR="00E77F01" w:rsidRPr="00111F34" w:rsidRDefault="00E77F01" w:rsidP="002D6A11">
      <w:r w:rsidRPr="00111F34">
        <w:t>Významně pozitivní působení v důsledku zintenzivnění využití vnitřního města a transformace průmyslových ploch na plochy rezidenční jako prevence suburbanizace se synergickým spolupůsobením z hlediska přerozdělení dopravních zátěží ve prospěch VHD, zlepšení dopravní obslužnosti a vybavení území nadřazenou dopravní infrastrukturou s nadmístním významem a přesahem do širšího území.</w:t>
      </w:r>
    </w:p>
    <w:p w14:paraId="22774BE9" w14:textId="2FBEBB00" w:rsidR="002D6A11" w:rsidRPr="00111F34" w:rsidRDefault="002D6A11" w:rsidP="002D6A11">
      <w:r w:rsidRPr="00111F34">
        <w:t xml:space="preserve">• Krajinný ráz: </w:t>
      </w:r>
    </w:p>
    <w:p w14:paraId="68F0B761" w14:textId="77777777" w:rsidR="00E77F01" w:rsidRPr="00111F34" w:rsidRDefault="00E77F01" w:rsidP="002D6A11">
      <w:pPr>
        <w:pStyle w:val="Podnadpis1"/>
        <w:rPr>
          <w:rFonts w:eastAsia="Arial"/>
          <w:b w:val="0"/>
          <w:i w:val="0"/>
          <w:snapToGrid/>
          <w:color w:val="auto"/>
          <w:szCs w:val="22"/>
          <w:lang w:eastAsia="en-US"/>
        </w:rPr>
      </w:pPr>
      <w:r w:rsidRPr="00111F34">
        <w:rPr>
          <w:rFonts w:eastAsia="Arial"/>
          <w:b w:val="0"/>
          <w:i w:val="0"/>
          <w:snapToGrid/>
          <w:color w:val="auto"/>
          <w:szCs w:val="22"/>
          <w:lang w:eastAsia="en-US"/>
        </w:rPr>
        <w:t xml:space="preserve">Dojde k vytvoření územních předpokladů pro transformaci brownfields a území s dlouhodobě blokovaným rozvojem s předpokládaně spíše pozitivním vlivem na krajinný ráz na úrovni územního plánu s místním dopadem. Zda bude v realizační fázi vliv spíše mírně pozitivní nebo mírně negativní závisí na konečné volbě umisťovaných projektů. Lze očekávat spíše pozitivní spolupůsobení v kontextu ostatních souvisejících projektů a strategických rozhodnutí v řešeném území. </w:t>
      </w:r>
    </w:p>
    <w:p w14:paraId="4E56B3C5" w14:textId="24129BFC" w:rsidR="00E77F01" w:rsidRPr="00111F34" w:rsidRDefault="002D6A11" w:rsidP="00E77F01">
      <w:pPr>
        <w:pStyle w:val="Podnadpis1"/>
      </w:pPr>
      <w:r w:rsidRPr="00111F34">
        <w:t>Negativní vlivy:</w:t>
      </w:r>
    </w:p>
    <w:p w14:paraId="32DA6F05" w14:textId="4F557AE3" w:rsidR="00E77F01" w:rsidRPr="00111F34" w:rsidRDefault="00E77F01" w:rsidP="00E77F01">
      <w:pPr>
        <w:pStyle w:val="Odstavecseseznamem"/>
        <w:numPr>
          <w:ilvl w:val="0"/>
          <w:numId w:val="46"/>
        </w:numPr>
        <w:rPr>
          <w:lang w:eastAsia="cs-CZ"/>
        </w:rPr>
      </w:pPr>
      <w:r w:rsidRPr="00111F34">
        <w:rPr>
          <w:lang w:eastAsia="cs-CZ"/>
        </w:rPr>
        <w:t>Fauna, flóra, biodiverzita, ochrana přírody a krajiny</w:t>
      </w:r>
    </w:p>
    <w:p w14:paraId="5B0B5477" w14:textId="64776F1F" w:rsidR="00E77F01" w:rsidRPr="00111F34" w:rsidRDefault="00E77F01" w:rsidP="00E77F01">
      <w:pPr>
        <w:rPr>
          <w:lang w:eastAsia="cs-CZ"/>
        </w:rPr>
      </w:pPr>
      <w:r w:rsidRPr="00111F34">
        <w:rPr>
          <w:lang w:eastAsia="cs-CZ"/>
        </w:rPr>
        <w:t>K přímým střetům s chráněnými územími nedojde, potenciál zvýšení návštěvnosti horní partie Podbabských skal v důsledku zlepšení přístupnosti území. Potenciální vlivy realizace tramvajové trati i zástavby v návrhových plochách na stávající vzrostlou zeleň, především podél ulice Kamýcká a v náletových porostů v oblasti Nového Suchdola.</w:t>
      </w:r>
    </w:p>
    <w:p w14:paraId="11ED2B6F" w14:textId="77777777" w:rsidR="002D6A11" w:rsidRPr="00111F34" w:rsidRDefault="002D6A11" w:rsidP="00760A82">
      <w:pPr>
        <w:keepNext/>
      </w:pPr>
      <w:r w:rsidRPr="00111F34">
        <w:lastRenderedPageBreak/>
        <w:t xml:space="preserve">• Půda a horninové prostředí: </w:t>
      </w:r>
    </w:p>
    <w:p w14:paraId="52AA0ED3" w14:textId="77777777" w:rsidR="00E77F01" w:rsidRPr="00111F34" w:rsidRDefault="00E77F01" w:rsidP="002D6A11">
      <w:r w:rsidRPr="00111F34">
        <w:t>Mírně negativní vliv s místním dopadem a dočasným působením v důsledku zásahu do geologických struktur ve střetu s územím potenciálních ekologických zátěží a svahových pohybů. Mimo podrobnost územního plánu, je třeba řešit na úrovni projektové přípravy staveb. Mírně až významně negativní potenciální vliv na půdy z důvodu generovaného záboru, k novým záborům půdy nedochází, změna přeskupuje a znovu prověřuje plochy již určené k zastavění v platném ÚP.</w:t>
      </w:r>
    </w:p>
    <w:p w14:paraId="112AA55B" w14:textId="24685C4F" w:rsidR="002D6A11" w:rsidRPr="00111F34" w:rsidRDefault="002D6A11" w:rsidP="002D6A11">
      <w:r w:rsidRPr="00111F34">
        <w:t xml:space="preserve">• Voda: </w:t>
      </w:r>
    </w:p>
    <w:p w14:paraId="6BF17964" w14:textId="77777777" w:rsidR="002D6A11" w:rsidRPr="00111F34" w:rsidRDefault="002D6A11" w:rsidP="002D6A11">
      <w:r w:rsidRPr="00111F34">
        <w:t xml:space="preserve">Mírně negativní vliv s místním dopadem a dočasným působením v důsledku vytvoření územních předpokladů pro větší zastavěnost území. </w:t>
      </w:r>
    </w:p>
    <w:p w14:paraId="4AE3651D" w14:textId="77777777" w:rsidR="002D6A11" w:rsidRPr="00111F34" w:rsidRDefault="002D6A11" w:rsidP="00BD7256">
      <w:pPr>
        <w:keepNext/>
      </w:pPr>
      <w:r w:rsidRPr="00111F34">
        <w:t xml:space="preserve">• Klima: </w:t>
      </w:r>
    </w:p>
    <w:p w14:paraId="5FDAF57A" w14:textId="35BC7286" w:rsidR="002D6A11" w:rsidRPr="00111F34" w:rsidRDefault="002D6A11" w:rsidP="002D6A11">
      <w:r w:rsidRPr="00111F34">
        <w:t xml:space="preserve">Marginální až mírně negativní vliv z hlediska působení tepelného ostrova města. Vliv na retenční schopnost území, bude mírně negativní na úrovni navazujících řízení, mírně negativní až marginální z hlediska posuzované ÚPD. </w:t>
      </w:r>
      <w:r w:rsidR="00103499" w:rsidRPr="00111F34">
        <w:t>Z hlediska mikroklimatu, lze především v oblasti Výhledů očekávat mírné zvýšení teplot povrchů v důsledku zastavění dosud volných ploch využívaných k intenzivní zemědělské výrobě. V prostoru Nového Suchdola naopak dojde ke stabilizaci území a vytvoření smíšené zástavby s nízkou intenzitou a ploch zeleně na místě stávajících ploch využívaných jako skládky sypkých materiálů. Mírně negativní až marginální vliv na mikroklima se synergickým spolupůsobením generuje rovněž vložení nové tramvajové trati do kontextu stávajících dopravních staveb a již zastavěného území.</w:t>
      </w:r>
    </w:p>
    <w:p w14:paraId="0640A455" w14:textId="77777777" w:rsidR="002D6A11" w:rsidRPr="00111F34" w:rsidRDefault="002D6A11" w:rsidP="002D6A11">
      <w:r w:rsidRPr="00111F34">
        <w:t xml:space="preserve">• Hluková zátěž: </w:t>
      </w:r>
    </w:p>
    <w:p w14:paraId="07EC0CD8" w14:textId="77777777" w:rsidR="006A385A" w:rsidRPr="00111F34" w:rsidRDefault="00103499" w:rsidP="006A385A">
      <w:r w:rsidRPr="00111F34">
        <w:t xml:space="preserve">Mírně negativní vliv na místní úrovni dojde ke vložení nového zdroje hlukové zátěže do území. </w:t>
      </w:r>
      <w:r w:rsidR="006A385A" w:rsidRPr="00111F34">
        <w:rPr>
          <w:rFonts w:cs="Arial"/>
          <w:szCs w:val="20"/>
        </w:rPr>
        <w:t xml:space="preserve">Z dostupných podkladů lze usuzovat, že využití území pro uvažované funkce je možné, při splnění podmínky, že při zastavování ploch nedojde k překročení hygienických limitů z hlediska hluku u nejbližších hlukově chráněných prostor, včetně případných hlukově chráněných prostor umisťovaných v řešených plochách. </w:t>
      </w:r>
    </w:p>
    <w:p w14:paraId="51A7C4F8" w14:textId="05B57E0F" w:rsidR="007E657C" w:rsidRPr="00111F34" w:rsidRDefault="002D6A11" w:rsidP="00103499">
      <w:r w:rsidRPr="00111F34">
        <w:t xml:space="preserve">• Sídla, urbanizace: </w:t>
      </w:r>
    </w:p>
    <w:p w14:paraId="4EF61130" w14:textId="0DDC25EE" w:rsidR="00103499" w:rsidRPr="00111F34" w:rsidRDefault="002D6A11" w:rsidP="00103499">
      <w:r w:rsidRPr="00111F34">
        <w:t>Bez identifikovaných negativních vlivů.</w:t>
      </w:r>
    </w:p>
    <w:p w14:paraId="6A37920B" w14:textId="77777777" w:rsidR="00103499" w:rsidRPr="00111F34" w:rsidRDefault="00103499" w:rsidP="00103499">
      <w:r w:rsidRPr="00111F34">
        <w:t>• Hmotný majetek, nemovité památky, včetně dědictví architektonického a archeologického:</w:t>
      </w:r>
    </w:p>
    <w:p w14:paraId="66411DE9" w14:textId="70EA8DCE" w:rsidR="00103499" w:rsidRPr="00111F34" w:rsidRDefault="00103499" w:rsidP="00103499">
      <w:r w:rsidRPr="00111F34">
        <w:t xml:space="preserve">Identifikován mírně negativní potenciální vliv v důsledku vložení nové tramvajové trati, resp. rozšíření ploch dopravy do těsné blízkosti nemovité kulturní památky – železniční viadukt u ulice V Podbabě. Konkrétní vliv bude záviset na konkrétním technickém řešení stavby tramvajové trati. </w:t>
      </w:r>
    </w:p>
    <w:p w14:paraId="7EFBB02D" w14:textId="77777777" w:rsidR="00103499" w:rsidRPr="00111F34" w:rsidRDefault="00103499" w:rsidP="00103499">
      <w:r w:rsidRPr="00111F34">
        <w:t xml:space="preserve">• Krajinný ráz: </w:t>
      </w:r>
    </w:p>
    <w:p w14:paraId="2FD20564" w14:textId="714F018F" w:rsidR="00103499" w:rsidRPr="00111F34" w:rsidRDefault="00103499" w:rsidP="00103499">
      <w:r w:rsidRPr="00111F34">
        <w:t xml:space="preserve">Mírně negativní vliv se synergickým spolupůsobením v důsledku vložení nové tramvajové trati do kontextu stávajících dopravních staveb a vymezení nových zastavitelných ploch na úkor a v návaznosti na volnou krajinu. </w:t>
      </w:r>
    </w:p>
    <w:p w14:paraId="6F24574F" w14:textId="1253B1A0" w:rsidR="00390D9F" w:rsidRPr="00111F34" w:rsidRDefault="00390D9F" w:rsidP="00103499">
      <w:pPr>
        <w:rPr>
          <w:u w:val="single"/>
        </w:rPr>
      </w:pPr>
      <w:r w:rsidRPr="00111F34">
        <w:rPr>
          <w:u w:val="single"/>
        </w:rPr>
        <w:t>Opatření pro předcházení negativním vlivům</w:t>
      </w:r>
    </w:p>
    <w:p w14:paraId="090E18BF" w14:textId="646F38BB" w:rsidR="00390D9F" w:rsidRPr="00111F34" w:rsidRDefault="00390D9F" w:rsidP="00390D9F">
      <w:r w:rsidRPr="00111F34">
        <w:t>Opatření pro předcházení, snížení nebo kompenzaci závažných negativních vlivů na životní prostředí včetně vlivů kumulativních, resp. synergických (podrobněji viz kapitoly A.VIII. a A.XI</w:t>
      </w:r>
      <w:r w:rsidR="00E96725" w:rsidRPr="00111F34">
        <w:t>)</w:t>
      </w:r>
      <w:r w:rsidRPr="00111F34">
        <w:t xml:space="preserve">: </w:t>
      </w:r>
    </w:p>
    <w:p w14:paraId="14B6CCFE" w14:textId="77777777" w:rsidR="00103499" w:rsidRPr="00111F34" w:rsidRDefault="00103499" w:rsidP="00103499">
      <w:pPr>
        <w:pStyle w:val="Podnadpis1"/>
        <w:jc w:val="both"/>
        <w:rPr>
          <w:rFonts w:eastAsia="Arial"/>
          <w:b w:val="0"/>
          <w:i w:val="0"/>
          <w:snapToGrid/>
          <w:color w:val="auto"/>
          <w:szCs w:val="22"/>
          <w:lang w:eastAsia="en-US"/>
        </w:rPr>
      </w:pPr>
      <w:r w:rsidRPr="00111F34">
        <w:rPr>
          <w:rFonts w:eastAsia="Arial"/>
          <w:b w:val="0"/>
          <w:i w:val="0"/>
          <w:snapToGrid/>
          <w:color w:val="auto"/>
          <w:szCs w:val="22"/>
          <w:lang w:eastAsia="en-US"/>
        </w:rPr>
        <w:t>Fauna, flóra, biodiverzita, ochrana přírody a krajiny:</w:t>
      </w:r>
    </w:p>
    <w:p w14:paraId="43E2DE53" w14:textId="77777777" w:rsidR="00103499" w:rsidRPr="00111F34" w:rsidRDefault="00103499" w:rsidP="00103499">
      <w:pPr>
        <w:pStyle w:val="Podnadpis1"/>
        <w:jc w:val="both"/>
        <w:rPr>
          <w:rFonts w:eastAsia="Arial"/>
          <w:b w:val="0"/>
          <w:i w:val="0"/>
          <w:snapToGrid/>
          <w:color w:val="auto"/>
          <w:szCs w:val="22"/>
          <w:lang w:eastAsia="en-US"/>
        </w:rPr>
      </w:pPr>
      <w:r w:rsidRPr="00111F34">
        <w:rPr>
          <w:rFonts w:eastAsia="Arial"/>
          <w:b w:val="0"/>
          <w:i w:val="0"/>
          <w:snapToGrid/>
          <w:color w:val="auto"/>
          <w:szCs w:val="22"/>
          <w:lang w:eastAsia="en-US"/>
        </w:rPr>
        <w:t xml:space="preserve">V případě kácení vzrostlé zeleně provést adekvátní náhradní výsadbu. V navazujících řízeních dbát na maximální zastínění nově vznikajících betonových povrchů a realizaci vzrostlé zeleně (stromového patra) v uličních prostranstvích, vnitroblocích a plochách ZMK a ZP. (Jedná se o doporučené opatření z hlediska identifikovaného mírně negativního vlivu vůči stávající zeleni v území, které nelze uplatnit přímo na úrovni výrokové části posuzované ÚPD, částečně vyplývá z legislativních požadavků v oblasti ochrany ovzduší – náhradní výsadba). </w:t>
      </w:r>
    </w:p>
    <w:p w14:paraId="7177FCE0" w14:textId="77777777" w:rsidR="00103499" w:rsidRPr="00111F34" w:rsidRDefault="00103499" w:rsidP="00103499">
      <w:pPr>
        <w:pStyle w:val="Podnadpis1"/>
        <w:jc w:val="both"/>
        <w:rPr>
          <w:rFonts w:eastAsia="Arial"/>
          <w:b w:val="0"/>
          <w:i w:val="0"/>
          <w:snapToGrid/>
          <w:color w:val="auto"/>
          <w:szCs w:val="22"/>
          <w:lang w:eastAsia="en-US"/>
        </w:rPr>
      </w:pPr>
      <w:r w:rsidRPr="00111F34">
        <w:rPr>
          <w:rFonts w:eastAsia="Arial"/>
          <w:b w:val="0"/>
          <w:i w:val="0"/>
          <w:snapToGrid/>
          <w:color w:val="auto"/>
          <w:szCs w:val="22"/>
          <w:lang w:eastAsia="en-US"/>
        </w:rPr>
        <w:t xml:space="preserve">Provést managementová a organizační opatření pro ochranu horní partie Podbabských skal před zvýšenou návštěvností. Koordinovat stavební činnost v okolí s příslušnými orgány ochrany přírody. (Jedná se o opatření mimo podrobnost územního plánu, která je možné uplatnit v rámci aktualizace plánu péče o EVL Kaňon Vltavy </w:t>
      </w:r>
      <w:r w:rsidRPr="00111F34">
        <w:rPr>
          <w:rFonts w:eastAsia="Arial"/>
          <w:b w:val="0"/>
          <w:i w:val="0"/>
          <w:snapToGrid/>
          <w:color w:val="auto"/>
          <w:szCs w:val="22"/>
          <w:lang w:eastAsia="en-US"/>
        </w:rPr>
        <w:lastRenderedPageBreak/>
        <w:t>u Sedlce. a PP Podbabské Skály</w:t>
      </w:r>
    </w:p>
    <w:p w14:paraId="232D1EB4" w14:textId="77777777" w:rsidR="00103499" w:rsidRPr="00111F34" w:rsidRDefault="00103499" w:rsidP="00103499">
      <w:pPr>
        <w:pStyle w:val="Podnadpis1"/>
        <w:jc w:val="both"/>
        <w:rPr>
          <w:rFonts w:eastAsia="Arial"/>
          <w:b w:val="0"/>
          <w:i w:val="0"/>
          <w:snapToGrid/>
          <w:color w:val="auto"/>
          <w:szCs w:val="22"/>
          <w:lang w:eastAsia="en-US"/>
        </w:rPr>
      </w:pPr>
      <w:r w:rsidRPr="00111F34">
        <w:rPr>
          <w:rFonts w:eastAsia="Arial"/>
          <w:b w:val="0"/>
          <w:i w:val="0"/>
          <w:snapToGrid/>
          <w:color w:val="auto"/>
          <w:szCs w:val="22"/>
          <w:lang w:eastAsia="en-US"/>
        </w:rPr>
        <w:t>Hluková zátěž</w:t>
      </w:r>
    </w:p>
    <w:p w14:paraId="5A520C39" w14:textId="77777777" w:rsidR="00F94D3C" w:rsidRDefault="00F94D3C" w:rsidP="00103499">
      <w:pPr>
        <w:pStyle w:val="Podnadpis1"/>
        <w:jc w:val="both"/>
        <w:rPr>
          <w:rFonts w:eastAsia="Arial"/>
          <w:b w:val="0"/>
          <w:i w:val="0"/>
          <w:snapToGrid/>
          <w:color w:val="auto"/>
          <w:szCs w:val="22"/>
          <w:lang w:eastAsia="en-US"/>
        </w:rPr>
      </w:pPr>
      <w:r w:rsidRPr="00F94D3C">
        <w:rPr>
          <w:rFonts w:eastAsia="Arial"/>
          <w:b w:val="0"/>
          <w:i w:val="0"/>
          <w:snapToGrid/>
          <w:color w:val="auto"/>
          <w:szCs w:val="22"/>
          <w:lang w:eastAsia="en-US"/>
        </w:rPr>
        <w:t>Plochu OB-D ve východní části Nového Sedlce mezi ulicí Kamýcká a novou tramvajovou tratí převést např. do funkce smíšených ploch, která lépe odpovídá stávající i budoucí zátěži plochy z hlediska hluku.</w:t>
      </w:r>
    </w:p>
    <w:p w14:paraId="14FFA6A6" w14:textId="35DC2A5D" w:rsidR="00103499" w:rsidRPr="00111F34" w:rsidRDefault="00103499" w:rsidP="00103499">
      <w:pPr>
        <w:pStyle w:val="Podnadpis1"/>
        <w:jc w:val="both"/>
        <w:rPr>
          <w:rFonts w:eastAsia="Arial"/>
          <w:b w:val="0"/>
          <w:i w:val="0"/>
          <w:snapToGrid/>
          <w:color w:val="auto"/>
          <w:szCs w:val="22"/>
          <w:lang w:eastAsia="en-US"/>
        </w:rPr>
      </w:pPr>
      <w:r w:rsidRPr="00111F34">
        <w:rPr>
          <w:rFonts w:eastAsia="Arial"/>
          <w:b w:val="0"/>
          <w:i w:val="0"/>
          <w:snapToGrid/>
          <w:color w:val="auto"/>
          <w:szCs w:val="22"/>
          <w:lang w:eastAsia="en-US"/>
        </w:rPr>
        <w:t>Před umístěním stavby do území v další fázi projektové přípravy stavby prokázat, že vlivem realizace záměru, kterému dává posuzovaná koncepce rámec, včetně souvisejících staveb a přeložek při zohlednění spolupůsobení stávajících i uvažovaných záměrů v dopravně souvisejícím území nedojde k novým překročením hygienických limitů z hlediska hluku u nejbližších hlukově chráněných objektů, opatření je třeba uplatnit v navazujících řízeních, jako požadavek na rozhodování v území.</w:t>
      </w:r>
    </w:p>
    <w:p w14:paraId="2EA8FE2E" w14:textId="77777777" w:rsidR="00103499" w:rsidRPr="00111F34" w:rsidRDefault="00103499" w:rsidP="00103499">
      <w:pPr>
        <w:pStyle w:val="Podnadpis1"/>
        <w:jc w:val="both"/>
        <w:rPr>
          <w:rFonts w:eastAsia="Arial"/>
          <w:b w:val="0"/>
          <w:i w:val="0"/>
          <w:snapToGrid/>
          <w:color w:val="auto"/>
          <w:szCs w:val="22"/>
          <w:lang w:eastAsia="en-US"/>
        </w:rPr>
      </w:pPr>
      <w:r w:rsidRPr="00111F34">
        <w:rPr>
          <w:rFonts w:eastAsia="Arial"/>
          <w:b w:val="0"/>
          <w:i w:val="0"/>
          <w:snapToGrid/>
          <w:color w:val="auto"/>
          <w:szCs w:val="22"/>
          <w:lang w:eastAsia="en-US"/>
        </w:rPr>
        <w:t>Horninové prostředí</w:t>
      </w:r>
    </w:p>
    <w:p w14:paraId="242BF651" w14:textId="548750AE" w:rsidR="00103499" w:rsidRPr="00111F34" w:rsidRDefault="00103499" w:rsidP="00103499">
      <w:pPr>
        <w:pStyle w:val="Podnadpis1"/>
        <w:jc w:val="both"/>
        <w:rPr>
          <w:rFonts w:eastAsia="Arial"/>
          <w:b w:val="0"/>
          <w:i w:val="0"/>
          <w:snapToGrid/>
          <w:color w:val="auto"/>
          <w:szCs w:val="22"/>
          <w:lang w:eastAsia="en-US"/>
        </w:rPr>
      </w:pPr>
      <w:r w:rsidRPr="00111F34">
        <w:rPr>
          <w:rFonts w:eastAsia="Arial"/>
          <w:b w:val="0"/>
          <w:i w:val="0"/>
          <w:snapToGrid/>
          <w:color w:val="auto"/>
          <w:szCs w:val="22"/>
          <w:lang w:eastAsia="en-US"/>
        </w:rPr>
        <w:t xml:space="preserve">V navazujících řízeních je v případě prokázání </w:t>
      </w:r>
      <w:r w:rsidR="00C51945" w:rsidRPr="00111F34">
        <w:rPr>
          <w:rFonts w:eastAsia="Arial"/>
          <w:b w:val="0"/>
          <w:i w:val="0"/>
          <w:snapToGrid/>
          <w:color w:val="auto"/>
          <w:szCs w:val="22"/>
          <w:lang w:eastAsia="en-US"/>
        </w:rPr>
        <w:t>kontaminace,</w:t>
      </w:r>
      <w:r w:rsidRPr="00111F34">
        <w:rPr>
          <w:rFonts w:eastAsia="Arial"/>
          <w:b w:val="0"/>
          <w:i w:val="0"/>
          <w:snapToGrid/>
          <w:color w:val="auto"/>
          <w:szCs w:val="22"/>
          <w:lang w:eastAsia="en-US"/>
        </w:rPr>
        <w:t xml:space="preserve"> resp. nestabilního podloží (potřeba zpracovat podrobný hydrogeologický, inženýrskogeologický a sanační průzkum) nutné přijmout opatření pro zamezení negativního ovlivnění budoucích staveb, resp. jejich uživatelů např. pomocí odtěžení kontaminovaných zemin a jejich likvidace v souladu se zákonem o odpadech.</w:t>
      </w:r>
    </w:p>
    <w:p w14:paraId="45953F77" w14:textId="77777777" w:rsidR="00103499" w:rsidRPr="00111F34" w:rsidRDefault="00103499" w:rsidP="00103499">
      <w:pPr>
        <w:pStyle w:val="Podnadpis1"/>
        <w:jc w:val="both"/>
        <w:rPr>
          <w:rFonts w:eastAsia="Arial"/>
          <w:b w:val="0"/>
          <w:i w:val="0"/>
          <w:snapToGrid/>
          <w:color w:val="auto"/>
          <w:szCs w:val="22"/>
          <w:lang w:eastAsia="en-US"/>
        </w:rPr>
      </w:pPr>
      <w:r w:rsidRPr="00111F34">
        <w:rPr>
          <w:rFonts w:eastAsia="Arial"/>
          <w:b w:val="0"/>
          <w:i w:val="0"/>
          <w:snapToGrid/>
          <w:color w:val="auto"/>
          <w:szCs w:val="22"/>
          <w:lang w:eastAsia="en-US"/>
        </w:rPr>
        <w:t>Voda</w:t>
      </w:r>
    </w:p>
    <w:p w14:paraId="09B0A15C" w14:textId="77777777" w:rsidR="00103499" w:rsidRPr="00111F34" w:rsidRDefault="00103499" w:rsidP="00103499">
      <w:pPr>
        <w:pStyle w:val="Podnadpis1"/>
        <w:jc w:val="both"/>
        <w:rPr>
          <w:rFonts w:eastAsia="Arial"/>
          <w:b w:val="0"/>
          <w:i w:val="0"/>
          <w:snapToGrid/>
          <w:color w:val="auto"/>
          <w:szCs w:val="22"/>
          <w:lang w:eastAsia="en-US"/>
        </w:rPr>
      </w:pPr>
      <w:r w:rsidRPr="00111F34">
        <w:rPr>
          <w:rFonts w:eastAsia="Arial"/>
          <w:b w:val="0"/>
          <w:i w:val="0"/>
          <w:snapToGrid/>
          <w:color w:val="auto"/>
          <w:szCs w:val="22"/>
          <w:lang w:eastAsia="en-US"/>
        </w:rPr>
        <w:t xml:space="preserve">V navazujících řízeních minimalizovat podíl zastavěných a zpevněných povrchů, realizovat modrozelenou infrastrukturu. </w:t>
      </w:r>
    </w:p>
    <w:p w14:paraId="582AF3D4" w14:textId="77777777" w:rsidR="00103499" w:rsidRPr="00111F34" w:rsidRDefault="00103499" w:rsidP="00103499">
      <w:pPr>
        <w:pStyle w:val="Podnadpis1"/>
        <w:jc w:val="both"/>
        <w:rPr>
          <w:rFonts w:eastAsia="Arial"/>
          <w:b w:val="0"/>
          <w:i w:val="0"/>
          <w:snapToGrid/>
          <w:color w:val="auto"/>
          <w:szCs w:val="22"/>
          <w:lang w:eastAsia="en-US"/>
        </w:rPr>
      </w:pPr>
      <w:r w:rsidRPr="00111F34">
        <w:rPr>
          <w:rFonts w:eastAsia="Arial"/>
          <w:b w:val="0"/>
          <w:i w:val="0"/>
          <w:snapToGrid/>
          <w:color w:val="auto"/>
          <w:szCs w:val="22"/>
          <w:lang w:eastAsia="en-US"/>
        </w:rPr>
        <w:t>Klima:</w:t>
      </w:r>
    </w:p>
    <w:p w14:paraId="02D8E8B5" w14:textId="77777777" w:rsidR="00103499" w:rsidRPr="00111F34" w:rsidRDefault="00103499" w:rsidP="00103499">
      <w:pPr>
        <w:pStyle w:val="Podnadpis1"/>
        <w:jc w:val="both"/>
        <w:rPr>
          <w:rFonts w:eastAsia="Arial"/>
          <w:b w:val="0"/>
          <w:i w:val="0"/>
          <w:snapToGrid/>
          <w:color w:val="auto"/>
          <w:szCs w:val="22"/>
          <w:lang w:eastAsia="en-US"/>
        </w:rPr>
      </w:pPr>
      <w:r w:rsidRPr="00111F34">
        <w:rPr>
          <w:rFonts w:eastAsia="Arial"/>
          <w:b w:val="0"/>
          <w:i w:val="0"/>
          <w:snapToGrid/>
          <w:color w:val="auto"/>
          <w:szCs w:val="22"/>
          <w:lang w:eastAsia="en-US"/>
        </w:rPr>
        <w:t xml:space="preserve">V navazujících řízeních je třeba dbát na maximální zastínění nově vznikajících betonových povrchů a realizaci vzrostlé zeleně v uličních prostranstvích, vnitroblocích a plochách ZMK a ZP. </w:t>
      </w:r>
    </w:p>
    <w:p w14:paraId="56640F51" w14:textId="77777777" w:rsidR="00103499" w:rsidRPr="00111F34" w:rsidRDefault="00103499" w:rsidP="00103499">
      <w:pPr>
        <w:pStyle w:val="Podnadpis1"/>
        <w:jc w:val="both"/>
        <w:rPr>
          <w:rFonts w:eastAsia="Arial"/>
          <w:b w:val="0"/>
          <w:i w:val="0"/>
          <w:snapToGrid/>
          <w:color w:val="auto"/>
          <w:szCs w:val="22"/>
          <w:lang w:eastAsia="en-US"/>
        </w:rPr>
      </w:pPr>
      <w:r w:rsidRPr="00111F34">
        <w:rPr>
          <w:rFonts w:eastAsia="Arial"/>
          <w:b w:val="0"/>
          <w:i w:val="0"/>
          <w:snapToGrid/>
          <w:color w:val="auto"/>
          <w:szCs w:val="22"/>
          <w:lang w:eastAsia="en-US"/>
        </w:rPr>
        <w:t>Nemovité kulturní památky</w:t>
      </w:r>
    </w:p>
    <w:p w14:paraId="57AC6CAB" w14:textId="77777777" w:rsidR="00103499" w:rsidRPr="00111F34" w:rsidRDefault="00103499" w:rsidP="00103499">
      <w:pPr>
        <w:pStyle w:val="Podnadpis1"/>
        <w:jc w:val="both"/>
        <w:rPr>
          <w:rFonts w:eastAsia="Arial"/>
          <w:b w:val="0"/>
          <w:i w:val="0"/>
          <w:snapToGrid/>
          <w:color w:val="auto"/>
          <w:szCs w:val="22"/>
          <w:lang w:eastAsia="en-US"/>
        </w:rPr>
      </w:pPr>
      <w:r w:rsidRPr="00111F34">
        <w:rPr>
          <w:rFonts w:eastAsia="Arial"/>
          <w:b w:val="0"/>
          <w:i w:val="0"/>
          <w:snapToGrid/>
          <w:color w:val="auto"/>
          <w:szCs w:val="22"/>
          <w:lang w:eastAsia="en-US"/>
        </w:rPr>
        <w:t>Při umisťování stavby nové tramvajové trati do území v oblasti železničního viaduktu v ulici V Podbabě je třeba navrhnout takové technické řešení stavby, aby byl jednak respektován vlastní železniční viadukt, ale i jeho vizuální působení v území.</w:t>
      </w:r>
    </w:p>
    <w:p w14:paraId="0CD1CF97" w14:textId="77777777" w:rsidR="00103499" w:rsidRPr="00111F34" w:rsidRDefault="00103499" w:rsidP="00103499">
      <w:pPr>
        <w:pStyle w:val="Podnadpis1"/>
        <w:jc w:val="both"/>
        <w:rPr>
          <w:rFonts w:eastAsia="Arial"/>
          <w:b w:val="0"/>
          <w:i w:val="0"/>
          <w:snapToGrid/>
          <w:color w:val="auto"/>
          <w:szCs w:val="22"/>
          <w:lang w:eastAsia="en-US"/>
        </w:rPr>
      </w:pPr>
      <w:r w:rsidRPr="00111F34">
        <w:rPr>
          <w:rFonts w:eastAsia="Arial"/>
          <w:b w:val="0"/>
          <w:i w:val="0"/>
          <w:snapToGrid/>
          <w:color w:val="auto"/>
          <w:szCs w:val="22"/>
          <w:lang w:eastAsia="en-US"/>
        </w:rPr>
        <w:t>Krajinný ráz</w:t>
      </w:r>
    </w:p>
    <w:p w14:paraId="56231EC0" w14:textId="415A38EC" w:rsidR="00103499" w:rsidRDefault="00103499" w:rsidP="00103499">
      <w:pPr>
        <w:pStyle w:val="Podnadpis1"/>
        <w:jc w:val="both"/>
        <w:rPr>
          <w:rFonts w:eastAsia="Arial"/>
          <w:b w:val="0"/>
          <w:i w:val="0"/>
          <w:snapToGrid/>
          <w:color w:val="auto"/>
          <w:szCs w:val="22"/>
          <w:lang w:eastAsia="en-US"/>
        </w:rPr>
      </w:pPr>
      <w:r w:rsidRPr="00111F34">
        <w:rPr>
          <w:rFonts w:eastAsia="Arial"/>
          <w:b w:val="0"/>
          <w:i w:val="0"/>
          <w:snapToGrid/>
          <w:color w:val="auto"/>
          <w:szCs w:val="22"/>
          <w:lang w:eastAsia="en-US"/>
        </w:rPr>
        <w:t>Při umisťování stavby nové tramvajové trati do území v prostoru východního průčelí skalních výchozů Baba a Podbabské skály je třeba zajisti hodnocení vlivu dle § 12 zákona č. 114/1992 Sb., o ochraně přírody a krajiny, a přijmout taková opatření, aby nedošlo k negativnímu ovlivnění krajinného rázu. Opatření vyplývá z legislativy, mimo podrobnost územního plánu.</w:t>
      </w:r>
    </w:p>
    <w:p w14:paraId="039D91BE" w14:textId="77777777" w:rsidR="00DA39A6" w:rsidRPr="00DA39A6" w:rsidRDefault="00DA39A6" w:rsidP="00DA39A6">
      <w:pPr>
        <w:pStyle w:val="Podnadpis1"/>
        <w:rPr>
          <w:u w:val="single"/>
        </w:rPr>
      </w:pPr>
      <w:r w:rsidRPr="00DA39A6">
        <w:rPr>
          <w:u w:val="single"/>
        </w:rPr>
        <w:t xml:space="preserve">Shrnutí výsledků Vyhodnocení vlivů na evropsky významné oblasti a ptačí oblasti dle § 45i zákona č. 114/1992 Sb., o ochraně přírody a krajiny </w:t>
      </w:r>
    </w:p>
    <w:p w14:paraId="4EECC797" w14:textId="77777777" w:rsidR="00DA39A6" w:rsidRPr="00DA39A6" w:rsidRDefault="00DA39A6" w:rsidP="00DA39A6">
      <w:r w:rsidRPr="00DA39A6">
        <w:rPr>
          <w:lang w:eastAsia="cs-CZ"/>
        </w:rPr>
        <w:t xml:space="preserve">Do řešeného území změny ÚP Z 3827/00 je zahrnuta evropsky významná lokalita (EVL) Kaňon Vltavy u Sedlce (CZ0110154). U této evropsky významné lokality OOP nevyloučil významný vliv na příznivý stav předmětu ochrany nebo jejich celistvost. </w:t>
      </w:r>
      <w:r w:rsidRPr="00DA39A6">
        <w:t>Vzhledem k výše uvedenému je součástí tohoto vyhodnocení i Vyhodnocení vlivů na evropsky významné oblasti a ptačí oblasti dle § 45i zákona č. 114/1992 Sb., o ochraně přírody a krajiny, provedené autorizovanou osobou Ing. Pavlem Koláčkem, PhD. Jedná se o samostatný dokument, který je v kompletní formě přiložen jako příloha č. 1 tohoto dokumentu. Níže uvádíme jen stručné shrnutí.</w:t>
      </w:r>
    </w:p>
    <w:p w14:paraId="7D21F680" w14:textId="77777777" w:rsidR="00DA39A6" w:rsidRPr="00DA39A6" w:rsidRDefault="00DA39A6" w:rsidP="00DA39A6">
      <w:pPr>
        <w:rPr>
          <w:lang w:eastAsia="cs-CZ"/>
        </w:rPr>
      </w:pPr>
      <w:r w:rsidRPr="00DA39A6">
        <w:rPr>
          <w:lang w:eastAsia="cs-CZ"/>
        </w:rPr>
        <w:t xml:space="preserve">EVL Kaňon Vltavy u Sedlece vytváří disjunktní území sestávající z 8 segmentů. Potenciálně dotčeným je pouze 1 segment EVL v levobřežní části údolí Vltavy, zahrnující větší část přírodní památky Podbabské skály. Ostatní segmenty leží mimo prostor změny ÚP Z 3827/00 a nebudou nijak dotčeny, přičemž nejjižnější segment, zahrnující PP Baba, je pak od řešeného území změny ÚP oddělen koridorem železniční trati. </w:t>
      </w:r>
    </w:p>
    <w:p w14:paraId="1AFA9ACB" w14:textId="77777777" w:rsidR="00DA39A6" w:rsidRPr="00DA39A6" w:rsidRDefault="00DA39A6" w:rsidP="00DA39A6">
      <w:pPr>
        <w:rPr>
          <w:b/>
          <w:bCs/>
        </w:rPr>
      </w:pPr>
      <w:r w:rsidRPr="00DA39A6">
        <w:rPr>
          <w:lang w:eastAsia="cs-CZ"/>
        </w:rPr>
        <w:t xml:space="preserve">Z polohy řešeného území </w:t>
      </w:r>
      <w:r w:rsidRPr="00DA39A6">
        <w:t xml:space="preserve">Z 3827/00 explicitně </w:t>
      </w:r>
      <w:r w:rsidRPr="00DA39A6">
        <w:rPr>
          <w:b/>
          <w:bCs/>
        </w:rPr>
        <w:t>nevyplývají přímé územní střety s EVL ani jeho předmětů ochrany</w:t>
      </w:r>
      <w:r w:rsidRPr="00DA39A6">
        <w:t xml:space="preserve">. EVL byla zahrnuta do území Z 3827/00 s ohledem na funkční návaznost a propojení na okolní území mimo jiné i z pohledu změny funkčního využití na plochy ZMK s cílem územně stabilizovat souvislý pás městské krajinné zeleně, a to ve vazbě zahrnutí těchto ploch do skladebných částí ÚSES. Případné velmi </w:t>
      </w:r>
      <w:r w:rsidRPr="00DA39A6">
        <w:lastRenderedPageBreak/>
        <w:t xml:space="preserve">okrajové zásahy v rámci přípravy území pro výstavbu, lze řešit zřetelným vyznačením hranic. Jako relevantnější se tak jeví spíše </w:t>
      </w:r>
      <w:r w:rsidRPr="00DA39A6">
        <w:rPr>
          <w:b/>
          <w:bCs/>
        </w:rPr>
        <w:t>soubor vlivů nepřímých, zprostředkovaných,</w:t>
      </w:r>
      <w:r w:rsidRPr="00DA39A6">
        <w:t xml:space="preserve"> a to zejména z pohledu uvažovaného zvýšení návštěvnosti lokality, a tedy předpokládané zvýšené zátěže na EVL. </w:t>
      </w:r>
      <w:r w:rsidRPr="00DA39A6">
        <w:rPr>
          <w:b/>
          <w:bCs/>
        </w:rPr>
        <w:t>Míru významného zvýšení tlaku s negativními dopady na úrovni významně negativního vlivu však nelze automaticky implikovat a uvažované vlivy na EVL se dle soudu zpracovatele budou pohybovat max. na úrovni mírně negativního vlivu (-1).</w:t>
      </w:r>
    </w:p>
    <w:p w14:paraId="591B33C2" w14:textId="48A1BA5F" w:rsidR="00DA39A6" w:rsidRPr="00DA39A6" w:rsidRDefault="00DA39A6" w:rsidP="00DA39A6">
      <w:pPr>
        <w:rPr>
          <w:b/>
          <w:bCs/>
          <w:highlight w:val="yellow"/>
        </w:rPr>
      </w:pPr>
      <w:r w:rsidRPr="00DA39A6">
        <w:rPr>
          <w:b/>
          <w:bCs/>
        </w:rPr>
        <w:t xml:space="preserve">U předmětné koncepce byl významně negativní vliv na území soustavy Natura 2000 vyloučen. </w:t>
      </w:r>
    </w:p>
    <w:p w14:paraId="058D0BAC" w14:textId="1C6E7FA2" w:rsidR="00390D9F" w:rsidRPr="00111F34" w:rsidRDefault="00390D9F" w:rsidP="00103499">
      <w:pPr>
        <w:pStyle w:val="Podnadpis1"/>
        <w:rPr>
          <w:u w:val="single"/>
        </w:rPr>
      </w:pPr>
      <w:r w:rsidRPr="00111F34">
        <w:rPr>
          <w:u w:val="single"/>
        </w:rPr>
        <w:t xml:space="preserve">Návrh monitorovacích ukazatelů: </w:t>
      </w:r>
    </w:p>
    <w:p w14:paraId="7DEC7216" w14:textId="77777777" w:rsidR="00103499" w:rsidRPr="00111F34" w:rsidRDefault="00103499" w:rsidP="00103499">
      <w:pPr>
        <w:pStyle w:val="Odrky1"/>
      </w:pPr>
      <w:r w:rsidRPr="00111F34">
        <w:t>Rozloha prvků ÚSES, Plocha v ha data Hlavního města Prahy – změna oproti předchozí aktualizaci ÚAP, sledování v rámci ÚAP, aktualizace 1x za 2 roky</w:t>
      </w:r>
    </w:p>
    <w:p w14:paraId="72E1B79E" w14:textId="77777777" w:rsidR="00103499" w:rsidRPr="00111F34" w:rsidRDefault="00103499" w:rsidP="00103499">
      <w:pPr>
        <w:pStyle w:val="Odrky1"/>
      </w:pPr>
      <w:r w:rsidRPr="00111F34">
        <w:t>Počet trvale bydlících obyvatel žijících v oblastech s překročenými limity nočního hluku, Počet obyvatel, data SZÚ, sledování v rámci Strategického hlukového mapování</w:t>
      </w:r>
    </w:p>
    <w:p w14:paraId="584E0B87" w14:textId="77777777" w:rsidR="00103499" w:rsidRPr="00111F34" w:rsidRDefault="00103499" w:rsidP="00103499">
      <w:pPr>
        <w:pStyle w:val="Odrky1"/>
      </w:pPr>
      <w:r w:rsidRPr="00111F34">
        <w:t>Podíl ploch zeleně z celkové plochy, Podíl v %, data Hlavního města Prahy, sledování v rámci ÚAP, aktualizace 1x za 2 roky</w:t>
      </w:r>
    </w:p>
    <w:p w14:paraId="451D1FDF" w14:textId="77777777" w:rsidR="00103499" w:rsidRPr="00111F34" w:rsidRDefault="00103499" w:rsidP="00103499">
      <w:pPr>
        <w:pStyle w:val="Odrky1"/>
      </w:pPr>
      <w:r w:rsidRPr="00111F34">
        <w:t>Nárůst výměry nových zastavitelných ploch, Plocha v ha data Hlavního města Prahy, sledování v rámci ÚAP, aktualizace 1x za 2 roky</w:t>
      </w:r>
    </w:p>
    <w:p w14:paraId="095C8216" w14:textId="77777777" w:rsidR="00103499" w:rsidRPr="00111F34" w:rsidRDefault="00103499" w:rsidP="00103499">
      <w:pPr>
        <w:pStyle w:val="Odrky1"/>
      </w:pPr>
      <w:r w:rsidRPr="00111F34">
        <w:t>Počet evidovaných lokalit starých ekologických zátěží, data SEKM, sledování v rámci ÚAP, aktualizace 1x za 2 roky</w:t>
      </w:r>
    </w:p>
    <w:p w14:paraId="3CF731D3" w14:textId="77777777" w:rsidR="00103499" w:rsidRPr="00111F34" w:rsidRDefault="00103499" w:rsidP="00103499">
      <w:pPr>
        <w:pStyle w:val="Odrky1"/>
      </w:pPr>
      <w:r w:rsidRPr="00111F34">
        <w:t>Počet evidovaných lokalit svahových pohybů, data ČGS, sledování v rámci ÚAP, aktualizace 1x za 2 roky</w:t>
      </w:r>
    </w:p>
    <w:p w14:paraId="59672656" w14:textId="77777777" w:rsidR="00103499" w:rsidRPr="00111F34" w:rsidRDefault="00103499" w:rsidP="00103499">
      <w:pPr>
        <w:pStyle w:val="Odrky1"/>
        <w:rPr>
          <w:b/>
          <w:i/>
        </w:rPr>
      </w:pPr>
      <w:r w:rsidRPr="00111F34">
        <w:t xml:space="preserve">Počet nemovitých kulturních památek, data NKÚ, sledování v rámci ÚAP, aktualizace 1x za 2 roky. </w:t>
      </w:r>
    </w:p>
    <w:p w14:paraId="2E361A3B" w14:textId="01D81340" w:rsidR="00390D9F" w:rsidRPr="00111F34" w:rsidRDefault="00390D9F" w:rsidP="00103499">
      <w:pPr>
        <w:pStyle w:val="Podnadpis1"/>
        <w:rPr>
          <w:u w:val="single"/>
        </w:rPr>
      </w:pPr>
      <w:r w:rsidRPr="00111F34">
        <w:rPr>
          <w:u w:val="single"/>
        </w:rPr>
        <w:t xml:space="preserve">Návrh požadavků na rozhodování ve vymezených plochách a koridorech: </w:t>
      </w:r>
    </w:p>
    <w:p w14:paraId="15243E01" w14:textId="77777777" w:rsidR="00F94D3C" w:rsidRDefault="00390D9F" w:rsidP="00390D9F">
      <w:pPr>
        <w:pStyle w:val="Textkomente"/>
        <w:rPr>
          <w:rFonts w:cs="Arial"/>
        </w:rPr>
      </w:pPr>
      <w:r w:rsidRPr="00111F34">
        <w:rPr>
          <w:rFonts w:cs="Arial"/>
        </w:rPr>
        <w:t>Na základě vyhodnocení vlivu předloženého návrhu na životní prostředí bylo navrženo souhlasné stanovisko</w:t>
      </w:r>
      <w:r w:rsidR="00F94D3C">
        <w:rPr>
          <w:rFonts w:cs="Arial"/>
        </w:rPr>
        <w:t xml:space="preserve"> s podmínkou, že p</w:t>
      </w:r>
      <w:r w:rsidR="00F94D3C" w:rsidRPr="00F94D3C">
        <w:rPr>
          <w:rFonts w:cs="Arial"/>
        </w:rPr>
        <w:t>loch</w:t>
      </w:r>
      <w:r w:rsidR="00F94D3C">
        <w:rPr>
          <w:rFonts w:cs="Arial"/>
        </w:rPr>
        <w:t>a</w:t>
      </w:r>
      <w:r w:rsidR="00F94D3C" w:rsidRPr="00F94D3C">
        <w:rPr>
          <w:rFonts w:cs="Arial"/>
        </w:rPr>
        <w:t xml:space="preserve"> OB-D ve východní části Nového Sedlce mezi ulicí Kamýcká a novou tramvajovou tratí </w:t>
      </w:r>
      <w:r w:rsidR="00F94D3C">
        <w:rPr>
          <w:rFonts w:cs="Arial"/>
        </w:rPr>
        <w:t>bude převedena</w:t>
      </w:r>
      <w:r w:rsidR="00F94D3C" w:rsidRPr="00F94D3C">
        <w:rPr>
          <w:rFonts w:cs="Arial"/>
        </w:rPr>
        <w:t xml:space="preserve"> např. do funkce smíšených ploch, která lépe odpovídá stávající i budoucí zátěži plochy z hlediska hluku.</w:t>
      </w:r>
    </w:p>
    <w:p w14:paraId="43F54F42" w14:textId="2A6B56B3" w:rsidR="00390D9F" w:rsidRPr="00111F34" w:rsidRDefault="00390D9F" w:rsidP="00390D9F">
      <w:pPr>
        <w:pStyle w:val="Textkomente"/>
        <w:rPr>
          <w:lang w:eastAsia="cs-CZ"/>
        </w:rPr>
      </w:pPr>
      <w:r w:rsidRPr="00111F34">
        <w:rPr>
          <w:lang w:eastAsia="cs-CZ"/>
        </w:rPr>
        <w:t>Na základě vyhodnocení nevyplynula potřeba řešení koncepce ve variantách, předkládaná aktivní varianta je z hlediska prověření vlivů na životní prostředí a veřejné zdraví dostačující.</w:t>
      </w:r>
    </w:p>
    <w:p w14:paraId="70761A37" w14:textId="3E78530B" w:rsidR="00390D9F" w:rsidRPr="00111F34" w:rsidRDefault="00390D9F" w:rsidP="00390D9F">
      <w:pPr>
        <w:snapToGrid w:val="0"/>
      </w:pPr>
      <w:r w:rsidRPr="00111F34">
        <w:t>Změna ÚP HMP Z </w:t>
      </w:r>
      <w:r w:rsidR="001663EA" w:rsidRPr="00111F34">
        <w:t>3827</w:t>
      </w:r>
      <w:r w:rsidRPr="00111F34">
        <w:t xml:space="preserve">/00 je akceptovatelná </w:t>
      </w:r>
      <w:r w:rsidR="00F94D3C">
        <w:t>s výše uvedenou podmínkou</w:t>
      </w:r>
      <w:r w:rsidRPr="00111F34">
        <w:t xml:space="preserve">, a to zejména z toho důvodu, že vlastní návrh koncepce obsahuje </w:t>
      </w:r>
      <w:r w:rsidR="002F727C" w:rsidRPr="00111F34">
        <w:t>územně plánovací opatření</w:t>
      </w:r>
      <w:r w:rsidRPr="00111F34">
        <w:t xml:space="preserve">, která na příslušné strategické úrovni umožňují snížení negativních vlivů na životní prostředí a veřejné zdraví. </w:t>
      </w:r>
    </w:p>
    <w:p w14:paraId="7DD8A0F8" w14:textId="4CC53045" w:rsidR="00390D9F" w:rsidRPr="00111F34" w:rsidRDefault="004761E4" w:rsidP="00390D9F">
      <w:pPr>
        <w:snapToGrid w:val="0"/>
      </w:pPr>
      <w:r w:rsidRPr="00111F34">
        <w:t xml:space="preserve">Byly navrženy následující </w:t>
      </w:r>
      <w:r w:rsidR="00390D9F" w:rsidRPr="00111F34">
        <w:t>požadavky na rozhodování ve vymezených plochách, které je třeba promítnout do odůvodnění posuzované změny a uplatnit v navazujících řízeních.</w:t>
      </w:r>
    </w:p>
    <w:p w14:paraId="00722881" w14:textId="77777777" w:rsidR="00103499" w:rsidRPr="00111F34" w:rsidRDefault="00103499" w:rsidP="006A385A">
      <w:pPr>
        <w:pStyle w:val="Podnadpis1"/>
        <w:numPr>
          <w:ilvl w:val="0"/>
          <w:numId w:val="51"/>
        </w:numPr>
        <w:jc w:val="both"/>
        <w:rPr>
          <w:rFonts w:eastAsia="Arial"/>
          <w:b w:val="0"/>
          <w:i w:val="0"/>
          <w:snapToGrid/>
          <w:color w:val="auto"/>
          <w:szCs w:val="22"/>
        </w:rPr>
      </w:pPr>
      <w:r w:rsidRPr="00111F34">
        <w:rPr>
          <w:rFonts w:eastAsia="Arial"/>
          <w:b w:val="0"/>
          <w:i w:val="0"/>
          <w:snapToGrid/>
          <w:color w:val="auto"/>
          <w:szCs w:val="22"/>
        </w:rPr>
        <w:t xml:space="preserve">V případě kácení vzrostlé zeleně provést adekvátní náhradní výsadbu. V navazujících řízeních dbát na maximální zastínění nově vznikajících betonových povrchů a realizaci vzrostlé zeleně (stromového patra) v uličních prostranstvích, vnitroblocích a plochách ZMK a ZP. (Jedná se o doporučené opatření z hlediska identifikovaného mírně negativního vlivu vůči stávající zeleni v území, které nelze uplatnit přímo na úrovni výrokové části posuzované ÚPD, částečně vyplývá z legislativních požadavků v oblasti ochrany ovzduší – náhradní výsadba). </w:t>
      </w:r>
    </w:p>
    <w:p w14:paraId="36888B8B" w14:textId="77777777" w:rsidR="00103499" w:rsidRPr="00111F34" w:rsidRDefault="00103499" w:rsidP="006A385A">
      <w:pPr>
        <w:pStyle w:val="Podnadpis1"/>
        <w:numPr>
          <w:ilvl w:val="0"/>
          <w:numId w:val="51"/>
        </w:numPr>
        <w:jc w:val="both"/>
        <w:rPr>
          <w:rFonts w:eastAsia="Arial"/>
          <w:b w:val="0"/>
          <w:i w:val="0"/>
          <w:snapToGrid/>
          <w:color w:val="auto"/>
          <w:szCs w:val="22"/>
        </w:rPr>
      </w:pPr>
      <w:r w:rsidRPr="00111F34">
        <w:rPr>
          <w:rFonts w:eastAsia="Arial"/>
          <w:b w:val="0"/>
          <w:i w:val="0"/>
          <w:snapToGrid/>
          <w:color w:val="auto"/>
          <w:szCs w:val="22"/>
        </w:rPr>
        <w:t>Provést managementová a organizační opatření pro ochranu horní partie Podbabských skal před zvýšenou návštěvností. Koordinovat stavební činnost v okolí s příslušnými orgány ochrany přírody. (Jedná se o opatření mimo podrobnost územního plánu, která je možné uplatnit v rámci aktualizace plánu péče o EVL Kaňon Vltavy u Sedlce. a PP Podbabské Skály</w:t>
      </w:r>
    </w:p>
    <w:p w14:paraId="2F5E338F" w14:textId="77777777" w:rsidR="00103499" w:rsidRPr="00111F34" w:rsidRDefault="00103499" w:rsidP="006A385A">
      <w:pPr>
        <w:pStyle w:val="Podnadpis1"/>
        <w:numPr>
          <w:ilvl w:val="0"/>
          <w:numId w:val="51"/>
        </w:numPr>
        <w:jc w:val="both"/>
        <w:rPr>
          <w:rFonts w:eastAsia="Arial"/>
          <w:b w:val="0"/>
          <w:i w:val="0"/>
          <w:snapToGrid/>
          <w:color w:val="auto"/>
          <w:szCs w:val="22"/>
        </w:rPr>
      </w:pPr>
      <w:r w:rsidRPr="00111F34">
        <w:rPr>
          <w:rFonts w:eastAsia="Arial"/>
          <w:b w:val="0"/>
          <w:i w:val="0"/>
          <w:snapToGrid/>
          <w:color w:val="auto"/>
          <w:szCs w:val="22"/>
        </w:rPr>
        <w:t xml:space="preserve">V navazujících řízeních zajistit maximální zastínění nově vznikajících betonových povrchů a realizaci vzrostlé zeleně (stromového patra) v uličních prostranstvích, vnitroblocích a plochách ZMK a ZP. Opatření je třeba uplatnit v navazujících řízeních (územní, resp. stavební řízení).  </w:t>
      </w:r>
    </w:p>
    <w:p w14:paraId="4BECAEA5" w14:textId="77777777" w:rsidR="00103499" w:rsidRPr="00111F34" w:rsidRDefault="00103499" w:rsidP="006A385A">
      <w:pPr>
        <w:pStyle w:val="Podnadpis1"/>
        <w:numPr>
          <w:ilvl w:val="0"/>
          <w:numId w:val="51"/>
        </w:numPr>
        <w:jc w:val="both"/>
        <w:rPr>
          <w:rFonts w:eastAsia="Arial"/>
          <w:b w:val="0"/>
          <w:i w:val="0"/>
          <w:snapToGrid/>
          <w:color w:val="auto"/>
          <w:szCs w:val="22"/>
        </w:rPr>
      </w:pPr>
      <w:r w:rsidRPr="00111F34">
        <w:rPr>
          <w:rFonts w:eastAsia="Arial"/>
          <w:b w:val="0"/>
          <w:i w:val="0"/>
          <w:snapToGrid/>
          <w:color w:val="auto"/>
          <w:szCs w:val="22"/>
        </w:rPr>
        <w:t xml:space="preserve">V navazujících řízeních minimalizovat podíl zastavěných a zpevněných povrchů, realizovat modrozelenou infrastrukturu. Opatření je třeba uplatnit v navazujících řízeních.  </w:t>
      </w:r>
    </w:p>
    <w:p w14:paraId="51F4C489" w14:textId="33780FDA" w:rsidR="00103499" w:rsidRPr="00111F34" w:rsidRDefault="00103499" w:rsidP="006A385A">
      <w:pPr>
        <w:pStyle w:val="Podnadpis1"/>
        <w:numPr>
          <w:ilvl w:val="0"/>
          <w:numId w:val="51"/>
        </w:numPr>
        <w:jc w:val="both"/>
        <w:rPr>
          <w:rFonts w:eastAsia="Arial"/>
          <w:b w:val="0"/>
          <w:i w:val="0"/>
          <w:snapToGrid/>
          <w:color w:val="auto"/>
          <w:szCs w:val="22"/>
        </w:rPr>
      </w:pPr>
      <w:r w:rsidRPr="00111F34">
        <w:rPr>
          <w:rFonts w:eastAsia="Arial"/>
          <w:b w:val="0"/>
          <w:i w:val="0"/>
          <w:snapToGrid/>
          <w:color w:val="auto"/>
          <w:szCs w:val="22"/>
        </w:rPr>
        <w:t xml:space="preserve">V navazující fázi projektové přípravy staveb umisťovaných v plochách s rizikem kontaminace nebo svahových pohybů (tj. areál bývalé cihelny a výtopny) je třeba provést podrobný hydrogeologický a </w:t>
      </w:r>
      <w:r w:rsidRPr="00111F34">
        <w:rPr>
          <w:rFonts w:eastAsia="Arial"/>
          <w:b w:val="0"/>
          <w:i w:val="0"/>
          <w:snapToGrid/>
          <w:color w:val="auto"/>
          <w:szCs w:val="22"/>
        </w:rPr>
        <w:lastRenderedPageBreak/>
        <w:t xml:space="preserve">inženýrský průzkum a v případě prokázání kontaminace nebo rizika svahových pohybů provést rizikovou analýzu a navrhnout sanační opatření pro zamezení identifikovaných </w:t>
      </w:r>
      <w:r w:rsidR="00C51945" w:rsidRPr="00111F34">
        <w:rPr>
          <w:rFonts w:eastAsia="Arial"/>
          <w:b w:val="0"/>
          <w:i w:val="0"/>
          <w:snapToGrid/>
          <w:color w:val="auto"/>
          <w:szCs w:val="22"/>
        </w:rPr>
        <w:t>rizik,</w:t>
      </w:r>
      <w:r w:rsidRPr="00111F34">
        <w:rPr>
          <w:rFonts w:eastAsia="Arial"/>
          <w:b w:val="0"/>
          <w:i w:val="0"/>
          <w:snapToGrid/>
          <w:color w:val="auto"/>
          <w:szCs w:val="22"/>
        </w:rPr>
        <w:t xml:space="preserve"> opatření je třeba uplatnit v navazujících řízeních, jako požadavek na rozhodování v území. </w:t>
      </w:r>
    </w:p>
    <w:p w14:paraId="36249862" w14:textId="77777777" w:rsidR="00103499" w:rsidRPr="00111F34" w:rsidRDefault="00103499" w:rsidP="006A385A">
      <w:pPr>
        <w:pStyle w:val="Podnadpis1"/>
        <w:numPr>
          <w:ilvl w:val="0"/>
          <w:numId w:val="51"/>
        </w:numPr>
        <w:jc w:val="both"/>
        <w:rPr>
          <w:rFonts w:eastAsia="Arial"/>
          <w:b w:val="0"/>
          <w:i w:val="0"/>
          <w:snapToGrid/>
          <w:color w:val="auto"/>
          <w:szCs w:val="22"/>
        </w:rPr>
      </w:pPr>
      <w:r w:rsidRPr="00111F34">
        <w:rPr>
          <w:rFonts w:eastAsia="Arial"/>
          <w:b w:val="0"/>
          <w:i w:val="0"/>
          <w:snapToGrid/>
          <w:color w:val="auto"/>
          <w:szCs w:val="22"/>
        </w:rPr>
        <w:t>Před umístěním stavby do území v další fázi projektové přípravy stavby prokázat, že vlivem realizace záměru, kterému dává posuzovaná koncepce rámec, včetně souvisejících staveb a přeložek při zohlednění spolupůsobení stávajících i uvažovaných záměrů v dopravně souvisejícím území nedojde k novým překročením hygienických limitů z hlediska hluku u nejbližších hlukově chráněných objektů, opatření je třeba uplatnit v navazujících řízeních, jako požadavek na rozhodování v území.</w:t>
      </w:r>
    </w:p>
    <w:p w14:paraId="5313E417" w14:textId="77777777" w:rsidR="006A385A" w:rsidRPr="00111F34" w:rsidRDefault="006A385A" w:rsidP="006A385A">
      <w:pPr>
        <w:pStyle w:val="Odrka1"/>
        <w:numPr>
          <w:ilvl w:val="0"/>
          <w:numId w:val="51"/>
        </w:numPr>
        <w:jc w:val="both"/>
      </w:pPr>
      <w:r w:rsidRPr="00111F34">
        <w:t xml:space="preserve">Při umisťování hlukově chráněných prostor s hlukově chráněnými fasádami orientovanými k nové tramvajové trati prokázat v navazujících řízeních (stavební řízení) dodržení hlukových limitů. </w:t>
      </w:r>
    </w:p>
    <w:p w14:paraId="13619F27" w14:textId="3765609F" w:rsidR="00103499" w:rsidRDefault="00103499" w:rsidP="006A385A">
      <w:pPr>
        <w:pStyle w:val="Podnadpis1"/>
        <w:numPr>
          <w:ilvl w:val="0"/>
          <w:numId w:val="51"/>
        </w:numPr>
        <w:jc w:val="both"/>
        <w:rPr>
          <w:rFonts w:eastAsia="Arial"/>
          <w:b w:val="0"/>
          <w:i w:val="0"/>
          <w:snapToGrid/>
          <w:color w:val="auto"/>
          <w:szCs w:val="22"/>
        </w:rPr>
      </w:pPr>
      <w:r w:rsidRPr="00111F34">
        <w:rPr>
          <w:rFonts w:eastAsia="Arial"/>
          <w:b w:val="0"/>
          <w:i w:val="0"/>
          <w:snapToGrid/>
          <w:color w:val="auto"/>
          <w:szCs w:val="22"/>
        </w:rPr>
        <w:t xml:space="preserve">Při umisťování tramvajové trati v prostoru podél skalních výchozů Baba a Podbabské skály a ve vizuálním kontaktu s železničním viaduktem při ulici V Podbabě zajistit posouzení záměru na krajinný ráz dle §12 zákona č. 114/1992 </w:t>
      </w:r>
      <w:r w:rsidR="00F94D3C" w:rsidRPr="00111F34">
        <w:rPr>
          <w:rFonts w:eastAsia="Arial"/>
          <w:b w:val="0"/>
          <w:i w:val="0"/>
          <w:snapToGrid/>
          <w:color w:val="auto"/>
          <w:szCs w:val="22"/>
        </w:rPr>
        <w:t>Sb.</w:t>
      </w:r>
      <w:r w:rsidR="00C51945" w:rsidRPr="00111F34">
        <w:rPr>
          <w:rFonts w:eastAsia="Arial"/>
          <w:b w:val="0"/>
          <w:i w:val="0"/>
          <w:snapToGrid/>
          <w:color w:val="auto"/>
          <w:szCs w:val="22"/>
        </w:rPr>
        <w:t>,</w:t>
      </w:r>
      <w:r w:rsidRPr="00111F34">
        <w:rPr>
          <w:rFonts w:eastAsia="Arial"/>
          <w:b w:val="0"/>
          <w:i w:val="0"/>
          <w:snapToGrid/>
          <w:color w:val="auto"/>
          <w:szCs w:val="22"/>
        </w:rPr>
        <w:t xml:space="preserve"> o ochraně přírody a krajiny, a zároveň stavbu koordinovat s příslušnými orgány památkové ochrany. </w:t>
      </w:r>
    </w:p>
    <w:p w14:paraId="42F62A92" w14:textId="77777777" w:rsidR="00DA39A6" w:rsidRPr="00DA39A6" w:rsidRDefault="00DA39A6" w:rsidP="00DA39A6">
      <w:pPr>
        <w:pStyle w:val="Odstavecseseznamem"/>
        <w:numPr>
          <w:ilvl w:val="0"/>
          <w:numId w:val="51"/>
        </w:numPr>
      </w:pPr>
      <w:r w:rsidRPr="00DA39A6">
        <w:t>Z důvodu předběžné opatrnosti doporučujeme, aby ještě před fázi přípravy území pro výstavbu v rozvojovém území Nový Sedlec, byla v součinnosti s územně příslušným orgánem ochrany přírody a krajiny stanovena a vyznačena jednoznačná hranice, za kterou stavební čára nesmí překročit. Jedná se především o to, aby úpravy terénu pro výstavbu spojené s odtěžováním, vyhrnováním a přesouváním zemin v areálu cihelny severně, do prostoru EVL zbytečně nezasáhly. V této souvislosti se jeví jako vhodné zesouladit průběh hranic PP Podbabské skály a segmentu EVL, a tyto hranice v kontaktní zóně se změnou Z 3827/00 dle odborných kritérií upravit.</w:t>
      </w:r>
    </w:p>
    <w:p w14:paraId="78CBF96E" w14:textId="77777777" w:rsidR="00DA39A6" w:rsidRPr="00DA39A6" w:rsidRDefault="00DA39A6" w:rsidP="00DA39A6">
      <w:pPr>
        <w:pStyle w:val="Odstavecseseznamem"/>
      </w:pPr>
    </w:p>
    <w:p w14:paraId="59A8FCC6" w14:textId="7820DC28" w:rsidR="00DA39A6" w:rsidRPr="00DA39A6" w:rsidRDefault="00DA39A6" w:rsidP="00DA39A6">
      <w:pPr>
        <w:pStyle w:val="Odstavecseseznamem"/>
        <w:numPr>
          <w:ilvl w:val="0"/>
          <w:numId w:val="51"/>
        </w:numPr>
      </w:pPr>
      <w:r w:rsidRPr="00DA39A6">
        <w:t>Potenciálnímu riziku zvýšené zátěže EVL, spojené se zvýšenou návštěvností, lze částečně předejít i návrhem příp. organizačních opatření z hlediska regulace návštěvnosti, zákazu vstupu cyklistů, či venčení psů, příp. i oplocením části EVL (avšak s ohledem na zachování prostupnosti v území podél jihozápadního okraje EVL, mimo koridor stezky vedoucí od severu k jihu podél zídky do ulice Pod Babou). Takovému opatření by po realizaci záměrů v rozvojové lokalitě ale měl předcházet monitoring území, spojený se sledováním míry návštěvnosti lokality, a stavu přírodních stanovišť.</w:t>
      </w:r>
    </w:p>
    <w:p w14:paraId="38D8626C" w14:textId="76937E4F" w:rsidR="00194A11" w:rsidRPr="00F94D3C" w:rsidRDefault="00194A11" w:rsidP="00103499">
      <w:pPr>
        <w:pStyle w:val="Podnadpis1"/>
        <w:rPr>
          <w:u w:val="single"/>
        </w:rPr>
      </w:pPr>
      <w:r w:rsidRPr="00F94D3C">
        <w:rPr>
          <w:u w:val="single"/>
        </w:rPr>
        <w:t>Shrnutí:</w:t>
      </w:r>
    </w:p>
    <w:p w14:paraId="29885F2E" w14:textId="2F555A3A" w:rsidR="00194A11" w:rsidRPr="00111F34" w:rsidRDefault="00194A11" w:rsidP="00BD7256">
      <w:r w:rsidRPr="00F94D3C">
        <w:t>Tato opatření obsažená ve výrokové části, resp. vyplývající z legislativních požadavků, považuje zpracovatel vyhodnocení</w:t>
      </w:r>
      <w:r w:rsidR="00307B50" w:rsidRPr="00F94D3C">
        <w:t>,</w:t>
      </w:r>
      <w:r w:rsidRPr="00F94D3C">
        <w:t xml:space="preserve"> z hlediska akceptovatelnosti návrhu posuzované ÚPD</w:t>
      </w:r>
      <w:r w:rsidR="00F94D3C" w:rsidRPr="00F94D3C">
        <w:t xml:space="preserve"> při promítnutí výše uvedeného požadavku na změnu funkčního využití plochy OB-D v Novém Sedlci mezi ulicí Kamýcká a budoucí tramvajovou tratí</w:t>
      </w:r>
      <w:r w:rsidR="00307B50" w:rsidRPr="00F94D3C">
        <w:t>,</w:t>
      </w:r>
      <w:r w:rsidRPr="00F94D3C">
        <w:t xml:space="preserve"> </w:t>
      </w:r>
      <w:r w:rsidR="003C2C22" w:rsidRPr="00F94D3C">
        <w:t>z</w:t>
      </w:r>
      <w:r w:rsidRPr="00F94D3C">
        <w:t xml:space="preserve">a </w:t>
      </w:r>
      <w:r w:rsidR="00307B50" w:rsidRPr="00F94D3C">
        <w:t xml:space="preserve">dostatečná </w:t>
      </w:r>
      <w:r w:rsidRPr="00F94D3C">
        <w:t>na příslušné strategické úrovni. Do části odůvodnění, část C, budou zapracovány výše uvedené požadavky na rozhodování ve vymezených plochách, které jsou navrženy pro minimalizaci všech zjištěných negativních vlivů na životní prostředí a veřejné zdraví identifikovaných na základě SEA (tj. potenciálně negativních vlivů na</w:t>
      </w:r>
      <w:r w:rsidR="00103499" w:rsidRPr="00F94D3C">
        <w:t xml:space="preserve"> biotickou složku krajiny,</w:t>
      </w:r>
      <w:r w:rsidRPr="00F94D3C">
        <w:t xml:space="preserve"> klima, retenční schopnost území, horninové prostředí a hlukovou zátěž včetně synergických vlivů), a které je třeba uplatnit v navazujících řízeních (územní a stavební řízení).</w:t>
      </w:r>
    </w:p>
    <w:p w14:paraId="668F8F6E" w14:textId="2C7E4049" w:rsidR="00F960D0" w:rsidRPr="007E2FB4" w:rsidRDefault="0007717F" w:rsidP="00794578">
      <w:r w:rsidRPr="00111F34">
        <w:rPr>
          <w:rFonts w:cs="Arial"/>
          <w:b/>
        </w:rPr>
        <w:t>V rámci posouzení nebyly</w:t>
      </w:r>
      <w:r w:rsidR="00BB70AB" w:rsidRPr="00111F34">
        <w:rPr>
          <w:rFonts w:cs="Arial"/>
          <w:b/>
        </w:rPr>
        <w:t xml:space="preserve"> </w:t>
      </w:r>
      <w:r w:rsidRPr="00111F34">
        <w:rPr>
          <w:rFonts w:cs="Arial"/>
          <w:b/>
        </w:rPr>
        <w:t xml:space="preserve">zjištěny </w:t>
      </w:r>
      <w:r w:rsidR="00FA1135" w:rsidRPr="00111F34">
        <w:rPr>
          <w:rFonts w:cs="Arial"/>
          <w:b/>
        </w:rPr>
        <w:t>takové</w:t>
      </w:r>
      <w:r w:rsidRPr="00111F34">
        <w:rPr>
          <w:rFonts w:cs="Arial"/>
          <w:b/>
        </w:rPr>
        <w:t xml:space="preserve"> skutečnosti, které by bránily </w:t>
      </w:r>
      <w:r w:rsidR="00773A58" w:rsidRPr="00111F34">
        <w:rPr>
          <w:rFonts w:cs="Arial"/>
          <w:b/>
        </w:rPr>
        <w:t xml:space="preserve">realizaci </w:t>
      </w:r>
      <w:r w:rsidR="00553E14" w:rsidRPr="00111F34">
        <w:rPr>
          <w:rFonts w:cs="Arial"/>
          <w:b/>
        </w:rPr>
        <w:t>posouzené</w:t>
      </w:r>
      <w:r w:rsidR="00032D05" w:rsidRPr="00111F34">
        <w:rPr>
          <w:rFonts w:cs="Arial"/>
          <w:b/>
        </w:rPr>
        <w:t xml:space="preserve"> změn</w:t>
      </w:r>
      <w:r w:rsidR="00553E14" w:rsidRPr="00111F34">
        <w:rPr>
          <w:rFonts w:cs="Arial"/>
          <w:b/>
        </w:rPr>
        <w:t>y</w:t>
      </w:r>
      <w:r w:rsidR="00B62830" w:rsidRPr="00111F34">
        <w:rPr>
          <w:rFonts w:cs="Arial"/>
          <w:b/>
        </w:rPr>
        <w:t xml:space="preserve"> </w:t>
      </w:r>
      <w:r w:rsidR="00773A58" w:rsidRPr="00111F34">
        <w:rPr>
          <w:rFonts w:cs="Arial"/>
          <w:b/>
        </w:rPr>
        <w:t>územního plánu jako celku</w:t>
      </w:r>
      <w:r w:rsidRPr="00111F34">
        <w:rPr>
          <w:rFonts w:cs="Arial"/>
          <w:b/>
        </w:rPr>
        <w:t xml:space="preserve">. </w:t>
      </w:r>
      <w:r w:rsidR="00BB70AB" w:rsidRPr="00111F34">
        <w:rPr>
          <w:rFonts w:cs="Arial"/>
          <w:b/>
        </w:rPr>
        <w:t xml:space="preserve">V případě zjištěných negativních vlivů byly v jednotlivých případech navrženy </w:t>
      </w:r>
      <w:r w:rsidR="00F94D3C">
        <w:rPr>
          <w:rFonts w:cs="Arial"/>
          <w:b/>
        </w:rPr>
        <w:t xml:space="preserve">podmínky, </w:t>
      </w:r>
      <w:r w:rsidR="002F727C" w:rsidRPr="00111F34">
        <w:rPr>
          <w:rFonts w:cs="Arial"/>
          <w:b/>
        </w:rPr>
        <w:t>požadavky</w:t>
      </w:r>
      <w:r w:rsidR="00BB70AB" w:rsidRPr="00111F34">
        <w:rPr>
          <w:rFonts w:cs="Arial"/>
          <w:b/>
        </w:rPr>
        <w:t xml:space="preserve"> a opatření pro minimalizaci negativních vlivů na jednotlivé sledované charakteristiky životního prostředí a veřejného zdraví.</w:t>
      </w:r>
      <w:r w:rsidR="00BB70AB" w:rsidRPr="007E2FB4">
        <w:rPr>
          <w:rFonts w:cs="Arial"/>
          <w:b/>
        </w:rPr>
        <w:t xml:space="preserve"> </w:t>
      </w:r>
    </w:p>
    <w:p w14:paraId="42F69250" w14:textId="627A9C3F" w:rsidR="00794578" w:rsidRPr="00111F34" w:rsidRDefault="00794578" w:rsidP="00BA72D5">
      <w:pPr>
        <w:pStyle w:val="Nadpis1"/>
      </w:pPr>
      <w:bookmarkStart w:id="349" w:name="_Toc531606282"/>
      <w:bookmarkStart w:id="350" w:name="_Toc29298371"/>
      <w:bookmarkStart w:id="351" w:name="_Toc138848149"/>
      <w:r w:rsidRPr="00111F34">
        <w:lastRenderedPageBreak/>
        <w:t>Vyhodnocení vlivů územního plánu na</w:t>
      </w:r>
      <w:r w:rsidR="00A97E3C" w:rsidRPr="00111F34">
        <w:t> </w:t>
      </w:r>
      <w:r w:rsidRPr="00111F34">
        <w:t>evropsky významné lokality nebo ptačí oblasti</w:t>
      </w:r>
      <w:bookmarkEnd w:id="349"/>
      <w:bookmarkEnd w:id="350"/>
      <w:bookmarkEnd w:id="351"/>
    </w:p>
    <w:p w14:paraId="461BD084" w14:textId="40C99A9B" w:rsidR="00610EF5" w:rsidRPr="00111F34" w:rsidRDefault="00553E14" w:rsidP="00610EF5">
      <w:r w:rsidRPr="00111F34">
        <w:t>Odbor ochrany prostředí MHMP, jako příslušný orgán ochrany přírody podle § 45i odst. 1 zákona č. 114/1992 Sb., o ochraně přírody a krajiny, v platném znění, stanoviskem č. j.</w:t>
      </w:r>
      <w:r w:rsidR="00610EF5" w:rsidRPr="00111F34">
        <w:t xml:space="preserve"> MHMP 456845/2020</w:t>
      </w:r>
      <w:r w:rsidR="004761E4" w:rsidRPr="00111F34">
        <w:t xml:space="preserve"> dne </w:t>
      </w:r>
      <w:r w:rsidR="00610EF5" w:rsidRPr="00111F34">
        <w:t>18</w:t>
      </w:r>
      <w:r w:rsidR="004761E4" w:rsidRPr="00111F34">
        <w:t>.</w:t>
      </w:r>
      <w:r w:rsidR="006A385A" w:rsidRPr="00111F34">
        <w:t xml:space="preserve"> </w:t>
      </w:r>
      <w:r w:rsidR="00610EF5" w:rsidRPr="00111F34">
        <w:t xml:space="preserve">5. </w:t>
      </w:r>
      <w:r w:rsidR="004761E4" w:rsidRPr="00111F34">
        <w:t xml:space="preserve">2020 </w:t>
      </w:r>
      <w:r w:rsidR="00610EF5" w:rsidRPr="00111F34">
        <w:t>ne</w:t>
      </w:r>
      <w:r w:rsidRPr="00111F34">
        <w:t>vyloučil vliv na evropsky významné lokality a ptačí oblasti.</w:t>
      </w:r>
      <w:r w:rsidR="00960D72" w:rsidRPr="00111F34">
        <w:t xml:space="preserve"> </w:t>
      </w:r>
    </w:p>
    <w:p w14:paraId="6556509A" w14:textId="74F232F8" w:rsidR="00610EF5" w:rsidRPr="00111F34" w:rsidRDefault="00610EF5" w:rsidP="00610EF5">
      <w:r w:rsidRPr="00111F34">
        <w:t xml:space="preserve">Magistrát hl. m. Prahy, odbor ochrany prostředí (dále jen OCP MHMP), jako příslušný orgán ochrany přírody dle ust. § 77a odst. 4 písm. n) zákona č. 114/1992 Sb., o ochraně přírody a krajiny, ve znění pozdějších předpisů (dále jen „zákon“), ve spojení s ustanovením § 31 odst. 1 zákona č. 131/2000 Sb. o hlavním městě Praze, ve znění pozdějších předpisů vyhodnotil na základě žádosti (IPR Praha ze dne 13. 2. 2020), možnosti vlivu výše uvedené změny ÚP SÚ hl. 4/4 Č.j. MHMP 456845/2020 m. Prahy na lokality soustavy Natura 2000 a vydává stanovisko podle § 45i odst. 1 téhož zákona v tom smyslu, že hodnocená změna ÚP SÚ hl. m. Prahy může mít významný vliv a to samostatně nebo ve spojení s jinými koncepcemi nebo záměry na evropsky významnou lokalitu CZ0110154 - Kaňon Vltavy u Sedlce v územní působnosti OCP MHMP. OCP MHMP jako dotčený orgán ochrany přírody uplatňuje stanovisko k předloženému návrhu zadání změny ÚP SÚ hl. m. Prahy v tom smyslu, že u něj nevylučuje významný vliv na příznivý stav předmětu ochrany nebo celistvost evropsky významných lokalit nebo ptačích oblastí soustavy Natura 2000 v působnosti OCP MHMP. Nejbližší evropsky významnou lokalitu (EVL) od navrhovaného záměru je EVL </w:t>
      </w:r>
      <w:r w:rsidR="00C51945" w:rsidRPr="00111F34">
        <w:t>CZ0110154 – Kaňon</w:t>
      </w:r>
      <w:r w:rsidRPr="00111F34">
        <w:t xml:space="preserve"> Vltavy u Sedlce, která je přímo zahrnuta do plochy vymezeného podnětu na změnu. Tato EVL byla vymezena pro ochranu stanovišť: kontinentální opadavé křoviny, panonské skalní trávníky (</w:t>
      </w:r>
      <w:r w:rsidR="00F94D3C" w:rsidRPr="00111F34">
        <w:t>A. XI.</w:t>
      </w:r>
      <w:r w:rsidRPr="00111F34">
        <w:t xml:space="preserve"> pallentis), polopřirozené suché trávníky a facie křovin na vápnitých podložích (</w:t>
      </w:r>
      <w:r w:rsidR="00F94D3C" w:rsidRPr="00111F34">
        <w:t>A. XI.</w:t>
      </w:r>
      <w:r w:rsidRPr="00111F34">
        <w:t>), chasmofytická vegetace silikátových skalnatých svahů a pionýrská vegetace silikátových skal (</w:t>
      </w:r>
      <w:r w:rsidR="00F94D3C" w:rsidRPr="00111F34">
        <w:t>A. XI.</w:t>
      </w:r>
      <w:r w:rsidRPr="00111F34">
        <w:t xml:space="preserve">, </w:t>
      </w:r>
      <w:r w:rsidR="00F94D3C" w:rsidRPr="00111F34">
        <w:t>Sedu</w:t>
      </w:r>
      <w:r w:rsidRPr="00111F34">
        <w:t xml:space="preserve"> albi-</w:t>
      </w:r>
      <w:proofErr w:type="spellStart"/>
      <w:r w:rsidRPr="00111F34">
        <w:t>Veronicion</w:t>
      </w:r>
      <w:proofErr w:type="spellEnd"/>
      <w:r w:rsidRPr="00111F34">
        <w:t xml:space="preserve"> </w:t>
      </w:r>
      <w:proofErr w:type="spellStart"/>
      <w:r w:rsidRPr="00111F34">
        <w:t>dillenii</w:t>
      </w:r>
      <w:proofErr w:type="spellEnd"/>
      <w:r w:rsidRPr="00111F34">
        <w:t xml:space="preserve">). Společenstva jsou </w:t>
      </w:r>
      <w:r w:rsidR="00C51945" w:rsidRPr="00111F34">
        <w:t>ohrožena</w:t>
      </w:r>
      <w:r w:rsidRPr="00111F34">
        <w:t xml:space="preserve"> eutrofizací, šířením ruderálních a nepůvodních druhů, zarůstáním vyššími křovinami nebo náletem stromů.</w:t>
      </w:r>
    </w:p>
    <w:p w14:paraId="3F329366" w14:textId="63837B3D" w:rsidR="00610EF5" w:rsidRPr="00C97049" w:rsidRDefault="00610EF5" w:rsidP="00610EF5">
      <w:r w:rsidRPr="00111F34">
        <w:t>Vzhledem k výše uvedenému je součástí tohoto vyhodnocení i Vyhodnocení vlivů na evropsky významné oblasti a ptačí oblasti dle § 45i zákona č. 114/1992 Sb., o ochraně přírody a krajiny, provedené autorizovanou osobou Ing. Pavlem Koláčkem, PhD. Jedná se o samostatný dokument, který je v kompletní formě přiložen jako příloha č. 1 tohoto dokumentu. Níže uvádíme jen stručné shrnutí.</w:t>
      </w:r>
    </w:p>
    <w:p w14:paraId="2E0427BF" w14:textId="59AFC6AC" w:rsidR="00DA39A6" w:rsidRPr="00DA39A6" w:rsidRDefault="00DA39A6" w:rsidP="00DA39A6">
      <w:r w:rsidRPr="00DA39A6">
        <w:rPr>
          <w:lang w:eastAsia="cs-CZ"/>
        </w:rPr>
        <w:t xml:space="preserve">Z </w:t>
      </w:r>
      <w:r w:rsidRPr="00DA39A6">
        <w:t xml:space="preserve">provedeného vyhodnocení předložené </w:t>
      </w:r>
      <w:r w:rsidR="00F94D3C" w:rsidRPr="00DA39A6">
        <w:t>koncepce – změny</w:t>
      </w:r>
      <w:r w:rsidRPr="00DA39A6">
        <w:t xml:space="preserve"> ÚP hl. m. Prahy Z 3827/00 na </w:t>
      </w:r>
      <w:r w:rsidRPr="00DA39A6">
        <w:rPr>
          <w:lang w:eastAsia="cs-CZ"/>
        </w:rPr>
        <w:t>EVL Kaňon Vltavy u Sedlce</w:t>
      </w:r>
      <w:r w:rsidRPr="00DA39A6">
        <w:t xml:space="preserve"> a jejich předměty ochrany, vyplývá následující:</w:t>
      </w:r>
    </w:p>
    <w:p w14:paraId="707591A4" w14:textId="77777777" w:rsidR="00DA39A6" w:rsidRPr="00DA39A6" w:rsidRDefault="00DA39A6" w:rsidP="00DA39A6">
      <w:pPr>
        <w:pStyle w:val="Podnadpis1"/>
      </w:pPr>
      <w:r w:rsidRPr="00DA39A6">
        <w:t xml:space="preserve">Shrnutí výsledků Vyhodnocení vlivů na evropsky významné oblasti a ptačí oblasti dle § 45i zákona č. 114/1992 Sb., o ochraně přírody a krajiny </w:t>
      </w:r>
    </w:p>
    <w:p w14:paraId="696136D0" w14:textId="77777777" w:rsidR="00DA39A6" w:rsidRPr="00DA39A6" w:rsidRDefault="00DA39A6" w:rsidP="00DA39A6">
      <w:pPr>
        <w:rPr>
          <w:lang w:eastAsia="cs-CZ"/>
        </w:rPr>
      </w:pPr>
      <w:r w:rsidRPr="00DA39A6">
        <w:rPr>
          <w:lang w:eastAsia="cs-CZ"/>
        </w:rPr>
        <w:t>Do řešeného území změny ÚP Z 3827/00 je zahrnuta evropsky významná lokalita (EVL) Kaňon Vltavy u Sedlce (CZ0110154). U této evropsky významné lokality OOP nevyloučil významný vliv na příznivý stav předmětu ochrany nebo jejich celistvost.</w:t>
      </w:r>
    </w:p>
    <w:p w14:paraId="5180BBAD" w14:textId="77777777" w:rsidR="00DA39A6" w:rsidRPr="00DA39A6" w:rsidRDefault="00DA39A6" w:rsidP="00DA39A6">
      <w:pPr>
        <w:rPr>
          <w:lang w:eastAsia="cs-CZ"/>
        </w:rPr>
      </w:pPr>
      <w:r w:rsidRPr="00DA39A6">
        <w:rPr>
          <w:lang w:eastAsia="cs-CZ"/>
        </w:rPr>
        <w:t xml:space="preserve">EVL Kaňon Vltavy u Sedlece vytváří disjunktní území sestávající z 8 segmentů. Potenciálně dotčeným je pouze 1 segment EVL v levobřežní části údolí Vltavy, zahrnující větší část přírodní památky Podbabské skály. Ostatní segmenty leží mimo prostor změny ÚP Z 3827/00 a nebudou nijak dotčeny, přičemž nejjižnější segment, zahrnující PP Baba, je pak od řešeného území změny ÚP oddělen koridorem železniční trati. </w:t>
      </w:r>
    </w:p>
    <w:p w14:paraId="52ACCE30" w14:textId="77777777" w:rsidR="00DA39A6" w:rsidRPr="00DA39A6" w:rsidRDefault="00DA39A6" w:rsidP="00DA39A6">
      <w:pPr>
        <w:rPr>
          <w:b/>
          <w:bCs/>
          <w:lang w:eastAsia="cs-CZ"/>
        </w:rPr>
      </w:pPr>
      <w:r w:rsidRPr="00DA39A6">
        <w:rPr>
          <w:b/>
          <w:bCs/>
          <w:lang w:eastAsia="cs-CZ"/>
        </w:rPr>
        <w:t xml:space="preserve">Vlivy přímé </w:t>
      </w:r>
    </w:p>
    <w:p w14:paraId="4A6EE852" w14:textId="401E73A2" w:rsidR="00DA39A6" w:rsidRPr="00DA39A6" w:rsidRDefault="00DA39A6" w:rsidP="00DA39A6">
      <w:pPr>
        <w:rPr>
          <w:lang w:eastAsia="cs-CZ"/>
        </w:rPr>
      </w:pPr>
      <w:r w:rsidRPr="00DA39A6">
        <w:rPr>
          <w:lang w:eastAsia="cs-CZ"/>
        </w:rPr>
        <w:t xml:space="preserve">Ve vztahu k EVL Kaňon Vltavy u Sedlce je v rámci řešeného území Z 3827/00 relevantní především rozvojová lokalita Nový Sedlec, zahrnující zde návrhové plochy změn pro bydlení čisté (OB), všeobecně obytné (OV), všeobecně smíšené (SV), veřejného vybavení (VV), </w:t>
      </w:r>
      <w:r w:rsidR="00F94D3C" w:rsidRPr="00DA39A6">
        <w:rPr>
          <w:lang w:eastAsia="cs-CZ"/>
        </w:rPr>
        <w:t>oddechu – částečně</w:t>
      </w:r>
      <w:r w:rsidRPr="00DA39A6">
        <w:rPr>
          <w:lang w:eastAsia="cs-CZ"/>
        </w:rPr>
        <w:t xml:space="preserve"> urbanizované rekreační </w:t>
      </w:r>
      <w:r w:rsidR="00F94D3C" w:rsidRPr="00DA39A6">
        <w:rPr>
          <w:lang w:eastAsia="cs-CZ"/>
        </w:rPr>
        <w:t>plochy – zvláštní</w:t>
      </w:r>
      <w:r w:rsidRPr="00DA39A6">
        <w:rPr>
          <w:lang w:eastAsia="cs-CZ"/>
        </w:rPr>
        <w:t xml:space="preserve"> rekreační aktivity (SO), sadů, zahrad a vinic (PS) a sportu (SP). Tyto plochy jsou uceleně soustředěny do rozvojového území (dnes charakteru </w:t>
      </w:r>
      <w:r w:rsidR="00F94D3C" w:rsidRPr="00DA39A6">
        <w:rPr>
          <w:lang w:eastAsia="cs-CZ"/>
        </w:rPr>
        <w:t>brownfieldu – bývalé</w:t>
      </w:r>
      <w:r w:rsidRPr="00DA39A6">
        <w:rPr>
          <w:lang w:eastAsia="cs-CZ"/>
        </w:rPr>
        <w:t xml:space="preserve"> cihelny a přilehlých provozů a ladem ponechaných zbytkových ploch) severně od předmětné EVL. Toto rozvojové území je prostřednictvím návrhu ploch zeleně městské a krajinné (ZMK), jež zahrnou větší část stávajícího pásu dřevinných porostů, v dotyku podél severní hranice EVL. Linie jižního okraje vlastního rozvojového území s budoucí zástavbou je v rámci změny ÚP navržena v oblouku, co nejdál od hrany svahu, s návrhem vymezení ploch zeleně městské a krajinné (ZMK) podél jižního obvodu tohoto rozvojového území. Rovněž trasování tramvaje žádným způsobem do EVL nezasahuje, v území největšího přiblížení je její trasa od segmentů EVL oddělena stávající železniční tratí.</w:t>
      </w:r>
    </w:p>
    <w:p w14:paraId="1BD36650" w14:textId="77777777" w:rsidR="00DA39A6" w:rsidRPr="00DA39A6" w:rsidRDefault="00DA39A6" w:rsidP="00DA39A6">
      <w:pPr>
        <w:rPr>
          <w:lang w:eastAsia="cs-CZ"/>
        </w:rPr>
      </w:pPr>
      <w:r w:rsidRPr="00DA39A6">
        <w:rPr>
          <w:noProof/>
        </w:rPr>
        <w:lastRenderedPageBreak/>
        <w:drawing>
          <wp:inline distT="0" distB="0" distL="0" distR="0" wp14:anchorId="4EE8EB1F" wp14:editId="5890EF42">
            <wp:extent cx="6120130" cy="3906125"/>
            <wp:effectExtent l="0" t="0" r="0" b="0"/>
            <wp:docPr id="1059729806" name="Obrázek 1" descr="Obsah obrázku mapa,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729806" name="Obrázek 1" descr="Obsah obrázku mapa, text&#10;&#10;Popis byl vytvořen automaticky"/>
                    <pic:cNvPicPr/>
                  </pic:nvPicPr>
                  <pic:blipFill>
                    <a:blip r:embed="rId129" cstate="print">
                      <a:extLst>
                        <a:ext uri="{28A0092B-C50C-407E-A947-70E740481C1C}">
                          <a14:useLocalDpi xmlns:a14="http://schemas.microsoft.com/office/drawing/2010/main"/>
                        </a:ext>
                      </a:extLst>
                    </a:blip>
                    <a:stretch>
                      <a:fillRect/>
                    </a:stretch>
                  </pic:blipFill>
                  <pic:spPr>
                    <a:xfrm>
                      <a:off x="0" y="0"/>
                      <a:ext cx="6120130" cy="3906125"/>
                    </a:xfrm>
                    <a:prstGeom prst="rect">
                      <a:avLst/>
                    </a:prstGeom>
                  </pic:spPr>
                </pic:pic>
              </a:graphicData>
            </a:graphic>
          </wp:inline>
        </w:drawing>
      </w:r>
      <w:r w:rsidRPr="00DA39A6">
        <w:rPr>
          <w:lang w:eastAsia="cs-CZ"/>
        </w:rPr>
        <w:t xml:space="preserve"> </w:t>
      </w:r>
    </w:p>
    <w:p w14:paraId="1808BA58" w14:textId="77777777" w:rsidR="00DA39A6" w:rsidRPr="00DA39A6" w:rsidRDefault="00DA39A6" w:rsidP="00DA39A6">
      <w:pPr>
        <w:pStyle w:val="Obrnadpis"/>
      </w:pPr>
      <w:r w:rsidRPr="00DA39A6">
        <w:t xml:space="preserve"> </w:t>
      </w:r>
      <w:bookmarkStart w:id="352" w:name="_Toc138848232"/>
      <w:r w:rsidRPr="00DA39A6">
        <w:t>Návrhové plochy funkčního využití v rámci změny ÚP Z 3827/00. Segmenty bez výplně pak představují území, kde ke změnám funkčního využití nedochází.</w:t>
      </w:r>
      <w:bookmarkEnd w:id="352"/>
      <w:r w:rsidRPr="00DA39A6">
        <w:t xml:space="preserve"> </w:t>
      </w:r>
    </w:p>
    <w:p w14:paraId="21E18D0D" w14:textId="7E5A8F36" w:rsidR="00DA39A6" w:rsidRPr="00DA39A6" w:rsidRDefault="00DA39A6" w:rsidP="00DA39A6">
      <w:pPr>
        <w:rPr>
          <w:lang w:eastAsia="cs-CZ"/>
        </w:rPr>
      </w:pPr>
      <w:r w:rsidRPr="00DA39A6">
        <w:rPr>
          <w:noProof/>
        </w:rPr>
        <w:drawing>
          <wp:inline distT="0" distB="0" distL="0" distR="0" wp14:anchorId="4B379F80" wp14:editId="2FEEDA40">
            <wp:extent cx="6120130" cy="3901806"/>
            <wp:effectExtent l="0" t="0" r="0" b="0"/>
            <wp:docPr id="804217310" name="Obrázek 1" descr="Obsah obrázku mapa,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217310" name="Obrázek 1" descr="Obsah obrázku mapa, text&#10;&#10;Popis byl vytvořen automaticky"/>
                    <pic:cNvPicPr/>
                  </pic:nvPicPr>
                  <pic:blipFill>
                    <a:blip r:embed="rId130" cstate="print">
                      <a:extLst>
                        <a:ext uri="{28A0092B-C50C-407E-A947-70E740481C1C}">
                          <a14:useLocalDpi xmlns:a14="http://schemas.microsoft.com/office/drawing/2010/main"/>
                        </a:ext>
                      </a:extLst>
                    </a:blip>
                    <a:stretch>
                      <a:fillRect/>
                    </a:stretch>
                  </pic:blipFill>
                  <pic:spPr>
                    <a:xfrm>
                      <a:off x="0" y="0"/>
                      <a:ext cx="6120130" cy="3901806"/>
                    </a:xfrm>
                    <a:prstGeom prst="rect">
                      <a:avLst/>
                    </a:prstGeom>
                  </pic:spPr>
                </pic:pic>
              </a:graphicData>
            </a:graphic>
          </wp:inline>
        </w:drawing>
      </w:r>
    </w:p>
    <w:p w14:paraId="64ECDF59" w14:textId="77777777" w:rsidR="00DA39A6" w:rsidRPr="00DA39A6" w:rsidRDefault="00DA39A6" w:rsidP="00DA39A6">
      <w:pPr>
        <w:pStyle w:val="Obrnadpis"/>
      </w:pPr>
      <w:bookmarkStart w:id="353" w:name="_Toc138848233"/>
      <w:r w:rsidRPr="00DA39A6">
        <w:t>Průmět návrhových ploch funkčního využití změny ÚP Z 3827/00 s plochami funkčního využití v platném ÚP hl. m. Prahy (bílý podkres).</w:t>
      </w:r>
      <w:bookmarkEnd w:id="353"/>
      <w:r w:rsidRPr="00DA39A6">
        <w:t xml:space="preserve"> </w:t>
      </w:r>
    </w:p>
    <w:p w14:paraId="6E4138F0" w14:textId="176D42EB" w:rsidR="00DA39A6" w:rsidRPr="00DA39A6" w:rsidRDefault="00DA39A6" w:rsidP="00DA39A6">
      <w:pPr>
        <w:rPr>
          <w:lang w:eastAsia="cs-CZ"/>
        </w:rPr>
      </w:pPr>
      <w:r w:rsidRPr="00DA39A6">
        <w:rPr>
          <w:lang w:eastAsia="cs-CZ"/>
        </w:rPr>
        <w:lastRenderedPageBreak/>
        <w:t>Územní střet s EVL Kaňon Vltavy u Sedlce je dán prakticky jen zahrnutím prostoru Podbabských skal do řešeného území změny ÚP Z 3827/00. Z hlediska vymezení návrhových ploch změn využití však v prostoru, který zahrnuje území EVL, ke změnám stávajícího funkčního využití (</w:t>
      </w:r>
      <w:r w:rsidR="00F94D3C" w:rsidRPr="00DA39A6">
        <w:rPr>
          <w:lang w:eastAsia="cs-CZ"/>
        </w:rPr>
        <w:t>ZMK – zeleň</w:t>
      </w:r>
      <w:r w:rsidRPr="00DA39A6">
        <w:rPr>
          <w:lang w:eastAsia="cs-CZ"/>
        </w:rPr>
        <w:t xml:space="preserve"> městská, krajinná) prakticky nedochází. Změny funkčního využití v přiléhajícím území areálu cihelny severně, zahrnují změnu funkčního využití z ploch NL/OB-B (louky a pastviny, územní rezerva pro bydlení čistě obytné) na plochy ZMK, kde tato změna velmi okrajově zasahuje do severovýchodního cípu EVL. Dále je to změna z ploch NL/OB-B a ploch ZMK na plochu PS (sady, zahrady vinice), která se EVL pouze dotýká. Vymezení rozvojové lokality zahrnující areál bývalé cihelny a návrhy změn funkčního využití tak ve výsledku stabilizují hranici mezi EVL a rozvojovým územím dalším posílením pásu ploch městské krajinné zeleně, doplněných skladebnými částmi ÚSES, kde v rámci změny ÚP dochází k úpravám jejich současného vymezení v platném ÚP hl. m. Prahy, vč. zahrnutí jihozápadní části EVL do ÚSES.</w:t>
      </w:r>
    </w:p>
    <w:p w14:paraId="573246B2" w14:textId="160738D4" w:rsidR="00DA39A6" w:rsidRPr="00DA39A6" w:rsidRDefault="00DA39A6" w:rsidP="00DA39A6">
      <w:pPr>
        <w:rPr>
          <w:lang w:eastAsia="cs-CZ"/>
        </w:rPr>
      </w:pPr>
      <w:r w:rsidRPr="00DA39A6">
        <w:rPr>
          <w:lang w:eastAsia="cs-CZ"/>
        </w:rPr>
        <w:t xml:space="preserve">Od jihu se pak k prostoru Podbabských skal přibližuje záměr tramvajové trati, který je v úseku </w:t>
      </w:r>
      <w:r w:rsidR="00F94D3C" w:rsidRPr="00DA39A6">
        <w:rPr>
          <w:lang w:eastAsia="cs-CZ"/>
        </w:rPr>
        <w:t>Podbabská – křižovatka</w:t>
      </w:r>
      <w:r w:rsidRPr="00DA39A6">
        <w:rPr>
          <w:lang w:eastAsia="cs-CZ"/>
        </w:rPr>
        <w:t xml:space="preserve"> Roztocká x Kamýcká veden v relativní blízkosti vůči území EVL. Je však fyzicky oddělen koridorem železniční trati </w:t>
      </w:r>
      <w:r w:rsidR="00F94D3C" w:rsidRPr="00DA39A6">
        <w:rPr>
          <w:lang w:eastAsia="cs-CZ"/>
        </w:rPr>
        <w:t>Praha – Ústí</w:t>
      </w:r>
      <w:r w:rsidRPr="00DA39A6">
        <w:rPr>
          <w:lang w:eastAsia="cs-CZ"/>
        </w:rPr>
        <w:t xml:space="preserve"> nad Labem. Změny v území pro realizaci tramvajové trati jsou tak řešeny reorganizací a úpravou stávající ploch </w:t>
      </w:r>
      <w:r w:rsidR="00F94D3C" w:rsidRPr="00DA39A6">
        <w:rPr>
          <w:lang w:eastAsia="cs-CZ"/>
        </w:rPr>
        <w:t>využití – sběrné</w:t>
      </w:r>
      <w:r w:rsidRPr="00DA39A6">
        <w:rPr>
          <w:lang w:eastAsia="cs-CZ"/>
        </w:rPr>
        <w:t xml:space="preserve"> komunikace městského významu /S2/ a plochy železniční trati se zařízeními železniční dopravy, vleček a nákladních terminálů /DZ/.</w:t>
      </w:r>
    </w:p>
    <w:p w14:paraId="3ECF1014" w14:textId="7DACB156" w:rsidR="00DA39A6" w:rsidRPr="00DA39A6" w:rsidRDefault="00DA39A6" w:rsidP="00DA39A6">
      <w:pPr>
        <w:rPr>
          <w:lang w:eastAsia="cs-CZ"/>
        </w:rPr>
      </w:pPr>
      <w:r w:rsidRPr="00DA39A6">
        <w:rPr>
          <w:lang w:eastAsia="cs-CZ"/>
        </w:rPr>
        <w:t xml:space="preserve">Z věcných změn navržených ve změně ÚP Z 3827/00 tak fakticky nevyplývají žádné přímé územní střety s územím EVL. Teoreticky lze z pohledu přímých střetů uvažovat pouze o velmi okrajových zásazích v etapě, kdy budou v transformačním území areálu bývalé pískovny probíhat zemní práce během předpokládaných terénních úpravách v rámci příprav území pro výstavbu. Potenciálně dotčený by však byl převážně ruderalizovaný pás porostů podél severní hranice EVL. To koresponduje i se zjištěným nesouladem mezi vymezením ploch s výskyty přírodních stanovišť dle mapování biotopů a skutečným stavem v území, kde severovýchodní cíp segmentu, který velmi okrajově zasahuje do řešených ploch změny (ale v rámci návrhu funkčního využití jako plochy krajinné zeleně </w:t>
      </w:r>
      <w:r w:rsidR="00F94D3C" w:rsidRPr="00DA39A6">
        <w:rPr>
          <w:lang w:eastAsia="cs-CZ"/>
        </w:rPr>
        <w:t>městské – ZMK</w:t>
      </w:r>
      <w:r w:rsidRPr="00DA39A6">
        <w:rPr>
          <w:lang w:eastAsia="cs-CZ"/>
        </w:rPr>
        <w:t xml:space="preserve">), zahrnuje dnes souvislý pás dřevin, vč. zástupců neofytů, což souvisí s větším antropickým ovlivněním EVL podél její severní hranice (viz vyhodnocení nepřímých a kumulativních vlivů). </w:t>
      </w:r>
    </w:p>
    <w:p w14:paraId="28A89AF2" w14:textId="77777777" w:rsidR="00DA39A6" w:rsidRPr="00DA39A6" w:rsidRDefault="00DA39A6" w:rsidP="00DA39A6">
      <w:pPr>
        <w:rPr>
          <w:lang w:eastAsia="cs-CZ"/>
        </w:rPr>
      </w:pPr>
      <w:r w:rsidRPr="00DA39A6">
        <w:rPr>
          <w:lang w:eastAsia="cs-CZ"/>
        </w:rPr>
        <w:t>Na základě výše popsaných skutečností lze konstatovat, že žádný z předmětů ochrany nebude Změnou Z 3827/00 přímo dotčen. Přímý vliv na EVL Kaňon Vltavy u Sedlce tak lze vyhodnotit jako nulový, max. jako nevýznamný (0).</w:t>
      </w:r>
    </w:p>
    <w:p w14:paraId="674CFAEC" w14:textId="77777777" w:rsidR="00DA39A6" w:rsidRPr="00DA39A6" w:rsidRDefault="00DA39A6" w:rsidP="00DA39A6">
      <w:pPr>
        <w:rPr>
          <w:b/>
          <w:bCs/>
          <w:lang w:eastAsia="cs-CZ"/>
        </w:rPr>
      </w:pPr>
      <w:r w:rsidRPr="00DA39A6">
        <w:rPr>
          <w:b/>
          <w:bCs/>
          <w:lang w:eastAsia="cs-CZ"/>
        </w:rPr>
        <w:t>Vlivy nepřímé</w:t>
      </w:r>
    </w:p>
    <w:p w14:paraId="0F4314BE" w14:textId="77777777" w:rsidR="00DA39A6" w:rsidRPr="00DA39A6" w:rsidRDefault="00DA39A6" w:rsidP="00DA39A6">
      <w:pPr>
        <w:rPr>
          <w:lang w:eastAsia="cs-CZ"/>
        </w:rPr>
      </w:pPr>
      <w:r w:rsidRPr="00DA39A6">
        <w:rPr>
          <w:lang w:eastAsia="cs-CZ"/>
        </w:rPr>
        <w:t>Z nepřímých vlivů lze uvažovat o zvýšení zátěže, plynoucí ze zvýšeného pohybu lidí v územní EVL a tedy sešlapu. Tento předpoklad vychází z triviální úvahy, že v oblasti Nového Sedlce s rozvojem obytné zástavby pro bydlení stoupne počet obyvatel, což implikuje předpoklad automaticky zvýšené návštěvnosti EVL. Toto riziko je však možno v kontextu změny ÚP s ohledem na typy společenstev, jež jsou předmětem ochrany, hodnotit jako sice možné, z hlediska skutečné významnosti ovšem poněkud přeceňované. Nejvíce člověkem ovlivněné partie v území EVL se soustřeďují do okrajových částí v rovinatějším terénu temene svahu, zejména na západě a jihozápadě, kudy prochází stezka od severu (ulice Kamýcká), která pak klesá po úbočí do ulice Pod Babou, nebo podél pásu dřevin při severním okraji, kudy rovněž vede stezka. Významnou část EVL však zahrnují prudké svahy a skály, tedy hůře přístupné či prakticky nepřístupné prostory, na něž jsou naturové habitaty vázány. Z pohledu sociologie města je pak také nutno brát v úvahu značný rozptyl volnočasových aktivit obyvatel díky velké nabídce možností a vybavenosti v metropoli, s efektem naředění zátěže v území.</w:t>
      </w:r>
    </w:p>
    <w:p w14:paraId="1B7F6ACF" w14:textId="77777777" w:rsidR="00DA39A6" w:rsidRPr="00DA39A6" w:rsidRDefault="00DA39A6" w:rsidP="00DA39A6">
      <w:pPr>
        <w:rPr>
          <w:lang w:eastAsia="cs-CZ"/>
        </w:rPr>
      </w:pPr>
      <w:r w:rsidRPr="00DA39A6">
        <w:rPr>
          <w:lang w:eastAsia="cs-CZ"/>
        </w:rPr>
        <w:t xml:space="preserve">Výše popsané, nepřímé, zprostředkované vlivy na EVL Kaňon Vltavy u Sedlce lze i při konzervativním metodě hodnocení vlivů vyhodnotit max. na úrovni mírně negativního vlivu (-1). </w:t>
      </w:r>
    </w:p>
    <w:p w14:paraId="02313A01" w14:textId="77777777" w:rsidR="00DA39A6" w:rsidRPr="00DA39A6" w:rsidRDefault="00DA39A6" w:rsidP="00DA39A6">
      <w:pPr>
        <w:rPr>
          <w:b/>
          <w:bCs/>
          <w:i/>
          <w:iCs/>
          <w:u w:val="single"/>
          <w:lang w:eastAsia="cs-CZ"/>
        </w:rPr>
      </w:pPr>
      <w:r w:rsidRPr="00DA39A6">
        <w:rPr>
          <w:b/>
          <w:bCs/>
          <w:i/>
          <w:iCs/>
          <w:u w:val="single"/>
          <w:lang w:eastAsia="cs-CZ"/>
        </w:rPr>
        <w:t>Shrnutí vyhodnocení vlivů na EVL</w:t>
      </w:r>
    </w:p>
    <w:p w14:paraId="358AF1AF" w14:textId="77777777" w:rsidR="00DA39A6" w:rsidRPr="00DA39A6" w:rsidRDefault="00DA39A6" w:rsidP="00DA39A6">
      <w:pPr>
        <w:rPr>
          <w:b/>
          <w:bCs/>
        </w:rPr>
      </w:pPr>
      <w:r w:rsidRPr="00DA39A6">
        <w:rPr>
          <w:lang w:eastAsia="cs-CZ"/>
        </w:rPr>
        <w:t xml:space="preserve">Z polohy řešeného území </w:t>
      </w:r>
      <w:r w:rsidRPr="00DA39A6">
        <w:t xml:space="preserve">Z 3827/00 explicitně </w:t>
      </w:r>
      <w:r w:rsidRPr="00DA39A6">
        <w:rPr>
          <w:b/>
          <w:bCs/>
        </w:rPr>
        <w:t>nevyplývají přímé územní střety s EVL ani jeho předmětů ochrany</w:t>
      </w:r>
      <w:r w:rsidRPr="00DA39A6">
        <w:t xml:space="preserve">. EVL byla zahrnuta do území Z 3827/00 s ohledem na funkční návaznost a propojení na okolní území mimo jiné i z pohledu změny funkčního využití na plochy ZMK s cílem územně stabilizovat souvislý pás městské krajinné zeleně, a to ve vazbě zahrnutí těchto ploch do skladebných částí ÚSES. Případné velmi okrajové zásahy v rámci přípravy území pro výstavbu, lze řešit zřetelným vyznačením hranic. Jako relevantnější se tak jeví spíše </w:t>
      </w:r>
      <w:r w:rsidRPr="00DA39A6">
        <w:rPr>
          <w:b/>
          <w:bCs/>
        </w:rPr>
        <w:t>soubor vlivů nepřímých, zprostředkovaných,</w:t>
      </w:r>
      <w:r w:rsidRPr="00DA39A6">
        <w:t xml:space="preserve"> a to zejména z pohledu uvažovaného zvýšení návštěvnosti lokality, a tedy předpokládané zvýšené zátěže na EVL. </w:t>
      </w:r>
      <w:r w:rsidRPr="00DA39A6">
        <w:rPr>
          <w:b/>
          <w:bCs/>
        </w:rPr>
        <w:t>Míru významného zvýšení tlaku s negativními dopady na úrovni významně negativního vlivu však nelze automaticky implikovat a uvažované vlivy na EVL se dle soudu zpracovatele hodnocení budou pohybovat max. na úrovni mírně negativního vlivu (-1).</w:t>
      </w:r>
    </w:p>
    <w:p w14:paraId="2E669EB2" w14:textId="77777777" w:rsidR="00DA39A6" w:rsidRPr="00DA39A6" w:rsidRDefault="00DA39A6" w:rsidP="00DA39A6">
      <w:pPr>
        <w:rPr>
          <w:b/>
          <w:bCs/>
          <w:u w:val="single"/>
        </w:rPr>
      </w:pPr>
      <w:r w:rsidRPr="00DA39A6">
        <w:rPr>
          <w:b/>
          <w:bCs/>
          <w:u w:val="single"/>
        </w:rPr>
        <w:lastRenderedPageBreak/>
        <w:t>Vyhodnocení významnosti vlivů, včetně vlivů kumulativních, synergických a vlivů spolupůsobících faktorů</w:t>
      </w:r>
    </w:p>
    <w:p w14:paraId="31E2CE29" w14:textId="34A4DF19" w:rsidR="00DA39A6" w:rsidRPr="00DA39A6" w:rsidRDefault="00DA39A6" w:rsidP="00DA39A6">
      <w:r w:rsidRPr="00DA39A6">
        <w:t xml:space="preserve">Z hlediska možných kumulativních vlivů jsou přímé vlivy z pohledu fyzických zásahů </w:t>
      </w:r>
      <w:r w:rsidR="00F94D3C" w:rsidRPr="00DA39A6">
        <w:t>záměry,</w:t>
      </w:r>
      <w:r w:rsidRPr="00DA39A6">
        <w:t xml:space="preserve"> a tedy narušení EVL Kaňon Vltavy u Sedlce prakticky vyloučeny, neboť EVL se rozkládá na exponovaných svazích údolí Vltavy, tedy v polohách v zásadě nevhodných pro většinu rozvojových aktivit. Vzhledem k tomu, že údolí Vltavy představuje významný dopravní koridor, dochází zde však z důvodu zajištění bezpečnosti k různým činnostem charakteru údržby, jako je zajišťování skalních svahů nad železniční tratí či komunikacemi, v rámci sanačních prací na svazích také k vyřezávání náletových dřevin apod. Tyto činnosti mohou tedy mít na předmětnou EVL jak vliv pozitivní, tak i vliv negativní. </w:t>
      </w:r>
    </w:p>
    <w:p w14:paraId="650BB6E9" w14:textId="6E8A0545" w:rsidR="00DA39A6" w:rsidRPr="00DA39A6" w:rsidRDefault="00DA39A6" w:rsidP="00DA39A6">
      <w:r w:rsidRPr="00DA39A6">
        <w:t xml:space="preserve">Z pohledu objektivního vyhodnocení kumulativních a synergických vlivů je tedy nutno uvažovat o záměrech a jejich vlivech i na ostatních části EVL Kaňon Vltavy u Sedlce, neboť ta jako celek, tvoří 8 disjunktních segmentů. V případě nejvýznamnějšího záměru v této části města, dlouhodobě sledovaného Pražského okruhu (stavba „D0 518 </w:t>
      </w:r>
      <w:r w:rsidR="00F94D3C" w:rsidRPr="00DA39A6">
        <w:t>Ruzyně – Suchdol</w:t>
      </w:r>
      <w:r w:rsidRPr="00DA39A6">
        <w:t>“) je však EVL vymezena tak, že trasa SOKP na obou březích, v prostoru obou svahů údolí, kudy bude v rámci přemostění toku Vltavy procházet, do EVL nezasahuje (EVL je vymezena tak, že je v koridoru trasy okruhu oddělena hiátem). Vliv tohoto záměru (</w:t>
      </w:r>
      <w:r w:rsidR="00F94D3C" w:rsidRPr="00DA39A6">
        <w:t>MZP486 – SOKP</w:t>
      </w:r>
      <w:r w:rsidRPr="00DA39A6">
        <w:t xml:space="preserve"> 518 </w:t>
      </w:r>
      <w:r w:rsidR="00F94D3C" w:rsidRPr="00DA39A6">
        <w:t>Ruzyně – Suchdol</w:t>
      </w:r>
      <w:r w:rsidRPr="00DA39A6">
        <w:t xml:space="preserve">, </w:t>
      </w:r>
      <w:r w:rsidR="00F94D3C" w:rsidRPr="00DA39A6">
        <w:t>MZP488 – SOKP</w:t>
      </w:r>
      <w:r w:rsidRPr="00DA39A6">
        <w:t xml:space="preserve"> 519 </w:t>
      </w:r>
      <w:r w:rsidR="00F94D3C" w:rsidRPr="00DA39A6">
        <w:t>Suchdol – Březiněves</w:t>
      </w:r>
      <w:r w:rsidRPr="00DA39A6">
        <w:t>) na předmětnou EVL byl v rámci hodnocení dle § 45i (MUDRA, 2019) vyhodnocen jako mírně negativní (-1).</w:t>
      </w:r>
    </w:p>
    <w:p w14:paraId="0D74F572" w14:textId="521AECF3" w:rsidR="00DA39A6" w:rsidRPr="00DA39A6" w:rsidRDefault="00DA39A6" w:rsidP="00DA39A6">
      <w:pPr>
        <w:rPr>
          <w:b/>
          <w:bCs/>
        </w:rPr>
      </w:pPr>
      <w:r w:rsidRPr="00DA39A6">
        <w:rPr>
          <w:b/>
        </w:rPr>
        <w:t xml:space="preserve">Lze tedy konstatovat, že ze samotného vymezení a prostorového rozmístění rozvojových ploch změny Z </w:t>
      </w:r>
      <w:r w:rsidRPr="00DA39A6">
        <w:rPr>
          <w:b/>
          <w:bCs/>
        </w:rPr>
        <w:t>3827/00</w:t>
      </w:r>
      <w:r w:rsidRPr="00DA39A6">
        <w:rPr>
          <w:b/>
        </w:rPr>
        <w:t xml:space="preserve">, ani v kontextu s aktivitami, jež plynou </w:t>
      </w:r>
      <w:r w:rsidR="00F94D3C" w:rsidRPr="00DA39A6">
        <w:rPr>
          <w:b/>
        </w:rPr>
        <w:t>z platného</w:t>
      </w:r>
      <w:r w:rsidRPr="00DA39A6">
        <w:rPr>
          <w:b/>
        </w:rPr>
        <w:t xml:space="preserve"> ÚP hl. m. Prahy, jeho změn a spolupůsobení již realizovaných záměrů a aktivit v okolí, explicitně nevyplývá nějaké riziko významně negativních kumulativních vlivů.</w:t>
      </w:r>
    </w:p>
    <w:p w14:paraId="5AF8BFFF" w14:textId="77777777" w:rsidR="00DA39A6" w:rsidRPr="00DA39A6" w:rsidRDefault="00DA39A6" w:rsidP="00DA39A6">
      <w:r w:rsidRPr="00DA39A6">
        <w:t xml:space="preserve">Předkládaná Změna ÚP Z 3827/00 není navržena ve variantách. </w:t>
      </w:r>
    </w:p>
    <w:p w14:paraId="13EA9293" w14:textId="77777777" w:rsidR="00DA39A6" w:rsidRPr="00DA39A6" w:rsidRDefault="00DA39A6" w:rsidP="00DA39A6">
      <w:r w:rsidRPr="00DA39A6">
        <w:t>Z hlediska dopadů na území soustavy Natura 2000, tj. na EVL Kaňon Vltavy u Sedlce, lze hodnotit nulovou variantu a variantu aktivní jako víceméně srovnatelné. Z pohledu koordinace a trvale udržitelného rozvoje v území, je však aktivní variantu možno hodnotit jako o něco příznivější, než současný stav v řešeném území.</w:t>
      </w:r>
    </w:p>
    <w:p w14:paraId="2905CB53" w14:textId="77777777" w:rsidR="00DA39A6" w:rsidRPr="00DA39A6" w:rsidRDefault="00DA39A6" w:rsidP="00DA39A6">
      <w:pPr>
        <w:rPr>
          <w:b/>
          <w:bCs/>
          <w:u w:val="single"/>
        </w:rPr>
      </w:pPr>
      <w:r w:rsidRPr="00DA39A6">
        <w:rPr>
          <w:b/>
          <w:bCs/>
          <w:u w:val="single"/>
        </w:rPr>
        <w:t>Opatření k prevenci, vyloučení nebo snížení očekávaných nepříznivých vlivů územního plánu, včetně odůvodnění jejich stanovení</w:t>
      </w:r>
    </w:p>
    <w:p w14:paraId="5E55F249" w14:textId="77777777" w:rsidR="00DA39A6" w:rsidRPr="00DA39A6" w:rsidRDefault="00DA39A6" w:rsidP="00DA39A6">
      <w:pPr>
        <w:rPr>
          <w:b/>
          <w:bCs/>
        </w:rPr>
      </w:pPr>
      <w:r w:rsidRPr="00DA39A6">
        <w:rPr>
          <w:b/>
          <w:bCs/>
        </w:rPr>
        <w:t xml:space="preserve">U předmětné koncepce byl významně negativní vliv na území soustavy Natura 2000 vyloučen. </w:t>
      </w:r>
    </w:p>
    <w:p w14:paraId="223CD122" w14:textId="77777777" w:rsidR="00DA39A6" w:rsidRPr="00DA39A6" w:rsidRDefault="00DA39A6" w:rsidP="00DA39A6">
      <w:pPr>
        <w:pStyle w:val="Odstavecseseznamem"/>
        <w:numPr>
          <w:ilvl w:val="0"/>
          <w:numId w:val="59"/>
        </w:numPr>
      </w:pPr>
      <w:r w:rsidRPr="00DA39A6">
        <w:t>Z důvodu předběžné opatrnosti doporučujeme, aby ještě před fázi přípravy území pro výstavbu v rozvojovém území Nový Sedlec, byla v součinnosti s územně příslušným orgánem ochrany přírody a krajiny stanovena a vyznačena jednoznačná hranice, za kterou stavební čára nesmí překročit. Jedná se především o to, aby úpravy terénu pro výstavbu spojené s odtěžováním, vyhrnováním a přesouváním zemin v areálu cihelny severně, do prostoru EVL zbytečně nezasáhly. V této souvislosti se jeví jako vhodné zesouladit průběh hranic PP Podbabské skály a segmentu EVL, a tyto hranice v kontaktní zóně se změnou Z 3827/00 dle odborných kritérií upravit.</w:t>
      </w:r>
    </w:p>
    <w:p w14:paraId="122FCD70" w14:textId="77777777" w:rsidR="00DA39A6" w:rsidRPr="00DA39A6" w:rsidRDefault="00DA39A6" w:rsidP="00DA39A6">
      <w:pPr>
        <w:pStyle w:val="Odstavecseseznamem"/>
        <w:numPr>
          <w:ilvl w:val="0"/>
          <w:numId w:val="59"/>
        </w:numPr>
      </w:pPr>
      <w:r w:rsidRPr="00DA39A6">
        <w:t>Potenciálnímu riziku zvýšené zátěže EVL, spojené se zvýšenou návštěvností, lze částečně předejít i návrhem příp. organizačních opatření z hlediska regulace návštěvnosti, zákazu vstupu cyklistů, či venčení psů, příp. i oplocením části EVL (avšak s ohledem na zachování prostupnosti v území podél jihozápadního okraje EVL, mimo koridor stezky vedoucí od severu k jihu podél zídky do ulice Pod Babou). Takovému opatření by po realizaci záměrů v rozvojové lokalitě ale měl předcházet monitoring území, spojený se sledováním míry návštěvnosti lokality, a stavu přírodních stanovišť.</w:t>
      </w:r>
    </w:p>
    <w:p w14:paraId="4FE58B1F" w14:textId="124D7418" w:rsidR="00B715F1" w:rsidRPr="007E2FB4" w:rsidRDefault="00B715F1" w:rsidP="00794578"/>
    <w:p w14:paraId="7040F574" w14:textId="77777777" w:rsidR="00794578" w:rsidRPr="00111F34" w:rsidRDefault="00794578" w:rsidP="00BA72D5">
      <w:pPr>
        <w:pStyle w:val="Nadpis1"/>
      </w:pPr>
      <w:bookmarkStart w:id="354" w:name="_Toc531606283"/>
      <w:bookmarkStart w:id="355" w:name="_Toc29298372"/>
      <w:bookmarkStart w:id="356" w:name="_Toc138848150"/>
      <w:r w:rsidRPr="00111F34">
        <w:lastRenderedPageBreak/>
        <w:t>Vyhodnocení vlivů na skutečnosti zjištěné v ÚAP</w:t>
      </w:r>
      <w:bookmarkEnd w:id="354"/>
      <w:bookmarkEnd w:id="355"/>
      <w:bookmarkEnd w:id="356"/>
    </w:p>
    <w:p w14:paraId="59C87DD0" w14:textId="04B2A4D5" w:rsidR="00265E49" w:rsidRPr="00111F34" w:rsidRDefault="00265E49" w:rsidP="00265E49">
      <w:bookmarkStart w:id="357" w:name="_Toc531606288"/>
      <w:bookmarkStart w:id="358" w:name="_Toc29298377"/>
      <w:r w:rsidRPr="00111F34">
        <w:t xml:space="preserve">Tato kapitola slouží k vyhodnocení vlivů navrhované územně plánovací dokumentace na skutečnosti zjištěné v územně analytických podkladech. Pro účely vyhodnocení vlivů předkládané Aktualizace Zásad územního rozvoje Prahy byly vybrány ty sledované jevy, cíle a indikátory, které se v řešeném území vyskytují, nebo s ním přímo souvisí, nebo které jsou podstatně ovlivněny návrhem posuzované ÚPD, případně jej podstatně ovlivňují a lze u nich tento vliv prokázat. Účelem je charakterizovat jaký vliv má navrhované řešení, případně varianty řešení, na tyto charakteristiky. </w:t>
      </w:r>
    </w:p>
    <w:p w14:paraId="7B8F79B6" w14:textId="77777777" w:rsidR="00265E49" w:rsidRPr="00111F34" w:rsidRDefault="00265E49" w:rsidP="00265E49">
      <w:r w:rsidRPr="00111F34">
        <w:t xml:space="preserve">Specifické požadavky hlavního města Prahy na obsah zpracovávaných ÚAP jsou zakotvené v usnesení Rady HMP č. 1441, které bylo přijato dne 13. 7. 2020. </w:t>
      </w:r>
    </w:p>
    <w:p w14:paraId="4A3D4390" w14:textId="77777777" w:rsidR="00265E49" w:rsidRPr="00111F34" w:rsidRDefault="00265E49" w:rsidP="00265E49">
      <w:r w:rsidRPr="00111F34">
        <w:t>Pátá aktualizace územně analytických podkladů (ÚAP) pro Prahu je zpracována ve dvou úrovních:</w:t>
      </w:r>
    </w:p>
    <w:p w14:paraId="2B55BC50" w14:textId="77777777" w:rsidR="00265E49" w:rsidRPr="00111F34" w:rsidRDefault="00265E49">
      <w:pPr>
        <w:pStyle w:val="Odstavecseseznamem"/>
        <w:numPr>
          <w:ilvl w:val="0"/>
          <w:numId w:val="31"/>
        </w:numPr>
      </w:pPr>
      <w:r w:rsidRPr="00111F34">
        <w:t>Územně analytické podklady hl. m. Prahy pro kraj (ÚAP kraje),</w:t>
      </w:r>
    </w:p>
    <w:p w14:paraId="13260A1A" w14:textId="77777777" w:rsidR="00265E49" w:rsidRPr="00111F34" w:rsidRDefault="00265E49">
      <w:pPr>
        <w:pStyle w:val="Odstavecseseznamem"/>
        <w:numPr>
          <w:ilvl w:val="0"/>
          <w:numId w:val="31"/>
        </w:numPr>
      </w:pPr>
      <w:r w:rsidRPr="00111F34">
        <w:t>Územně analytické podklady hl. m. Prahy pro obec (ÚAP obce).</w:t>
      </w:r>
    </w:p>
    <w:p w14:paraId="355E5466" w14:textId="7F0F54C3" w:rsidR="00265E49" w:rsidRPr="00111F34" w:rsidRDefault="00265E49" w:rsidP="00265E49">
      <w:r w:rsidRPr="00111F34">
        <w:t>ÚAP jsou zpracovány v rozsahu, který požaduje Stavební zákon č. 183/2006 Sb. a jeho prováděcí vyhláška č.500/2006 Sb.</w:t>
      </w:r>
      <w:r w:rsidR="00FA551C" w:rsidRPr="00111F34">
        <w:t>, ve znění pozdějších předpisů,</w:t>
      </w:r>
      <w:r w:rsidRPr="00111F34">
        <w:t xml:space="preserve"> a dále podle specifických požadavků zakotvených v usnesení Rady HMP č. 1441. Tento dokument je podkladem pro zpracování Zásad územního rozvoje hl. m. Prahy, slouží také jako podklad Zprávu o uplatňování Zásad územního rozvoje hl. m. Prahy a pro pořizování a aktualizace politiky územního rozvoje. V souladu s platnými předpisy a na základě zkušeností s procesem pořizování územně plánovacích dokumentací hl. m. Prahy, jejich změn a aktualizací jsou ÚAP hl. m. Prahy 2020, tedy pátá celková aktualizace ÚAP hl. m. Prahy, zpracovány zvlášť pro dvě úrovně jako dva oddělené dokumenty:</w:t>
      </w:r>
    </w:p>
    <w:p w14:paraId="7ED8956F" w14:textId="77777777" w:rsidR="00265E49" w:rsidRPr="00111F34" w:rsidRDefault="00265E49" w:rsidP="00265E49">
      <w:r w:rsidRPr="00111F34">
        <w:t>Územně analytické podklady hl. m. Prahy pro obec (UAP obce) jsou zpracovávány na základě usnesení Rady hl. m. Prahy č. 373 ze dne 20. 3. 2007 a poslední 5. aktualizace Územně analytických podkladů hl. m. Prahy 2020 byla projednána s městskými části ve dnech od 13.11.2020 do 15.1.2021.</w:t>
      </w:r>
    </w:p>
    <w:p w14:paraId="55E9AEFF" w14:textId="77777777" w:rsidR="00265E49" w:rsidRPr="00111F34" w:rsidRDefault="00265E49" w:rsidP="00265E49">
      <w:r w:rsidRPr="00111F34">
        <w:t>Návrh 5. úplné aktualizace Územně analytických podkladů hl. m. Prahy 2020 pro kraj byl projednán v Zastupitelstvu hl. m. Prahy dne 17. 6. 2021 usnesením ZHMP č. 28/17 na základě ustanovení § 5, odst. 1 vyhlášky č. 500/2006 Sb., v platném znění, v souladu s v § 29 zákona č. 183/2006 Sb., stavební zákon, ve znění pozdějších přepisů.</w:t>
      </w:r>
    </w:p>
    <w:p w14:paraId="00EB473B" w14:textId="77777777" w:rsidR="00265E49" w:rsidRPr="00111F34" w:rsidRDefault="00265E49" w:rsidP="00265E49">
      <w:r w:rsidRPr="00111F34">
        <w:t>Daný dokument obsahuje zjištění a vyhodnocení stavu a vývoje území, jeho hodnot, omezení změn v území z důvodu ochrany veřejných zájmů, vyplývajících z právních předpisů nebo stanovených na základě zvláštních právních předpisů nebo vyplývajících z vlastností území, záměry na provedení změn v území, zjišťování a vyhodnocování udržitelného rozvoje území a určení problémů k řešení v územně plánovací dokumentaci.</w:t>
      </w:r>
    </w:p>
    <w:p w14:paraId="5D1846B3" w14:textId="77777777" w:rsidR="00265E49" w:rsidRPr="00111F34" w:rsidRDefault="00265E49" w:rsidP="00265E49">
      <w:r w:rsidRPr="00111F34">
        <w:t>Rozbor udržitelného rozvoje je založen na adaptování cílů existujících komplexních a tematických strategických dokumentů do 11 oblastí udržitelného rozvoje (UR), které jsou dále členěny do principů UR. Každý princip UR obsahuje dostatečný počet cílů udržitelného rozvoje, které ho charakterizují.</w:t>
      </w:r>
    </w:p>
    <w:p w14:paraId="075D1793" w14:textId="77777777" w:rsidR="00265E49" w:rsidRPr="00111F34" w:rsidRDefault="00265E49" w:rsidP="00265E49">
      <w:r w:rsidRPr="00111F34">
        <w:t>Metoda rozboru udržitelného rozvoje území je společná pro ÚAP obce i kraje. V rámci ÚAP obce byl postaven komplexní systém cílů udržitelného rozvoje (UR), které řeší problematiku v podrobnějším měřítku. Pro RURU ÚAP kraje byl proveden výběr cílů UR, které mají celoměstský význam a měřítko, z množiny všech cílů v ÚAP obce. Pro každý indikátor byly zpracovány metodiky jeho výpočtu a sběru dat, aby bylo možné data indikátorů pravidelně aktualizovat. Vzhledem k tomu, že indikátor měří pouze určitý konkrétní výsek stanoveného cíle UR, jsou tyto cíle definovány šířeji nebo je stejný cíl měřen více indikátory zároveň.</w:t>
      </w:r>
    </w:p>
    <w:p w14:paraId="195E197A" w14:textId="150D52FC" w:rsidR="00265E49" w:rsidRPr="00111F34" w:rsidRDefault="00265E49" w:rsidP="00265E49">
      <w:r w:rsidRPr="00111F34">
        <w:t xml:space="preserve">Tato kapitola slouží ke shrnutí vlivů návrhu předkládané územně plánovací dokumentace na výsledky rozboru udržitelného rozvoje provedeného v rámci Územně analytických podkladů. V tomto případě byly z vyhodnocení rozboru udržitelného rozvoje ÚAP vybrány sledované cíle udržitelného rozvoje, je reprezentující indikátory a </w:t>
      </w:r>
      <w:r w:rsidR="00F65F92" w:rsidRPr="00111F34">
        <w:t>hodnoty,</w:t>
      </w:r>
      <w:r w:rsidRPr="00111F34">
        <w:t xml:space="preserve"> resp. limity, které podstatně ovlivňují řešené území, nebo které jsou podstatně ovlivněny návrhem řešené změny územního plánu, případně jej podstatně ovlivňují a lze u nich tento vliv prokázat. </w:t>
      </w:r>
    </w:p>
    <w:p w14:paraId="67C52DCF" w14:textId="48A5C2FE" w:rsidR="00960D72" w:rsidRPr="00111F34" w:rsidRDefault="00960D72" w:rsidP="00960D72">
      <w:r w:rsidRPr="00111F34">
        <w:t xml:space="preserve">Charakterizován </w:t>
      </w:r>
      <w:r w:rsidR="00FA5BDE" w:rsidRPr="00111F34">
        <w:t>j</w:t>
      </w:r>
      <w:r w:rsidRPr="00111F34">
        <w:t>e vliv řešení předkládané změny ÚP, na tyto jevy (to je porovnání se stávajícím stavem), a to zejména vliv na níže uvedené skutečnosti:</w:t>
      </w:r>
    </w:p>
    <w:p w14:paraId="127B44C7" w14:textId="77777777" w:rsidR="00960D72" w:rsidRPr="00111F34" w:rsidRDefault="00960D72">
      <w:pPr>
        <w:pStyle w:val="Odrky1"/>
        <w:numPr>
          <w:ilvl w:val="0"/>
          <w:numId w:val="23"/>
        </w:numPr>
        <w:spacing w:before="120"/>
        <w:ind w:left="851" w:hanging="567"/>
      </w:pPr>
      <w:r w:rsidRPr="00111F34">
        <w:t>Vliv na eliminaci nebo snížení hrozeb řešeného území.</w:t>
      </w:r>
    </w:p>
    <w:p w14:paraId="1E0A5352" w14:textId="77777777" w:rsidR="00960D72" w:rsidRPr="00111F34" w:rsidRDefault="00960D72">
      <w:pPr>
        <w:pStyle w:val="Odrky1"/>
        <w:numPr>
          <w:ilvl w:val="0"/>
          <w:numId w:val="23"/>
        </w:numPr>
        <w:spacing w:before="0"/>
        <w:ind w:left="851" w:hanging="567"/>
      </w:pPr>
      <w:r w:rsidRPr="00111F34">
        <w:lastRenderedPageBreak/>
        <w:t>Vliv na posílení slabých stránek řešeného území.</w:t>
      </w:r>
    </w:p>
    <w:p w14:paraId="0D2B4024" w14:textId="77777777" w:rsidR="00960D72" w:rsidRPr="00111F34" w:rsidRDefault="00960D72">
      <w:pPr>
        <w:pStyle w:val="Odrky1"/>
        <w:numPr>
          <w:ilvl w:val="0"/>
          <w:numId w:val="23"/>
        </w:numPr>
        <w:spacing w:before="0"/>
        <w:ind w:left="851" w:hanging="567"/>
      </w:pPr>
      <w:r w:rsidRPr="00111F34">
        <w:t>Vliv na využití silných stránek a příležitostí řešeného území.</w:t>
      </w:r>
    </w:p>
    <w:p w14:paraId="4F486644" w14:textId="77777777" w:rsidR="00960D72" w:rsidRPr="00111F34" w:rsidRDefault="00960D72">
      <w:pPr>
        <w:pStyle w:val="Odrky1"/>
        <w:numPr>
          <w:ilvl w:val="0"/>
          <w:numId w:val="23"/>
        </w:numPr>
        <w:spacing w:before="0"/>
        <w:ind w:left="851" w:hanging="567"/>
      </w:pPr>
      <w:r w:rsidRPr="00111F34">
        <w:t>Vliv na stav a vývoj hodnot řešeného území.</w:t>
      </w:r>
    </w:p>
    <w:p w14:paraId="27881998" w14:textId="52CB872A" w:rsidR="00960D72" w:rsidRPr="00111F34" w:rsidRDefault="00960D72" w:rsidP="00960D72">
      <w:r w:rsidRPr="00111F34">
        <w:t>Níže jsou tabelární formou shrnuty předpokláda</w:t>
      </w:r>
      <w:r w:rsidR="00813C81" w:rsidRPr="00111F34">
        <w:t xml:space="preserve">né vlivy řešení </w:t>
      </w:r>
      <w:r w:rsidR="00032D05" w:rsidRPr="00111F34">
        <w:t>navržených</w:t>
      </w:r>
      <w:r w:rsidR="003F1D9B" w:rsidRPr="00111F34">
        <w:t xml:space="preserve"> změn</w:t>
      </w:r>
      <w:r w:rsidR="00032D05" w:rsidRPr="00111F34">
        <w:t xml:space="preserve"> </w:t>
      </w:r>
      <w:r w:rsidRPr="00111F34">
        <w:t>územního plánu na výsledky analýzy silných stránek, slabých stránek, příležitostí a hrozeb v území, včetně vyhodnocení vlivů na stav a vývoj hodnot řešeného území.</w:t>
      </w:r>
    </w:p>
    <w:p w14:paraId="2B4A9C5C" w14:textId="77777777" w:rsidR="00960D72" w:rsidRPr="00111F34" w:rsidRDefault="00960D72" w:rsidP="00BA72D5">
      <w:pPr>
        <w:pStyle w:val="Nadpis2"/>
      </w:pPr>
      <w:bookmarkStart w:id="359" w:name="_Toc496705171"/>
      <w:bookmarkStart w:id="360" w:name="_Toc138848151"/>
      <w:r w:rsidRPr="00111F34">
        <w:t>Vliv na eliminaci nebo snížení hrozeb a problémů řešeného území</w:t>
      </w:r>
      <w:bookmarkEnd w:id="359"/>
      <w:bookmarkEnd w:id="360"/>
    </w:p>
    <w:p w14:paraId="685D3B7A" w14:textId="44CD373E" w:rsidR="00960D72" w:rsidRPr="00111F34" w:rsidRDefault="00960D72" w:rsidP="00960D72">
      <w:r w:rsidRPr="00111F34">
        <w:t xml:space="preserve">Vybrané, vůči </w:t>
      </w:r>
      <w:r w:rsidR="00765D7D" w:rsidRPr="00111F34">
        <w:t>navrhované změně</w:t>
      </w:r>
      <w:r w:rsidRPr="00111F34">
        <w:t xml:space="preserve"> územního plánu relevantní, hrozby zjištěné ve SWOT analýze. V rámci rozboru ud</w:t>
      </w:r>
      <w:r w:rsidR="00265E49" w:rsidRPr="00111F34">
        <w:t>ržitelného rozvoje ÚAP Prahy 2020</w:t>
      </w:r>
      <w:r w:rsidRPr="00111F34">
        <w:t xml:space="preserve"> byly vyhodnoceny vůči </w:t>
      </w:r>
      <w:r w:rsidR="000508E0" w:rsidRPr="00111F34">
        <w:t>změně</w:t>
      </w:r>
      <w:r w:rsidRPr="00111F34">
        <w:t xml:space="preserve"> ÚP SÚ hl. m. Prahy pomocí jednoduché symboliky, která v tomto případě vyjadřuje, do jaké míry </w:t>
      </w:r>
      <w:r w:rsidR="00032D05" w:rsidRPr="00111F34">
        <w:t>mohou změny</w:t>
      </w:r>
      <w:r w:rsidRPr="00111F34">
        <w:t xml:space="preserve"> přispět k eliminaci nebo snížení hrozeb a problémů řešeného území. </w:t>
      </w:r>
    </w:p>
    <w:p w14:paraId="5BBFB127" w14:textId="29D439D7" w:rsidR="00960D72" w:rsidRPr="00111F34" w:rsidRDefault="00960D72" w:rsidP="00960D72">
      <w:pPr>
        <w:ind w:left="1440" w:hanging="720"/>
      </w:pPr>
      <w:r w:rsidRPr="00111F34">
        <w:t xml:space="preserve">+ </w:t>
      </w:r>
      <w:r w:rsidRPr="00111F34">
        <w:tab/>
        <w:t>Řešení předkládané změny ÚPD má pozitivní vazbu na eliminaci hrozeb řešeného území</w:t>
      </w:r>
      <w:r w:rsidR="00FA5BDE" w:rsidRPr="00111F34">
        <w:t>.</w:t>
      </w:r>
    </w:p>
    <w:p w14:paraId="63FC0C58" w14:textId="4DBBAF31" w:rsidR="00960D72" w:rsidRPr="00111F34" w:rsidRDefault="00960D72" w:rsidP="00960D72">
      <w:pPr>
        <w:ind w:left="1440" w:hanging="720"/>
      </w:pPr>
      <w:r w:rsidRPr="00111F34">
        <w:t xml:space="preserve">0 </w:t>
      </w:r>
      <w:r w:rsidRPr="00111F34">
        <w:tab/>
        <w:t>Řešení předkládané změny ÚPD nemá na slabé stránky území identifikované v ÚAP žádný vliv (slabá stránka není z hlediska řešené změny relevantní)</w:t>
      </w:r>
      <w:r w:rsidR="00FA5BDE" w:rsidRPr="00111F34">
        <w:t>.</w:t>
      </w:r>
    </w:p>
    <w:p w14:paraId="57726A61" w14:textId="03A50505" w:rsidR="00960D72" w:rsidRPr="00111F34" w:rsidRDefault="00960D72" w:rsidP="00960D72">
      <w:pPr>
        <w:pStyle w:val="Odstavecseseznamem"/>
        <w:numPr>
          <w:ilvl w:val="0"/>
          <w:numId w:val="11"/>
        </w:numPr>
        <w:ind w:left="1418" w:hanging="698"/>
      </w:pPr>
      <w:r w:rsidRPr="00111F34">
        <w:t xml:space="preserve">Řešení předkládané změny má negativní vazbu na eliminaci hrozeb řešeného území identifikované v ÚAP, </w:t>
      </w:r>
      <w:r w:rsidR="00F65F92" w:rsidRPr="00111F34">
        <w:t>hrozba řešením</w:t>
      </w:r>
      <w:r w:rsidRPr="00111F34">
        <w:t xml:space="preserve"> změny nadále přetrvává, je třeba přijmout opatření pro zamezení negativních vlivů změny na sledované jevy udržitelného rozvoje</w:t>
      </w:r>
      <w:r w:rsidR="00FA5BDE" w:rsidRPr="00111F34">
        <w:t>.</w:t>
      </w:r>
    </w:p>
    <w:p w14:paraId="4AA6C8B2" w14:textId="77777777" w:rsidR="00265E49" w:rsidRPr="00111F34" w:rsidRDefault="00265E49" w:rsidP="00265E49">
      <w:pPr>
        <w:pStyle w:val="Tabulkanzev"/>
      </w:pPr>
      <w:bookmarkStart w:id="361" w:name="_Toc89073096"/>
      <w:bookmarkStart w:id="362" w:name="_Toc138848180"/>
      <w:r w:rsidRPr="00111F34">
        <w:t>Vliv na naplňování vybraných cílů a indikátorů v oblasti environmentálního pilíře dle ÚAP nástroji územního plánování promítnutými v posuzované ÚPD</w:t>
      </w:r>
      <w:bookmarkEnd w:id="361"/>
      <w:bookmarkEnd w:id="362"/>
      <w:r w:rsidRPr="00111F34">
        <w:t xml:space="preserve"> </w:t>
      </w:r>
    </w:p>
    <w:tbl>
      <w:tblPr>
        <w:tblW w:w="5000" w:type="pct"/>
        <w:tblCellMar>
          <w:left w:w="28" w:type="dxa"/>
          <w:right w:w="28" w:type="dxa"/>
        </w:tblCellMar>
        <w:tblLook w:val="04A0" w:firstRow="1" w:lastRow="0" w:firstColumn="1" w:lastColumn="0" w:noHBand="0" w:noVBand="1"/>
      </w:tblPr>
      <w:tblGrid>
        <w:gridCol w:w="4671"/>
        <w:gridCol w:w="79"/>
        <w:gridCol w:w="776"/>
        <w:gridCol w:w="4102"/>
      </w:tblGrid>
      <w:tr w:rsidR="00BA64D4" w:rsidRPr="00111F34" w14:paraId="43DDD786" w14:textId="77777777" w:rsidTr="0046547C">
        <w:trPr>
          <w:trHeight w:val="448"/>
          <w:tblHeader/>
        </w:trPr>
        <w:tc>
          <w:tcPr>
            <w:tcW w:w="2467" w:type="pct"/>
            <w:gridSpan w:val="2"/>
            <w:tcBorders>
              <w:top w:val="single" w:sz="4" w:space="0" w:color="auto"/>
              <w:left w:val="single" w:sz="4" w:space="0" w:color="auto"/>
              <w:bottom w:val="single" w:sz="4" w:space="0" w:color="auto"/>
              <w:right w:val="single" w:sz="4" w:space="0" w:color="auto"/>
            </w:tcBorders>
            <w:shd w:val="clear" w:color="auto" w:fill="233845"/>
            <w:vAlign w:val="center"/>
            <w:hideMark/>
          </w:tcPr>
          <w:p w14:paraId="340653D2" w14:textId="77777777" w:rsidR="00BA64D4" w:rsidRPr="00111F34" w:rsidRDefault="00BA64D4" w:rsidP="00BA64D4">
            <w:pPr>
              <w:pStyle w:val="Texttabulky"/>
              <w:jc w:val="center"/>
              <w:rPr>
                <w:b/>
                <w:color w:val="auto"/>
                <w:szCs w:val="16"/>
              </w:rPr>
            </w:pPr>
            <w:r w:rsidRPr="00111F34">
              <w:rPr>
                <w:b/>
                <w:color w:val="auto"/>
                <w:szCs w:val="16"/>
              </w:rPr>
              <w:t>Vliv posuzované ÚPD na naplňování relevantních</w:t>
            </w:r>
            <w:r w:rsidRPr="00111F34">
              <w:rPr>
                <w:rStyle w:val="Znakapoznpodarou"/>
                <w:b/>
                <w:color w:val="auto"/>
                <w:szCs w:val="16"/>
              </w:rPr>
              <w:footnoteReference w:id="14"/>
            </w:r>
            <w:r w:rsidRPr="00111F34">
              <w:rPr>
                <w:b/>
                <w:color w:val="auto"/>
                <w:szCs w:val="16"/>
              </w:rPr>
              <w:t xml:space="preserve"> cílů reprezentovaných indikátory v oblasti environmentálního pilíře nástroji územního plánování</w:t>
            </w:r>
            <w:r w:rsidRPr="00111F34">
              <w:rPr>
                <w:rStyle w:val="Znakapoznpodarou"/>
                <w:b/>
                <w:color w:val="auto"/>
                <w:szCs w:val="16"/>
              </w:rPr>
              <w:footnoteReference w:id="15"/>
            </w:r>
          </w:p>
        </w:tc>
        <w:tc>
          <w:tcPr>
            <w:tcW w:w="403" w:type="pct"/>
            <w:tcBorders>
              <w:top w:val="single" w:sz="4" w:space="0" w:color="auto"/>
              <w:left w:val="single" w:sz="4" w:space="0" w:color="auto"/>
              <w:bottom w:val="single" w:sz="4" w:space="0" w:color="auto"/>
              <w:right w:val="single" w:sz="4" w:space="0" w:color="auto"/>
            </w:tcBorders>
            <w:shd w:val="clear" w:color="auto" w:fill="233845"/>
            <w:noWrap/>
            <w:vAlign w:val="center"/>
            <w:hideMark/>
          </w:tcPr>
          <w:p w14:paraId="71CA6AF7" w14:textId="3CB44DD6" w:rsidR="00BA64D4" w:rsidRPr="00111F34" w:rsidRDefault="00F80CDD" w:rsidP="00BA64D4">
            <w:pPr>
              <w:pStyle w:val="Texttabulky"/>
              <w:jc w:val="center"/>
              <w:rPr>
                <w:b/>
                <w:color w:val="auto"/>
                <w:szCs w:val="16"/>
              </w:rPr>
            </w:pPr>
            <w:r w:rsidRPr="00111F34">
              <w:rPr>
                <w:b/>
                <w:color w:val="auto"/>
                <w:szCs w:val="16"/>
              </w:rPr>
              <w:t>Z</w:t>
            </w:r>
            <w:r w:rsidR="001663EA" w:rsidRPr="00111F34">
              <w:rPr>
                <w:b/>
                <w:color w:val="auto"/>
                <w:szCs w:val="16"/>
              </w:rPr>
              <w:t>3827</w:t>
            </w:r>
            <w:r w:rsidRPr="00111F34">
              <w:rPr>
                <w:b/>
                <w:color w:val="auto"/>
                <w:szCs w:val="16"/>
              </w:rPr>
              <w:t>/00</w:t>
            </w:r>
          </w:p>
        </w:tc>
        <w:tc>
          <w:tcPr>
            <w:tcW w:w="2130" w:type="pct"/>
            <w:tcBorders>
              <w:top w:val="single" w:sz="4" w:space="0" w:color="auto"/>
              <w:left w:val="single" w:sz="4" w:space="0" w:color="auto"/>
              <w:bottom w:val="single" w:sz="4" w:space="0" w:color="auto"/>
              <w:right w:val="single" w:sz="4" w:space="0" w:color="auto"/>
            </w:tcBorders>
            <w:shd w:val="clear" w:color="auto" w:fill="233845"/>
            <w:vAlign w:val="center"/>
          </w:tcPr>
          <w:p w14:paraId="7D767119" w14:textId="77777777" w:rsidR="00BA64D4" w:rsidRPr="00111F34" w:rsidRDefault="00BA64D4" w:rsidP="00BA64D4">
            <w:pPr>
              <w:pStyle w:val="Texttabulky"/>
              <w:jc w:val="center"/>
              <w:rPr>
                <w:b/>
                <w:color w:val="auto"/>
                <w:szCs w:val="16"/>
              </w:rPr>
            </w:pPr>
            <w:r w:rsidRPr="00111F34">
              <w:rPr>
                <w:b/>
                <w:color w:val="auto"/>
                <w:szCs w:val="16"/>
              </w:rPr>
              <w:t>Komentář</w:t>
            </w:r>
          </w:p>
        </w:tc>
      </w:tr>
      <w:tr w:rsidR="00BA64D4" w:rsidRPr="00111F34" w14:paraId="5387C2A9" w14:textId="77777777" w:rsidTr="00BA64D4">
        <w:trPr>
          <w:trHeight w:val="285"/>
        </w:trPr>
        <w:tc>
          <w:tcPr>
            <w:tcW w:w="5000" w:type="pct"/>
            <w:gridSpan w:val="4"/>
            <w:tcBorders>
              <w:top w:val="single" w:sz="4" w:space="0" w:color="auto"/>
              <w:left w:val="single" w:sz="4" w:space="0" w:color="auto"/>
              <w:bottom w:val="single" w:sz="4" w:space="0" w:color="auto"/>
              <w:right w:val="single" w:sz="4" w:space="0" w:color="000000"/>
            </w:tcBorders>
            <w:shd w:val="clear" w:color="auto" w:fill="EAF1DD" w:themeFill="accent3" w:themeFillTint="33"/>
            <w:vAlign w:val="center"/>
            <w:hideMark/>
          </w:tcPr>
          <w:p w14:paraId="30A20ADE" w14:textId="77777777" w:rsidR="00BA64D4" w:rsidRPr="00111F34" w:rsidRDefault="00BA64D4" w:rsidP="00BA64D4">
            <w:pPr>
              <w:pStyle w:val="Texttabulky"/>
              <w:rPr>
                <w:b/>
                <w:color w:val="auto"/>
                <w:szCs w:val="16"/>
              </w:rPr>
            </w:pPr>
            <w:r w:rsidRPr="00111F34">
              <w:rPr>
                <w:b/>
                <w:color w:val="auto"/>
                <w:szCs w:val="16"/>
              </w:rPr>
              <w:t>01 SOULAD MĚSTSKÉHO A PŘÍRODNÍHO PROSTŘEDÍ</w:t>
            </w:r>
          </w:p>
        </w:tc>
      </w:tr>
      <w:tr w:rsidR="00BA64D4" w:rsidRPr="00111F34" w14:paraId="36F32573" w14:textId="77777777" w:rsidTr="0016566E">
        <w:trPr>
          <w:trHeight w:val="285"/>
        </w:trPr>
        <w:tc>
          <w:tcPr>
            <w:tcW w:w="2426" w:type="pct"/>
            <w:tcBorders>
              <w:top w:val="single" w:sz="4" w:space="0" w:color="auto"/>
              <w:left w:val="single" w:sz="4" w:space="0" w:color="auto"/>
              <w:bottom w:val="single" w:sz="4" w:space="0" w:color="auto"/>
              <w:right w:val="single" w:sz="4" w:space="0" w:color="000000"/>
            </w:tcBorders>
            <w:shd w:val="clear" w:color="auto" w:fill="auto"/>
            <w:vAlign w:val="center"/>
          </w:tcPr>
          <w:p w14:paraId="1A43A956" w14:textId="77777777" w:rsidR="00BA64D4" w:rsidRPr="00111F34" w:rsidRDefault="00BA64D4" w:rsidP="00BA64D4">
            <w:pPr>
              <w:pStyle w:val="Texttabulky"/>
              <w:rPr>
                <w:b/>
                <w:color w:val="auto"/>
                <w:szCs w:val="16"/>
              </w:rPr>
            </w:pPr>
            <w:r w:rsidRPr="00111F34">
              <w:rPr>
                <w:b/>
                <w:color w:val="auto"/>
                <w:szCs w:val="16"/>
              </w:rPr>
              <w:t>01.1 Podpora ochrany přirozených ekosystémů a zachovalých přírodních území</w:t>
            </w:r>
          </w:p>
        </w:tc>
        <w:tc>
          <w:tcPr>
            <w:tcW w:w="444" w:type="pct"/>
            <w:gridSpan w:val="2"/>
            <w:tcBorders>
              <w:top w:val="single" w:sz="4" w:space="0" w:color="auto"/>
              <w:left w:val="single" w:sz="4" w:space="0" w:color="auto"/>
              <w:bottom w:val="single" w:sz="4" w:space="0" w:color="auto"/>
              <w:right w:val="single" w:sz="4" w:space="0" w:color="000000"/>
            </w:tcBorders>
            <w:shd w:val="clear" w:color="auto" w:fill="auto"/>
            <w:vAlign w:val="center"/>
          </w:tcPr>
          <w:p w14:paraId="30C3F6D9" w14:textId="5C4980E0" w:rsidR="00BA64D4" w:rsidRPr="00111F34" w:rsidRDefault="00BA64D4" w:rsidP="00BA64D4">
            <w:pPr>
              <w:pStyle w:val="Texttabulky"/>
              <w:jc w:val="center"/>
              <w:rPr>
                <w:color w:val="auto"/>
                <w:szCs w:val="16"/>
              </w:rPr>
            </w:pPr>
            <w:r w:rsidRPr="00111F34">
              <w:rPr>
                <w:rFonts w:asciiTheme="minorHAnsi" w:hAnsiTheme="minorHAnsi" w:cstheme="minorHAnsi"/>
                <w:color w:val="auto"/>
                <w:szCs w:val="16"/>
              </w:rPr>
              <w:t>0</w:t>
            </w:r>
          </w:p>
        </w:tc>
        <w:tc>
          <w:tcPr>
            <w:tcW w:w="2130" w:type="pct"/>
            <w:tcBorders>
              <w:top w:val="single" w:sz="4" w:space="0" w:color="auto"/>
              <w:left w:val="single" w:sz="4" w:space="0" w:color="auto"/>
              <w:bottom w:val="single" w:sz="4" w:space="0" w:color="auto"/>
              <w:right w:val="single" w:sz="4" w:space="0" w:color="000000"/>
            </w:tcBorders>
            <w:shd w:val="clear" w:color="auto" w:fill="auto"/>
            <w:vAlign w:val="center"/>
          </w:tcPr>
          <w:p w14:paraId="68E1BBEB" w14:textId="18C7261F" w:rsidR="00BA64D4" w:rsidRPr="00111F34" w:rsidRDefault="00BA64D4" w:rsidP="00BA64D4">
            <w:pPr>
              <w:pStyle w:val="Texttabulky"/>
              <w:jc w:val="center"/>
              <w:rPr>
                <w:b/>
                <w:color w:val="auto"/>
                <w:szCs w:val="16"/>
              </w:rPr>
            </w:pPr>
            <w:r w:rsidRPr="00111F34">
              <w:rPr>
                <w:rFonts w:cs="Arial"/>
                <w:color w:val="auto"/>
                <w:szCs w:val="16"/>
              </w:rPr>
              <w:t>Z hlediska posuzované ÚPD bez přímé vazby.</w:t>
            </w:r>
          </w:p>
        </w:tc>
      </w:tr>
      <w:tr w:rsidR="00BA64D4" w:rsidRPr="00111F34" w14:paraId="51CF532D" w14:textId="77777777" w:rsidTr="0016566E">
        <w:trPr>
          <w:trHeight w:val="419"/>
        </w:trPr>
        <w:tc>
          <w:tcPr>
            <w:tcW w:w="2426" w:type="pct"/>
            <w:tcBorders>
              <w:top w:val="nil"/>
              <w:left w:val="single" w:sz="4" w:space="0" w:color="auto"/>
              <w:bottom w:val="single" w:sz="4" w:space="0" w:color="auto"/>
              <w:right w:val="single" w:sz="4" w:space="0" w:color="auto"/>
            </w:tcBorders>
            <w:shd w:val="clear" w:color="auto" w:fill="auto"/>
          </w:tcPr>
          <w:p w14:paraId="28F08904" w14:textId="5CB3075F" w:rsidR="00BA64D4" w:rsidRPr="00111F34" w:rsidRDefault="00BA64D4" w:rsidP="00BA64D4">
            <w:pPr>
              <w:pStyle w:val="Odrky1"/>
              <w:spacing w:before="0" w:after="0"/>
              <w:jc w:val="left"/>
              <w:rPr>
                <w:i/>
                <w:sz w:val="16"/>
                <w:szCs w:val="16"/>
              </w:rPr>
            </w:pPr>
            <w:r w:rsidRPr="00111F34">
              <w:rPr>
                <w:i/>
                <w:sz w:val="16"/>
              </w:rPr>
              <w:t xml:space="preserve">i.01.1.03 Zvyšování podílu ploch zvláště chráněných území a významných krajinných </w:t>
            </w:r>
            <w:r w:rsidR="00F65F92" w:rsidRPr="00111F34">
              <w:rPr>
                <w:i/>
                <w:sz w:val="16"/>
              </w:rPr>
              <w:t>prvků – registrovaných</w:t>
            </w:r>
            <w:r w:rsidRPr="00111F34">
              <w:rPr>
                <w:i/>
                <w:sz w:val="16"/>
              </w:rPr>
              <w:t xml:space="preserve"> a péče o ně</w:t>
            </w:r>
          </w:p>
        </w:tc>
        <w:tc>
          <w:tcPr>
            <w:tcW w:w="444" w:type="pct"/>
            <w:gridSpan w:val="2"/>
            <w:tcBorders>
              <w:top w:val="nil"/>
              <w:left w:val="nil"/>
              <w:bottom w:val="single" w:sz="4" w:space="0" w:color="auto"/>
              <w:right w:val="single" w:sz="4" w:space="0" w:color="auto"/>
            </w:tcBorders>
            <w:shd w:val="clear" w:color="auto" w:fill="auto"/>
            <w:noWrap/>
            <w:vAlign w:val="center"/>
          </w:tcPr>
          <w:p w14:paraId="2EC528EF" w14:textId="585B790E" w:rsidR="00BA64D4" w:rsidRPr="00111F34" w:rsidRDefault="00BA64D4" w:rsidP="00BA64D4">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0</w:t>
            </w:r>
          </w:p>
        </w:tc>
        <w:tc>
          <w:tcPr>
            <w:tcW w:w="2130" w:type="pct"/>
            <w:tcBorders>
              <w:top w:val="nil"/>
              <w:left w:val="nil"/>
              <w:bottom w:val="single" w:sz="4" w:space="0" w:color="auto"/>
              <w:right w:val="single" w:sz="4" w:space="0" w:color="auto"/>
            </w:tcBorders>
            <w:vAlign w:val="center"/>
          </w:tcPr>
          <w:p w14:paraId="5CC0216E" w14:textId="59FE5ABF" w:rsidR="00BA64D4" w:rsidRPr="00111F34" w:rsidRDefault="00BA64D4" w:rsidP="00BA64D4">
            <w:pPr>
              <w:pStyle w:val="Texttabulky"/>
              <w:jc w:val="center"/>
              <w:rPr>
                <w:rFonts w:cs="Arial"/>
                <w:color w:val="auto"/>
                <w:szCs w:val="16"/>
              </w:rPr>
            </w:pPr>
            <w:r w:rsidRPr="00111F34">
              <w:rPr>
                <w:rFonts w:cs="Arial"/>
                <w:color w:val="auto"/>
                <w:szCs w:val="16"/>
              </w:rPr>
              <w:t>Z hlediska posuzované ÚPD bez přímé vazby.</w:t>
            </w:r>
          </w:p>
        </w:tc>
      </w:tr>
      <w:tr w:rsidR="00BA64D4" w:rsidRPr="00111F34" w14:paraId="6E2B97E7" w14:textId="77777777" w:rsidTr="0016566E">
        <w:trPr>
          <w:trHeight w:val="419"/>
        </w:trPr>
        <w:tc>
          <w:tcPr>
            <w:tcW w:w="2426" w:type="pct"/>
            <w:tcBorders>
              <w:top w:val="nil"/>
              <w:left w:val="single" w:sz="4" w:space="0" w:color="auto"/>
              <w:bottom w:val="single" w:sz="4" w:space="0" w:color="auto"/>
              <w:right w:val="single" w:sz="4" w:space="0" w:color="auto"/>
            </w:tcBorders>
            <w:shd w:val="clear" w:color="auto" w:fill="auto"/>
          </w:tcPr>
          <w:p w14:paraId="19B6B380" w14:textId="77777777" w:rsidR="00BA64D4" w:rsidRPr="00111F34" w:rsidRDefault="00BA64D4" w:rsidP="00BA64D4">
            <w:pPr>
              <w:pStyle w:val="Odrky1"/>
              <w:spacing w:before="0" w:after="0"/>
              <w:jc w:val="left"/>
              <w:rPr>
                <w:i/>
                <w:sz w:val="16"/>
                <w:szCs w:val="16"/>
              </w:rPr>
            </w:pPr>
            <w:r w:rsidRPr="00111F34">
              <w:rPr>
                <w:i/>
                <w:sz w:val="16"/>
              </w:rPr>
              <w:t>i.01.1.04 Zvyšování ekologické stability krajiny a snižování její degradace a fragmentace</w:t>
            </w:r>
          </w:p>
        </w:tc>
        <w:tc>
          <w:tcPr>
            <w:tcW w:w="444" w:type="pct"/>
            <w:gridSpan w:val="2"/>
            <w:tcBorders>
              <w:top w:val="nil"/>
              <w:left w:val="nil"/>
              <w:bottom w:val="single" w:sz="4" w:space="0" w:color="auto"/>
              <w:right w:val="single" w:sz="4" w:space="0" w:color="auto"/>
            </w:tcBorders>
            <w:shd w:val="clear" w:color="auto" w:fill="auto"/>
            <w:noWrap/>
            <w:vAlign w:val="center"/>
          </w:tcPr>
          <w:p w14:paraId="1110FA4A" w14:textId="544A6098" w:rsidR="00BA64D4" w:rsidRPr="00111F34" w:rsidRDefault="00CA1AA0" w:rsidP="00BA64D4">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w:t>
            </w:r>
          </w:p>
        </w:tc>
        <w:tc>
          <w:tcPr>
            <w:tcW w:w="2130" w:type="pct"/>
            <w:tcBorders>
              <w:top w:val="nil"/>
              <w:left w:val="nil"/>
              <w:bottom w:val="single" w:sz="4" w:space="0" w:color="auto"/>
              <w:right w:val="single" w:sz="4" w:space="0" w:color="auto"/>
            </w:tcBorders>
            <w:vAlign w:val="center"/>
          </w:tcPr>
          <w:p w14:paraId="535E929E" w14:textId="3A7F014F" w:rsidR="00BA64D4" w:rsidRPr="00111F34" w:rsidRDefault="00CA1AA0" w:rsidP="00BA64D4">
            <w:pPr>
              <w:pStyle w:val="Texttabulky"/>
              <w:jc w:val="center"/>
              <w:rPr>
                <w:rFonts w:cs="Arial"/>
                <w:color w:val="auto"/>
                <w:szCs w:val="16"/>
              </w:rPr>
            </w:pPr>
            <w:r w:rsidRPr="00111F34">
              <w:rPr>
                <w:rFonts w:cs="Arial"/>
                <w:color w:val="auto"/>
                <w:szCs w:val="16"/>
              </w:rPr>
              <w:t>Vymezení nového biocentra.</w:t>
            </w:r>
          </w:p>
        </w:tc>
      </w:tr>
      <w:tr w:rsidR="00CA1AA0" w:rsidRPr="00111F34" w14:paraId="53A6B63B" w14:textId="77777777" w:rsidTr="0016566E">
        <w:trPr>
          <w:trHeight w:val="254"/>
        </w:trPr>
        <w:tc>
          <w:tcPr>
            <w:tcW w:w="2426" w:type="pct"/>
            <w:tcBorders>
              <w:top w:val="nil"/>
              <w:left w:val="single" w:sz="4" w:space="0" w:color="auto"/>
              <w:bottom w:val="single" w:sz="4" w:space="0" w:color="auto"/>
              <w:right w:val="single" w:sz="4" w:space="0" w:color="auto"/>
            </w:tcBorders>
            <w:shd w:val="clear" w:color="auto" w:fill="auto"/>
          </w:tcPr>
          <w:p w14:paraId="196F7753" w14:textId="77777777" w:rsidR="00CA1AA0" w:rsidRPr="00111F34" w:rsidRDefault="00CA1AA0" w:rsidP="00CA1AA0">
            <w:pPr>
              <w:pStyle w:val="Odrky1"/>
              <w:spacing w:before="0" w:after="0"/>
              <w:jc w:val="left"/>
              <w:rPr>
                <w:sz w:val="16"/>
                <w:szCs w:val="16"/>
              </w:rPr>
            </w:pPr>
            <w:r w:rsidRPr="00111F34">
              <w:rPr>
                <w:sz w:val="16"/>
              </w:rPr>
              <w:t>i.01.1.05 Zvyšování spojitosti celého systému ÚSES</w:t>
            </w:r>
          </w:p>
        </w:tc>
        <w:tc>
          <w:tcPr>
            <w:tcW w:w="444" w:type="pct"/>
            <w:gridSpan w:val="2"/>
            <w:tcBorders>
              <w:top w:val="nil"/>
              <w:left w:val="nil"/>
              <w:bottom w:val="single" w:sz="4" w:space="0" w:color="auto"/>
              <w:right w:val="single" w:sz="4" w:space="0" w:color="auto"/>
            </w:tcBorders>
            <w:shd w:val="clear" w:color="auto" w:fill="auto"/>
            <w:noWrap/>
            <w:vAlign w:val="center"/>
          </w:tcPr>
          <w:p w14:paraId="64416F1C" w14:textId="15F9E876" w:rsidR="00CA1AA0" w:rsidRPr="00111F34" w:rsidRDefault="00CA1AA0" w:rsidP="00CA1AA0">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w:t>
            </w:r>
          </w:p>
        </w:tc>
        <w:tc>
          <w:tcPr>
            <w:tcW w:w="2130" w:type="pct"/>
            <w:tcBorders>
              <w:top w:val="nil"/>
              <w:left w:val="nil"/>
              <w:bottom w:val="single" w:sz="4" w:space="0" w:color="auto"/>
              <w:right w:val="single" w:sz="4" w:space="0" w:color="auto"/>
            </w:tcBorders>
            <w:vAlign w:val="center"/>
          </w:tcPr>
          <w:p w14:paraId="3D507BB5" w14:textId="2721A339" w:rsidR="00CA1AA0" w:rsidRPr="00111F34" w:rsidRDefault="00CA1AA0" w:rsidP="00CA1AA0">
            <w:pPr>
              <w:pStyle w:val="Texttabulky"/>
              <w:jc w:val="center"/>
              <w:rPr>
                <w:rFonts w:cs="Arial"/>
                <w:color w:val="auto"/>
                <w:szCs w:val="16"/>
              </w:rPr>
            </w:pPr>
            <w:r w:rsidRPr="00111F34">
              <w:rPr>
                <w:rFonts w:cs="Arial"/>
                <w:color w:val="auto"/>
                <w:szCs w:val="16"/>
              </w:rPr>
              <w:t xml:space="preserve">Optimalizace vymezení ÚSES dle aktuálních podkladů. </w:t>
            </w:r>
          </w:p>
        </w:tc>
      </w:tr>
      <w:tr w:rsidR="00BA64D4" w:rsidRPr="007E2FB4" w14:paraId="4E9237F3" w14:textId="77777777" w:rsidTr="0016566E">
        <w:trPr>
          <w:trHeight w:val="271"/>
        </w:trPr>
        <w:tc>
          <w:tcPr>
            <w:tcW w:w="2426" w:type="pct"/>
            <w:tcBorders>
              <w:top w:val="nil"/>
              <w:left w:val="single" w:sz="4" w:space="0" w:color="auto"/>
              <w:bottom w:val="single" w:sz="4" w:space="0" w:color="auto"/>
              <w:right w:val="single" w:sz="4" w:space="0" w:color="auto"/>
            </w:tcBorders>
            <w:shd w:val="clear" w:color="auto" w:fill="auto"/>
            <w:vAlign w:val="center"/>
          </w:tcPr>
          <w:p w14:paraId="3DA9C95B" w14:textId="77777777" w:rsidR="00BA64D4" w:rsidRPr="00111F34" w:rsidRDefault="00BA64D4" w:rsidP="00BA64D4">
            <w:pPr>
              <w:pStyle w:val="Odrky1"/>
              <w:spacing w:before="0" w:after="0"/>
              <w:jc w:val="center"/>
              <w:rPr>
                <w:sz w:val="16"/>
                <w:szCs w:val="16"/>
              </w:rPr>
            </w:pPr>
            <w:r w:rsidRPr="00111F34">
              <w:rPr>
                <w:sz w:val="16"/>
              </w:rPr>
              <w:t>c.01.1.06 Snižování míry ohroženosti půdy vodní a větrnou erozí</w:t>
            </w:r>
          </w:p>
        </w:tc>
        <w:tc>
          <w:tcPr>
            <w:tcW w:w="444" w:type="pct"/>
            <w:gridSpan w:val="2"/>
            <w:tcBorders>
              <w:top w:val="nil"/>
              <w:left w:val="nil"/>
              <w:bottom w:val="single" w:sz="4" w:space="0" w:color="auto"/>
              <w:right w:val="single" w:sz="4" w:space="0" w:color="auto"/>
            </w:tcBorders>
            <w:shd w:val="clear" w:color="auto" w:fill="auto"/>
            <w:noWrap/>
            <w:vAlign w:val="center"/>
          </w:tcPr>
          <w:p w14:paraId="359E6C52" w14:textId="77777777" w:rsidR="00BA64D4" w:rsidRPr="00111F34" w:rsidRDefault="00BA64D4" w:rsidP="00BA64D4">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0</w:t>
            </w:r>
          </w:p>
        </w:tc>
        <w:tc>
          <w:tcPr>
            <w:tcW w:w="2130" w:type="pct"/>
            <w:tcBorders>
              <w:top w:val="nil"/>
              <w:left w:val="nil"/>
              <w:bottom w:val="single" w:sz="4" w:space="0" w:color="auto"/>
              <w:right w:val="single" w:sz="4" w:space="0" w:color="auto"/>
            </w:tcBorders>
            <w:vAlign w:val="center"/>
          </w:tcPr>
          <w:p w14:paraId="19AE4B7A" w14:textId="77777777" w:rsidR="00BA64D4" w:rsidRPr="00111F34" w:rsidRDefault="00BA64D4" w:rsidP="00BA64D4">
            <w:pPr>
              <w:pStyle w:val="Texttabulky"/>
              <w:jc w:val="center"/>
              <w:rPr>
                <w:rFonts w:cs="Arial"/>
                <w:color w:val="auto"/>
                <w:szCs w:val="16"/>
              </w:rPr>
            </w:pPr>
            <w:r w:rsidRPr="00111F34">
              <w:rPr>
                <w:rFonts w:cs="Arial"/>
                <w:color w:val="auto"/>
                <w:szCs w:val="16"/>
              </w:rPr>
              <w:t>Z hlediska posuzované ÚPD bez přímé vazby.</w:t>
            </w:r>
          </w:p>
        </w:tc>
      </w:tr>
      <w:tr w:rsidR="00BA64D4" w:rsidRPr="007E2FB4" w14:paraId="7EFE6B38" w14:textId="77777777" w:rsidTr="0016566E">
        <w:trPr>
          <w:trHeight w:val="275"/>
        </w:trPr>
        <w:tc>
          <w:tcPr>
            <w:tcW w:w="2426" w:type="pct"/>
            <w:tcBorders>
              <w:top w:val="nil"/>
              <w:left w:val="single" w:sz="4" w:space="0" w:color="auto"/>
              <w:bottom w:val="single" w:sz="4" w:space="0" w:color="auto"/>
              <w:right w:val="single" w:sz="4" w:space="0" w:color="auto"/>
            </w:tcBorders>
            <w:shd w:val="clear" w:color="auto" w:fill="auto"/>
            <w:vAlign w:val="center"/>
          </w:tcPr>
          <w:p w14:paraId="5A793AB2" w14:textId="77777777" w:rsidR="00BA64D4" w:rsidRPr="00DA39A6" w:rsidRDefault="00BA64D4" w:rsidP="00BA64D4">
            <w:pPr>
              <w:pStyle w:val="Odrky1"/>
              <w:spacing w:before="0" w:after="0"/>
              <w:jc w:val="center"/>
              <w:rPr>
                <w:i/>
                <w:sz w:val="16"/>
                <w:szCs w:val="16"/>
              </w:rPr>
            </w:pPr>
            <w:r w:rsidRPr="00DA39A6">
              <w:rPr>
                <w:i/>
                <w:sz w:val="16"/>
              </w:rPr>
              <w:t>c.01.1.08 Zlepšování péče a ochrany ploch Natura 2000</w:t>
            </w:r>
          </w:p>
        </w:tc>
        <w:tc>
          <w:tcPr>
            <w:tcW w:w="444" w:type="pct"/>
            <w:gridSpan w:val="2"/>
            <w:tcBorders>
              <w:top w:val="nil"/>
              <w:left w:val="nil"/>
              <w:bottom w:val="single" w:sz="4" w:space="0" w:color="auto"/>
              <w:right w:val="single" w:sz="4" w:space="0" w:color="auto"/>
            </w:tcBorders>
            <w:shd w:val="clear" w:color="auto" w:fill="auto"/>
            <w:noWrap/>
            <w:vAlign w:val="center"/>
          </w:tcPr>
          <w:p w14:paraId="77CD9B33" w14:textId="17B38EF3" w:rsidR="00BA64D4" w:rsidRPr="00DA39A6" w:rsidRDefault="00DA39A6" w:rsidP="00BA64D4">
            <w:pPr>
              <w:pStyle w:val="Texttabulky"/>
              <w:jc w:val="center"/>
              <w:rPr>
                <w:rFonts w:asciiTheme="minorHAnsi" w:hAnsiTheme="minorHAnsi" w:cstheme="minorHAnsi"/>
                <w:color w:val="auto"/>
                <w:szCs w:val="16"/>
              </w:rPr>
            </w:pPr>
            <w:r>
              <w:rPr>
                <w:rFonts w:asciiTheme="minorHAnsi" w:hAnsiTheme="minorHAnsi" w:cstheme="minorHAnsi"/>
                <w:color w:val="auto"/>
                <w:szCs w:val="16"/>
              </w:rPr>
              <w:t>+</w:t>
            </w:r>
          </w:p>
        </w:tc>
        <w:tc>
          <w:tcPr>
            <w:tcW w:w="2130" w:type="pct"/>
            <w:tcBorders>
              <w:top w:val="nil"/>
              <w:left w:val="nil"/>
              <w:bottom w:val="single" w:sz="4" w:space="0" w:color="auto"/>
              <w:right w:val="single" w:sz="4" w:space="0" w:color="auto"/>
            </w:tcBorders>
            <w:vAlign w:val="center"/>
          </w:tcPr>
          <w:p w14:paraId="25C7D9E2" w14:textId="55E1432B" w:rsidR="00BA64D4" w:rsidRPr="00DA39A6" w:rsidRDefault="00DA39A6" w:rsidP="00BA64D4">
            <w:pPr>
              <w:pStyle w:val="Texttabulky"/>
              <w:jc w:val="center"/>
              <w:rPr>
                <w:rFonts w:cs="Arial"/>
                <w:color w:val="auto"/>
                <w:szCs w:val="16"/>
              </w:rPr>
            </w:pPr>
            <w:r>
              <w:rPr>
                <w:rFonts w:cs="Arial"/>
                <w:color w:val="auto"/>
                <w:szCs w:val="16"/>
              </w:rPr>
              <w:t xml:space="preserve">Zprostředkovaně přispěje k rozšíření a stabilizaci ploch zeleně a vytvoření nárazníkového pásma vůči EVL. </w:t>
            </w:r>
          </w:p>
        </w:tc>
      </w:tr>
      <w:tr w:rsidR="00DA39A6" w:rsidRPr="007E2FB4" w14:paraId="40BFCDF1" w14:textId="77777777" w:rsidTr="0016566E">
        <w:trPr>
          <w:trHeight w:val="275"/>
        </w:trPr>
        <w:tc>
          <w:tcPr>
            <w:tcW w:w="2426" w:type="pct"/>
            <w:tcBorders>
              <w:top w:val="nil"/>
              <w:left w:val="single" w:sz="4" w:space="0" w:color="auto"/>
              <w:bottom w:val="single" w:sz="4" w:space="0" w:color="auto"/>
              <w:right w:val="single" w:sz="4" w:space="0" w:color="auto"/>
            </w:tcBorders>
            <w:shd w:val="clear" w:color="auto" w:fill="auto"/>
            <w:vAlign w:val="center"/>
          </w:tcPr>
          <w:p w14:paraId="0164456C" w14:textId="77777777" w:rsidR="00DA39A6" w:rsidRPr="00DA39A6" w:rsidRDefault="00DA39A6" w:rsidP="00DA39A6">
            <w:pPr>
              <w:pStyle w:val="Odrky1"/>
              <w:spacing w:before="0" w:after="0"/>
              <w:jc w:val="center"/>
              <w:rPr>
                <w:sz w:val="16"/>
                <w:szCs w:val="16"/>
              </w:rPr>
            </w:pPr>
            <w:r w:rsidRPr="00DA39A6">
              <w:rPr>
                <w:sz w:val="16"/>
              </w:rPr>
              <w:t>c.01.1.09 Zlepšování péče o lokality s chráněnými živočichy a rostlinami s národním významem</w:t>
            </w:r>
          </w:p>
        </w:tc>
        <w:tc>
          <w:tcPr>
            <w:tcW w:w="444" w:type="pct"/>
            <w:gridSpan w:val="2"/>
            <w:tcBorders>
              <w:top w:val="nil"/>
              <w:left w:val="nil"/>
              <w:bottom w:val="single" w:sz="4" w:space="0" w:color="auto"/>
              <w:right w:val="single" w:sz="4" w:space="0" w:color="auto"/>
            </w:tcBorders>
            <w:shd w:val="clear" w:color="auto" w:fill="auto"/>
            <w:noWrap/>
            <w:vAlign w:val="center"/>
          </w:tcPr>
          <w:p w14:paraId="7EC8004B" w14:textId="5C641808" w:rsidR="00DA39A6" w:rsidRPr="00DA39A6" w:rsidRDefault="00DA39A6" w:rsidP="00DA39A6">
            <w:pPr>
              <w:pStyle w:val="Texttabulky"/>
              <w:jc w:val="center"/>
              <w:rPr>
                <w:rFonts w:asciiTheme="minorHAnsi" w:hAnsiTheme="minorHAnsi" w:cstheme="minorHAnsi"/>
                <w:color w:val="auto"/>
                <w:szCs w:val="16"/>
              </w:rPr>
            </w:pPr>
            <w:r>
              <w:rPr>
                <w:rFonts w:asciiTheme="minorHAnsi" w:hAnsiTheme="minorHAnsi" w:cstheme="minorHAnsi"/>
                <w:color w:val="auto"/>
                <w:szCs w:val="16"/>
              </w:rPr>
              <w:t>+</w:t>
            </w:r>
          </w:p>
        </w:tc>
        <w:tc>
          <w:tcPr>
            <w:tcW w:w="2130" w:type="pct"/>
            <w:tcBorders>
              <w:top w:val="nil"/>
              <w:left w:val="nil"/>
              <w:bottom w:val="single" w:sz="4" w:space="0" w:color="auto"/>
              <w:right w:val="single" w:sz="4" w:space="0" w:color="auto"/>
            </w:tcBorders>
            <w:vAlign w:val="center"/>
          </w:tcPr>
          <w:p w14:paraId="59C04910" w14:textId="5CD66B02" w:rsidR="00DA39A6" w:rsidRPr="00DA39A6" w:rsidRDefault="00DA39A6" w:rsidP="00DA39A6">
            <w:pPr>
              <w:pStyle w:val="Texttabulky"/>
              <w:jc w:val="center"/>
              <w:rPr>
                <w:rFonts w:cs="Arial"/>
                <w:color w:val="auto"/>
                <w:szCs w:val="16"/>
              </w:rPr>
            </w:pPr>
            <w:r>
              <w:rPr>
                <w:rFonts w:cs="Arial"/>
                <w:color w:val="auto"/>
                <w:szCs w:val="16"/>
              </w:rPr>
              <w:t xml:space="preserve">Zprostředkovaně přispěje k rozšíření a stabilizaci ploch zeleně a vytvoření nárazníkového pásma vůči EVL. </w:t>
            </w:r>
          </w:p>
        </w:tc>
      </w:tr>
      <w:tr w:rsidR="00BA64D4" w:rsidRPr="007E2FB4" w14:paraId="6B4B5DCA" w14:textId="77777777" w:rsidTr="0016566E">
        <w:trPr>
          <w:trHeight w:val="260"/>
        </w:trPr>
        <w:tc>
          <w:tcPr>
            <w:tcW w:w="2426" w:type="pct"/>
            <w:tcBorders>
              <w:top w:val="single" w:sz="4" w:space="0" w:color="auto"/>
              <w:left w:val="single" w:sz="4" w:space="0" w:color="auto"/>
              <w:bottom w:val="single" w:sz="4" w:space="0" w:color="auto"/>
              <w:right w:val="single" w:sz="4" w:space="0" w:color="000000"/>
            </w:tcBorders>
            <w:shd w:val="clear" w:color="auto" w:fill="auto"/>
            <w:vAlign w:val="center"/>
            <w:hideMark/>
          </w:tcPr>
          <w:p w14:paraId="194C7C4E" w14:textId="77777777" w:rsidR="00BA64D4" w:rsidRPr="00760A82" w:rsidRDefault="00BA64D4" w:rsidP="00BA64D4">
            <w:pPr>
              <w:pStyle w:val="Texttabulky"/>
              <w:rPr>
                <w:b/>
                <w:color w:val="auto"/>
                <w:szCs w:val="16"/>
              </w:rPr>
            </w:pPr>
            <w:r w:rsidRPr="00760A82">
              <w:rPr>
                <w:b/>
                <w:color w:val="auto"/>
                <w:szCs w:val="16"/>
              </w:rPr>
              <w:t>01.2 Aktivně chránit a rozvíjet krajinné zázemí města</w:t>
            </w:r>
          </w:p>
        </w:tc>
        <w:tc>
          <w:tcPr>
            <w:tcW w:w="444" w:type="pct"/>
            <w:gridSpan w:val="2"/>
            <w:tcBorders>
              <w:top w:val="single" w:sz="4" w:space="0" w:color="auto"/>
              <w:left w:val="single" w:sz="4" w:space="0" w:color="auto"/>
              <w:bottom w:val="single" w:sz="4" w:space="0" w:color="auto"/>
              <w:right w:val="single" w:sz="4" w:space="0" w:color="000000"/>
            </w:tcBorders>
            <w:shd w:val="clear" w:color="auto" w:fill="auto"/>
            <w:vAlign w:val="center"/>
          </w:tcPr>
          <w:p w14:paraId="26498970" w14:textId="7CC292F2" w:rsidR="00BA64D4" w:rsidRPr="00760A82" w:rsidRDefault="00BA64D4" w:rsidP="00BA64D4">
            <w:pPr>
              <w:pStyle w:val="Texttabulky"/>
              <w:jc w:val="center"/>
              <w:rPr>
                <w:b/>
                <w:color w:val="auto"/>
                <w:szCs w:val="16"/>
              </w:rPr>
            </w:pPr>
            <w:r w:rsidRPr="00760A82">
              <w:rPr>
                <w:rFonts w:asciiTheme="minorHAnsi" w:hAnsiTheme="minorHAnsi" w:cstheme="minorHAnsi"/>
                <w:color w:val="auto"/>
                <w:szCs w:val="16"/>
              </w:rPr>
              <w:t>0</w:t>
            </w:r>
          </w:p>
        </w:tc>
        <w:tc>
          <w:tcPr>
            <w:tcW w:w="2130" w:type="pct"/>
            <w:tcBorders>
              <w:top w:val="single" w:sz="4" w:space="0" w:color="auto"/>
              <w:left w:val="single" w:sz="4" w:space="0" w:color="auto"/>
              <w:bottom w:val="single" w:sz="4" w:space="0" w:color="auto"/>
              <w:right w:val="single" w:sz="4" w:space="0" w:color="000000"/>
            </w:tcBorders>
            <w:shd w:val="clear" w:color="auto" w:fill="auto"/>
            <w:vAlign w:val="center"/>
          </w:tcPr>
          <w:p w14:paraId="6E2A6401" w14:textId="52FCD952" w:rsidR="00BA64D4" w:rsidRPr="00760A82" w:rsidRDefault="00BA64D4" w:rsidP="00BA64D4">
            <w:pPr>
              <w:pStyle w:val="Texttabulky"/>
              <w:jc w:val="center"/>
              <w:rPr>
                <w:b/>
                <w:color w:val="auto"/>
                <w:szCs w:val="16"/>
              </w:rPr>
            </w:pPr>
            <w:r w:rsidRPr="00760A82">
              <w:rPr>
                <w:rFonts w:cs="Arial"/>
                <w:color w:val="auto"/>
                <w:szCs w:val="16"/>
              </w:rPr>
              <w:t>Z hlediska posuzované ÚPD bez přímé vazby.</w:t>
            </w:r>
          </w:p>
        </w:tc>
      </w:tr>
      <w:tr w:rsidR="00BA64D4" w:rsidRPr="00111F34" w14:paraId="4A33627A" w14:textId="77777777" w:rsidTr="0016566E">
        <w:trPr>
          <w:trHeight w:val="419"/>
        </w:trPr>
        <w:tc>
          <w:tcPr>
            <w:tcW w:w="2426" w:type="pct"/>
            <w:tcBorders>
              <w:top w:val="nil"/>
              <w:left w:val="single" w:sz="4" w:space="0" w:color="auto"/>
              <w:bottom w:val="single" w:sz="4" w:space="0" w:color="auto"/>
              <w:right w:val="single" w:sz="4" w:space="0" w:color="auto"/>
            </w:tcBorders>
            <w:shd w:val="clear" w:color="auto" w:fill="auto"/>
          </w:tcPr>
          <w:p w14:paraId="455A1015" w14:textId="77777777" w:rsidR="00BA64D4" w:rsidRPr="00760A82" w:rsidRDefault="00BA64D4" w:rsidP="00BA64D4">
            <w:pPr>
              <w:pStyle w:val="Odrky1"/>
              <w:spacing w:before="0" w:after="0"/>
              <w:jc w:val="left"/>
              <w:rPr>
                <w:sz w:val="16"/>
                <w:szCs w:val="16"/>
              </w:rPr>
            </w:pPr>
            <w:r w:rsidRPr="00760A82">
              <w:rPr>
                <w:sz w:val="16"/>
              </w:rPr>
              <w:t>i.01.2.01 Zvyšování podílu pozemků určených k plnění funkce lesa na celkové rozloze Prahy.</w:t>
            </w:r>
          </w:p>
        </w:tc>
        <w:tc>
          <w:tcPr>
            <w:tcW w:w="444" w:type="pct"/>
            <w:gridSpan w:val="2"/>
            <w:tcBorders>
              <w:top w:val="nil"/>
              <w:left w:val="nil"/>
              <w:bottom w:val="single" w:sz="4" w:space="0" w:color="auto"/>
              <w:right w:val="single" w:sz="4" w:space="0" w:color="auto"/>
            </w:tcBorders>
            <w:shd w:val="clear" w:color="auto" w:fill="auto"/>
            <w:noWrap/>
            <w:vAlign w:val="center"/>
            <w:hideMark/>
          </w:tcPr>
          <w:p w14:paraId="2B27DFA7" w14:textId="3B4ED95D" w:rsidR="00BA64D4" w:rsidRPr="00760A82" w:rsidRDefault="006A385A" w:rsidP="00BA64D4">
            <w:pPr>
              <w:pStyle w:val="Texttabulky"/>
              <w:jc w:val="center"/>
              <w:rPr>
                <w:rFonts w:asciiTheme="minorHAnsi" w:hAnsiTheme="minorHAnsi" w:cstheme="minorHAnsi"/>
                <w:color w:val="auto"/>
                <w:szCs w:val="16"/>
              </w:rPr>
            </w:pPr>
            <w:r w:rsidRPr="00760A82">
              <w:rPr>
                <w:rFonts w:asciiTheme="minorHAnsi" w:hAnsiTheme="minorHAnsi" w:cstheme="minorHAnsi"/>
                <w:color w:val="auto"/>
                <w:szCs w:val="16"/>
              </w:rPr>
              <w:t>-</w:t>
            </w:r>
          </w:p>
        </w:tc>
        <w:tc>
          <w:tcPr>
            <w:tcW w:w="2130" w:type="pct"/>
            <w:tcBorders>
              <w:top w:val="nil"/>
              <w:left w:val="nil"/>
              <w:bottom w:val="single" w:sz="4" w:space="0" w:color="auto"/>
              <w:right w:val="single" w:sz="4" w:space="0" w:color="auto"/>
            </w:tcBorders>
            <w:vAlign w:val="center"/>
          </w:tcPr>
          <w:p w14:paraId="33BBE455" w14:textId="01DB78B7" w:rsidR="00BA64D4" w:rsidRPr="00760A82" w:rsidRDefault="006A385A" w:rsidP="00BA64D4">
            <w:pPr>
              <w:pStyle w:val="Texttabulky"/>
              <w:jc w:val="center"/>
              <w:rPr>
                <w:rFonts w:cs="Arial"/>
                <w:color w:val="auto"/>
                <w:szCs w:val="16"/>
              </w:rPr>
            </w:pPr>
            <w:r w:rsidRPr="00760A82">
              <w:rPr>
                <w:rFonts w:cs="Arial"/>
                <w:color w:val="auto"/>
                <w:szCs w:val="16"/>
              </w:rPr>
              <w:t>N</w:t>
            </w:r>
            <w:r w:rsidR="00CA1AA0" w:rsidRPr="00760A82">
              <w:rPr>
                <w:rFonts w:cs="Arial"/>
                <w:color w:val="auto"/>
                <w:szCs w:val="16"/>
              </w:rPr>
              <w:t>ejsou vymezeny nové plochy lesa</w:t>
            </w:r>
            <w:r w:rsidR="00BA64D4" w:rsidRPr="00760A82">
              <w:rPr>
                <w:rFonts w:cs="Arial"/>
                <w:color w:val="auto"/>
                <w:szCs w:val="16"/>
              </w:rPr>
              <w:t>.</w:t>
            </w:r>
            <w:r w:rsidRPr="00760A82">
              <w:rPr>
                <w:rFonts w:cs="Arial"/>
                <w:color w:val="auto"/>
                <w:szCs w:val="16"/>
              </w:rPr>
              <w:t xml:space="preserve"> Změna generuje dílčí </w:t>
            </w:r>
            <w:r w:rsidR="00760A82" w:rsidRPr="00760A82">
              <w:rPr>
                <w:rFonts w:cs="Arial"/>
                <w:color w:val="auto"/>
                <w:szCs w:val="16"/>
              </w:rPr>
              <w:t>zábor</w:t>
            </w:r>
            <w:r w:rsidRPr="00760A82">
              <w:rPr>
                <w:rFonts w:cs="Arial"/>
                <w:color w:val="auto"/>
                <w:szCs w:val="16"/>
              </w:rPr>
              <w:t xml:space="preserve"> PUPFL v koridoru přivaděče Rybářka.</w:t>
            </w:r>
          </w:p>
        </w:tc>
      </w:tr>
      <w:tr w:rsidR="00BA64D4" w:rsidRPr="00111F34" w14:paraId="7E21EC53" w14:textId="77777777" w:rsidTr="0016566E">
        <w:trPr>
          <w:trHeight w:val="147"/>
        </w:trPr>
        <w:tc>
          <w:tcPr>
            <w:tcW w:w="2426" w:type="pct"/>
            <w:tcBorders>
              <w:top w:val="nil"/>
              <w:left w:val="single" w:sz="4" w:space="0" w:color="auto"/>
              <w:bottom w:val="single" w:sz="4" w:space="0" w:color="auto"/>
              <w:right w:val="single" w:sz="4" w:space="0" w:color="auto"/>
            </w:tcBorders>
            <w:shd w:val="clear" w:color="auto" w:fill="auto"/>
          </w:tcPr>
          <w:p w14:paraId="3055B4BE" w14:textId="77777777" w:rsidR="00BA64D4" w:rsidRPr="00760A82" w:rsidRDefault="00BA64D4" w:rsidP="00BA64D4">
            <w:pPr>
              <w:pStyle w:val="Odrky1"/>
              <w:spacing w:before="0" w:after="0"/>
              <w:jc w:val="left"/>
              <w:rPr>
                <w:sz w:val="16"/>
                <w:szCs w:val="16"/>
              </w:rPr>
            </w:pPr>
            <w:r w:rsidRPr="00760A82">
              <w:rPr>
                <w:i/>
                <w:sz w:val="16"/>
              </w:rPr>
              <w:t>i.01.2.04 Snižování výměry nekoncepčního záboru zemědělského půdního fondu</w:t>
            </w:r>
            <w:r w:rsidRPr="00760A82">
              <w:rPr>
                <w:sz w:val="16"/>
              </w:rPr>
              <w:t>.</w:t>
            </w:r>
          </w:p>
        </w:tc>
        <w:tc>
          <w:tcPr>
            <w:tcW w:w="444" w:type="pct"/>
            <w:gridSpan w:val="2"/>
            <w:tcBorders>
              <w:top w:val="nil"/>
              <w:left w:val="nil"/>
              <w:bottom w:val="single" w:sz="4" w:space="0" w:color="auto"/>
              <w:right w:val="single" w:sz="4" w:space="0" w:color="auto"/>
            </w:tcBorders>
            <w:shd w:val="clear" w:color="auto" w:fill="auto"/>
            <w:noWrap/>
            <w:vAlign w:val="center"/>
            <w:hideMark/>
          </w:tcPr>
          <w:p w14:paraId="6303AF5E" w14:textId="71213651" w:rsidR="00BA64D4" w:rsidRPr="00760A82" w:rsidRDefault="00CA1AA0" w:rsidP="00BA64D4">
            <w:pPr>
              <w:pStyle w:val="Texttabulky"/>
              <w:jc w:val="center"/>
              <w:rPr>
                <w:rFonts w:asciiTheme="minorHAnsi" w:hAnsiTheme="minorHAnsi" w:cstheme="minorHAnsi"/>
                <w:color w:val="auto"/>
                <w:szCs w:val="16"/>
              </w:rPr>
            </w:pPr>
            <w:r w:rsidRPr="00760A82">
              <w:rPr>
                <w:rFonts w:asciiTheme="minorHAnsi" w:hAnsiTheme="minorHAnsi" w:cstheme="minorHAnsi"/>
                <w:color w:val="auto"/>
                <w:szCs w:val="16"/>
              </w:rPr>
              <w:t>-</w:t>
            </w:r>
          </w:p>
        </w:tc>
        <w:tc>
          <w:tcPr>
            <w:tcW w:w="2130" w:type="pct"/>
            <w:tcBorders>
              <w:top w:val="nil"/>
              <w:left w:val="nil"/>
              <w:bottom w:val="single" w:sz="4" w:space="0" w:color="auto"/>
              <w:right w:val="single" w:sz="4" w:space="0" w:color="auto"/>
            </w:tcBorders>
            <w:vAlign w:val="center"/>
          </w:tcPr>
          <w:p w14:paraId="1F6B9AE4" w14:textId="543751FE" w:rsidR="00BA64D4" w:rsidRPr="00760A82" w:rsidRDefault="00BA64D4" w:rsidP="00BA64D4">
            <w:pPr>
              <w:pStyle w:val="Texttabulky"/>
              <w:jc w:val="center"/>
              <w:rPr>
                <w:rFonts w:cs="Arial"/>
                <w:color w:val="auto"/>
                <w:szCs w:val="16"/>
              </w:rPr>
            </w:pPr>
            <w:r w:rsidRPr="00760A82">
              <w:rPr>
                <w:rFonts w:cs="Arial"/>
                <w:color w:val="auto"/>
                <w:szCs w:val="16"/>
              </w:rPr>
              <w:t xml:space="preserve">Posuzovaná ÚPD </w:t>
            </w:r>
            <w:r w:rsidR="00CA1AA0" w:rsidRPr="00760A82">
              <w:rPr>
                <w:rFonts w:cs="Arial"/>
                <w:color w:val="auto"/>
                <w:szCs w:val="16"/>
              </w:rPr>
              <w:t>prověřuje a znovu přerozděluje plochy již navržené k záboru. Změna dává rámec pro zvýšení podílu zastavěných ploch i na úkor ZPF.</w:t>
            </w:r>
          </w:p>
        </w:tc>
      </w:tr>
      <w:tr w:rsidR="00BA64D4" w:rsidRPr="00111F34" w14:paraId="647C4440" w14:textId="77777777" w:rsidTr="0016566E">
        <w:trPr>
          <w:trHeight w:val="377"/>
        </w:trPr>
        <w:tc>
          <w:tcPr>
            <w:tcW w:w="2426" w:type="pct"/>
            <w:tcBorders>
              <w:top w:val="nil"/>
              <w:left w:val="single" w:sz="4" w:space="0" w:color="auto"/>
              <w:bottom w:val="single" w:sz="4" w:space="0" w:color="auto"/>
              <w:right w:val="single" w:sz="4" w:space="0" w:color="auto"/>
            </w:tcBorders>
            <w:shd w:val="clear" w:color="auto" w:fill="auto"/>
          </w:tcPr>
          <w:p w14:paraId="767421A3" w14:textId="77777777" w:rsidR="00BA64D4" w:rsidRPr="00111F34" w:rsidRDefault="00BA64D4" w:rsidP="00BA64D4">
            <w:pPr>
              <w:pStyle w:val="Odrky1"/>
              <w:spacing w:before="0" w:after="0"/>
              <w:jc w:val="left"/>
              <w:rPr>
                <w:sz w:val="16"/>
                <w:szCs w:val="16"/>
              </w:rPr>
            </w:pPr>
            <w:r w:rsidRPr="00111F34">
              <w:rPr>
                <w:sz w:val="16"/>
              </w:rPr>
              <w:t xml:space="preserve">i.01.2.09 Zvyšování kvality městského prostředí zlepšováním dostupnosti vnější otevřené krajiny </w:t>
            </w:r>
          </w:p>
        </w:tc>
        <w:tc>
          <w:tcPr>
            <w:tcW w:w="444" w:type="pct"/>
            <w:gridSpan w:val="2"/>
            <w:tcBorders>
              <w:top w:val="nil"/>
              <w:left w:val="nil"/>
              <w:bottom w:val="single" w:sz="4" w:space="0" w:color="auto"/>
              <w:right w:val="single" w:sz="4" w:space="0" w:color="auto"/>
            </w:tcBorders>
            <w:shd w:val="clear" w:color="auto" w:fill="auto"/>
            <w:noWrap/>
            <w:vAlign w:val="center"/>
            <w:hideMark/>
          </w:tcPr>
          <w:p w14:paraId="603B6339" w14:textId="651DF426" w:rsidR="00BA64D4" w:rsidRPr="00111F34" w:rsidRDefault="00CA1AA0" w:rsidP="00BA64D4">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w:t>
            </w:r>
          </w:p>
        </w:tc>
        <w:tc>
          <w:tcPr>
            <w:tcW w:w="2130" w:type="pct"/>
            <w:tcBorders>
              <w:top w:val="nil"/>
              <w:left w:val="nil"/>
              <w:bottom w:val="single" w:sz="4" w:space="0" w:color="auto"/>
              <w:right w:val="single" w:sz="4" w:space="0" w:color="auto"/>
            </w:tcBorders>
            <w:vAlign w:val="center"/>
          </w:tcPr>
          <w:p w14:paraId="615A6908" w14:textId="3E9EF195" w:rsidR="00BA64D4" w:rsidRPr="00111F34" w:rsidRDefault="00CA1AA0" w:rsidP="00BA64D4">
            <w:pPr>
              <w:pStyle w:val="Texttabulky"/>
              <w:jc w:val="center"/>
              <w:rPr>
                <w:rFonts w:cs="Arial"/>
                <w:color w:val="auto"/>
                <w:szCs w:val="16"/>
              </w:rPr>
            </w:pPr>
            <w:r w:rsidRPr="00111F34">
              <w:rPr>
                <w:rFonts w:cs="Arial"/>
                <w:color w:val="auto"/>
                <w:szCs w:val="16"/>
              </w:rPr>
              <w:t>Změna přímo rozvíjí tento indikátor</w:t>
            </w:r>
            <w:r w:rsidR="00BA64D4" w:rsidRPr="00111F34">
              <w:rPr>
                <w:rFonts w:cs="Arial"/>
                <w:color w:val="auto"/>
                <w:szCs w:val="16"/>
              </w:rPr>
              <w:t>.</w:t>
            </w:r>
            <w:r w:rsidR="006A385A" w:rsidRPr="00111F34">
              <w:rPr>
                <w:rFonts w:cs="Arial"/>
                <w:color w:val="auto"/>
                <w:szCs w:val="16"/>
              </w:rPr>
              <w:t xml:space="preserve"> Vymezuje plochy zeleně v návaznosti na volnou krajinu a vytváří územní předpoklady pro jejich napojení na území. </w:t>
            </w:r>
          </w:p>
        </w:tc>
      </w:tr>
      <w:tr w:rsidR="00CA1AA0" w:rsidRPr="00111F34" w14:paraId="064C90C7" w14:textId="77777777" w:rsidTr="0016566E">
        <w:trPr>
          <w:trHeight w:val="412"/>
        </w:trPr>
        <w:tc>
          <w:tcPr>
            <w:tcW w:w="2426" w:type="pct"/>
            <w:tcBorders>
              <w:top w:val="nil"/>
              <w:left w:val="single" w:sz="4" w:space="0" w:color="auto"/>
              <w:bottom w:val="single" w:sz="4" w:space="0" w:color="auto"/>
              <w:right w:val="single" w:sz="4" w:space="0" w:color="auto"/>
            </w:tcBorders>
            <w:shd w:val="clear" w:color="auto" w:fill="auto"/>
          </w:tcPr>
          <w:p w14:paraId="0E533E1E" w14:textId="2791C420" w:rsidR="00CA1AA0" w:rsidRPr="00111F34" w:rsidRDefault="00CA1AA0" w:rsidP="00CA1AA0">
            <w:pPr>
              <w:pStyle w:val="Odrky1"/>
              <w:spacing w:before="0" w:after="0"/>
              <w:jc w:val="left"/>
              <w:rPr>
                <w:sz w:val="16"/>
                <w:szCs w:val="16"/>
              </w:rPr>
            </w:pPr>
            <w:r w:rsidRPr="00111F34">
              <w:rPr>
                <w:sz w:val="16"/>
              </w:rPr>
              <w:lastRenderedPageBreak/>
              <w:t>c.01.2.11 Zlepšování prostupnosti krajiny, resp. snížení fragmentace krajiny jak pro živočichy a rostliny, tak pro rekreaci obyvatel – pěší i cyklisty</w:t>
            </w:r>
          </w:p>
        </w:tc>
        <w:tc>
          <w:tcPr>
            <w:tcW w:w="444" w:type="pct"/>
            <w:gridSpan w:val="2"/>
            <w:tcBorders>
              <w:top w:val="nil"/>
              <w:left w:val="nil"/>
              <w:bottom w:val="single" w:sz="4" w:space="0" w:color="auto"/>
              <w:right w:val="single" w:sz="4" w:space="0" w:color="auto"/>
            </w:tcBorders>
            <w:shd w:val="clear" w:color="auto" w:fill="auto"/>
            <w:noWrap/>
            <w:vAlign w:val="center"/>
            <w:hideMark/>
          </w:tcPr>
          <w:p w14:paraId="2A82C9D6" w14:textId="7B55390F" w:rsidR="00CA1AA0" w:rsidRPr="00111F34" w:rsidRDefault="00CA1AA0" w:rsidP="00CA1AA0">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w:t>
            </w:r>
          </w:p>
        </w:tc>
        <w:tc>
          <w:tcPr>
            <w:tcW w:w="2130" w:type="pct"/>
            <w:tcBorders>
              <w:top w:val="nil"/>
              <w:left w:val="nil"/>
              <w:bottom w:val="single" w:sz="4" w:space="0" w:color="auto"/>
              <w:right w:val="single" w:sz="4" w:space="0" w:color="auto"/>
            </w:tcBorders>
            <w:vAlign w:val="center"/>
          </w:tcPr>
          <w:p w14:paraId="7685CE69" w14:textId="4FFF925C" w:rsidR="00CA1AA0" w:rsidRPr="00111F34" w:rsidRDefault="00CA1AA0" w:rsidP="00CA1AA0">
            <w:pPr>
              <w:pStyle w:val="Texttabulky"/>
              <w:jc w:val="center"/>
              <w:rPr>
                <w:rFonts w:cs="Arial"/>
                <w:color w:val="auto"/>
                <w:szCs w:val="16"/>
              </w:rPr>
            </w:pPr>
            <w:r w:rsidRPr="00111F34">
              <w:rPr>
                <w:rFonts w:cs="Arial"/>
                <w:color w:val="auto"/>
                <w:szCs w:val="16"/>
              </w:rPr>
              <w:t>Změna přímo rozvíjí tento cíl.</w:t>
            </w:r>
            <w:r w:rsidR="006A385A" w:rsidRPr="00111F34">
              <w:rPr>
                <w:rFonts w:cs="Arial"/>
                <w:color w:val="auto"/>
                <w:szCs w:val="16"/>
              </w:rPr>
              <w:t xml:space="preserve"> Vymezuje plochy zeleně v návaznosti na volnou krajinu a vytváří územní předpoklady pro jejich napojení na území.</w:t>
            </w:r>
          </w:p>
        </w:tc>
      </w:tr>
      <w:tr w:rsidR="004761E4" w:rsidRPr="00111F34" w14:paraId="5827ED9C" w14:textId="77777777" w:rsidTr="0016566E">
        <w:trPr>
          <w:trHeight w:val="301"/>
        </w:trPr>
        <w:tc>
          <w:tcPr>
            <w:tcW w:w="2426" w:type="pct"/>
            <w:tcBorders>
              <w:top w:val="nil"/>
              <w:left w:val="single" w:sz="4" w:space="0" w:color="auto"/>
              <w:bottom w:val="single" w:sz="4" w:space="0" w:color="auto"/>
              <w:right w:val="single" w:sz="4" w:space="0" w:color="auto"/>
            </w:tcBorders>
            <w:shd w:val="clear" w:color="auto" w:fill="auto"/>
            <w:vAlign w:val="center"/>
          </w:tcPr>
          <w:p w14:paraId="425AD4B8" w14:textId="77777777" w:rsidR="004761E4" w:rsidRPr="00111F34" w:rsidRDefault="004761E4" w:rsidP="004761E4">
            <w:pPr>
              <w:pStyle w:val="Odrky1"/>
              <w:numPr>
                <w:ilvl w:val="0"/>
                <w:numId w:val="0"/>
              </w:numPr>
              <w:spacing w:before="0" w:after="0"/>
              <w:ind w:left="360" w:hanging="360"/>
              <w:jc w:val="left"/>
              <w:rPr>
                <w:b/>
                <w:sz w:val="16"/>
                <w:szCs w:val="16"/>
              </w:rPr>
            </w:pPr>
            <w:r w:rsidRPr="00111F34">
              <w:rPr>
                <w:b/>
                <w:sz w:val="16"/>
                <w:szCs w:val="16"/>
              </w:rPr>
              <w:t>01.3 Aktivně chránit a rozvíjet městskou krajinu</w:t>
            </w:r>
          </w:p>
        </w:tc>
        <w:tc>
          <w:tcPr>
            <w:tcW w:w="444" w:type="pct"/>
            <w:gridSpan w:val="2"/>
            <w:tcBorders>
              <w:top w:val="nil"/>
              <w:left w:val="nil"/>
              <w:bottom w:val="single" w:sz="4" w:space="0" w:color="auto"/>
              <w:right w:val="single" w:sz="4" w:space="0" w:color="auto"/>
            </w:tcBorders>
            <w:shd w:val="clear" w:color="auto" w:fill="auto"/>
            <w:noWrap/>
            <w:vAlign w:val="center"/>
          </w:tcPr>
          <w:p w14:paraId="319F7A0D" w14:textId="19022F63" w:rsidR="004761E4" w:rsidRPr="00111F34" w:rsidRDefault="004761E4" w:rsidP="004761E4">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w:t>
            </w:r>
            <w:r w:rsidR="0016566E" w:rsidRPr="00111F34">
              <w:rPr>
                <w:rFonts w:asciiTheme="minorHAnsi" w:hAnsiTheme="minorHAnsi" w:cstheme="minorHAnsi"/>
                <w:color w:val="auto"/>
                <w:szCs w:val="16"/>
              </w:rPr>
              <w:t xml:space="preserve"> až </w:t>
            </w:r>
            <w:r w:rsidR="00891468" w:rsidRPr="00111F34">
              <w:rPr>
                <w:rFonts w:asciiTheme="minorHAnsi" w:hAnsiTheme="minorHAnsi" w:cstheme="minorHAnsi"/>
                <w:color w:val="auto"/>
                <w:szCs w:val="16"/>
              </w:rPr>
              <w:t>-</w:t>
            </w:r>
          </w:p>
        </w:tc>
        <w:tc>
          <w:tcPr>
            <w:tcW w:w="2130" w:type="pct"/>
            <w:tcBorders>
              <w:top w:val="nil"/>
              <w:left w:val="nil"/>
              <w:bottom w:val="single" w:sz="4" w:space="0" w:color="auto"/>
              <w:right w:val="single" w:sz="4" w:space="0" w:color="auto"/>
            </w:tcBorders>
            <w:vAlign w:val="center"/>
          </w:tcPr>
          <w:p w14:paraId="4E1A0B14" w14:textId="6EDBB1D3" w:rsidR="004761E4" w:rsidRPr="00111F34" w:rsidRDefault="004761E4" w:rsidP="004761E4">
            <w:pPr>
              <w:pStyle w:val="Texttabulky"/>
              <w:jc w:val="center"/>
              <w:rPr>
                <w:rFonts w:cs="Arial"/>
                <w:color w:val="auto"/>
                <w:szCs w:val="16"/>
              </w:rPr>
            </w:pPr>
            <w:r w:rsidRPr="00111F34">
              <w:rPr>
                <w:rFonts w:cs="Arial"/>
                <w:color w:val="auto"/>
                <w:szCs w:val="16"/>
              </w:rPr>
              <w:t>Vytvořeny územní předpoklady pro vznik nových ploch veřejné zeleně.</w:t>
            </w:r>
          </w:p>
        </w:tc>
      </w:tr>
      <w:tr w:rsidR="00BA64D4" w:rsidRPr="00111F34" w14:paraId="28000CA5" w14:textId="77777777" w:rsidTr="0016566E">
        <w:trPr>
          <w:trHeight w:val="412"/>
        </w:trPr>
        <w:tc>
          <w:tcPr>
            <w:tcW w:w="2426" w:type="pct"/>
            <w:tcBorders>
              <w:top w:val="nil"/>
              <w:left w:val="single" w:sz="4" w:space="0" w:color="auto"/>
              <w:bottom w:val="single" w:sz="4" w:space="0" w:color="auto"/>
              <w:right w:val="single" w:sz="4" w:space="0" w:color="auto"/>
            </w:tcBorders>
            <w:shd w:val="clear" w:color="auto" w:fill="auto"/>
          </w:tcPr>
          <w:p w14:paraId="0ED3505E" w14:textId="77777777" w:rsidR="00BA64D4" w:rsidRPr="00111F34" w:rsidRDefault="00BA64D4" w:rsidP="00BA64D4">
            <w:pPr>
              <w:pStyle w:val="Odrky1"/>
              <w:spacing w:before="0" w:after="0"/>
              <w:jc w:val="left"/>
              <w:rPr>
                <w:i/>
                <w:sz w:val="16"/>
                <w:szCs w:val="16"/>
              </w:rPr>
            </w:pPr>
            <w:r w:rsidRPr="00111F34">
              <w:rPr>
                <w:i/>
                <w:sz w:val="16"/>
              </w:rPr>
              <w:t>i.01.3.01 Zvyšování kvality městského prostředí zakládáním a revitalizací parků</w:t>
            </w:r>
          </w:p>
        </w:tc>
        <w:tc>
          <w:tcPr>
            <w:tcW w:w="444" w:type="pct"/>
            <w:gridSpan w:val="2"/>
            <w:tcBorders>
              <w:top w:val="nil"/>
              <w:left w:val="nil"/>
              <w:bottom w:val="single" w:sz="4" w:space="0" w:color="auto"/>
              <w:right w:val="single" w:sz="4" w:space="0" w:color="auto"/>
            </w:tcBorders>
            <w:shd w:val="clear" w:color="auto" w:fill="auto"/>
            <w:noWrap/>
            <w:vAlign w:val="center"/>
          </w:tcPr>
          <w:p w14:paraId="5BBEDFB1" w14:textId="2A261D8D" w:rsidR="00BA64D4" w:rsidRPr="00111F34" w:rsidRDefault="00BA64D4" w:rsidP="00BA64D4">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w:t>
            </w:r>
          </w:p>
        </w:tc>
        <w:tc>
          <w:tcPr>
            <w:tcW w:w="2130" w:type="pct"/>
            <w:tcBorders>
              <w:top w:val="nil"/>
              <w:left w:val="nil"/>
              <w:bottom w:val="single" w:sz="4" w:space="0" w:color="auto"/>
              <w:right w:val="single" w:sz="4" w:space="0" w:color="auto"/>
            </w:tcBorders>
            <w:vAlign w:val="center"/>
          </w:tcPr>
          <w:p w14:paraId="44987652" w14:textId="1653B62C" w:rsidR="00BA64D4" w:rsidRPr="00111F34" w:rsidRDefault="00BA64D4" w:rsidP="00BA64D4">
            <w:pPr>
              <w:pStyle w:val="Texttabulky"/>
              <w:jc w:val="center"/>
              <w:rPr>
                <w:rFonts w:cs="Arial"/>
                <w:color w:val="auto"/>
                <w:szCs w:val="16"/>
              </w:rPr>
            </w:pPr>
            <w:r w:rsidRPr="00111F34">
              <w:rPr>
                <w:rFonts w:cs="Arial"/>
                <w:color w:val="auto"/>
                <w:szCs w:val="16"/>
              </w:rPr>
              <w:t>Vytvořeny územní předpoklady pro vznik nových ploch veřejné zeleně.</w:t>
            </w:r>
          </w:p>
        </w:tc>
      </w:tr>
      <w:tr w:rsidR="00BA64D4" w:rsidRPr="00111F34" w14:paraId="33F91575" w14:textId="77777777" w:rsidTr="0016566E">
        <w:trPr>
          <w:trHeight w:val="412"/>
        </w:trPr>
        <w:tc>
          <w:tcPr>
            <w:tcW w:w="2426" w:type="pct"/>
            <w:tcBorders>
              <w:top w:val="nil"/>
              <w:left w:val="single" w:sz="4" w:space="0" w:color="auto"/>
              <w:bottom w:val="single" w:sz="4" w:space="0" w:color="auto"/>
              <w:right w:val="single" w:sz="4" w:space="0" w:color="auto"/>
            </w:tcBorders>
            <w:shd w:val="clear" w:color="auto" w:fill="auto"/>
          </w:tcPr>
          <w:p w14:paraId="24F1DC27" w14:textId="77777777" w:rsidR="00BA64D4" w:rsidRPr="00111F34" w:rsidRDefault="00BA64D4" w:rsidP="00BA64D4">
            <w:pPr>
              <w:pStyle w:val="Odrky1"/>
              <w:spacing w:before="0" w:after="0"/>
              <w:jc w:val="left"/>
              <w:rPr>
                <w:sz w:val="16"/>
                <w:szCs w:val="16"/>
              </w:rPr>
            </w:pPr>
            <w:r w:rsidRPr="00111F34">
              <w:rPr>
                <w:sz w:val="16"/>
              </w:rPr>
              <w:t>i.01.3.05 Zlepšování prostupnosti a využitelnosti pro rekreaci v krajině ve městě i v otevřené krajině</w:t>
            </w:r>
          </w:p>
        </w:tc>
        <w:tc>
          <w:tcPr>
            <w:tcW w:w="444" w:type="pct"/>
            <w:gridSpan w:val="2"/>
            <w:tcBorders>
              <w:top w:val="nil"/>
              <w:left w:val="nil"/>
              <w:bottom w:val="single" w:sz="4" w:space="0" w:color="auto"/>
              <w:right w:val="single" w:sz="4" w:space="0" w:color="auto"/>
            </w:tcBorders>
            <w:shd w:val="clear" w:color="auto" w:fill="auto"/>
            <w:noWrap/>
            <w:vAlign w:val="center"/>
          </w:tcPr>
          <w:p w14:paraId="6D977F36" w14:textId="204AD19E" w:rsidR="00BA64D4" w:rsidRPr="00111F34" w:rsidRDefault="00BA64D4" w:rsidP="00BA64D4">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w:t>
            </w:r>
          </w:p>
        </w:tc>
        <w:tc>
          <w:tcPr>
            <w:tcW w:w="2130" w:type="pct"/>
            <w:tcBorders>
              <w:top w:val="nil"/>
              <w:left w:val="nil"/>
              <w:bottom w:val="single" w:sz="4" w:space="0" w:color="auto"/>
              <w:right w:val="single" w:sz="4" w:space="0" w:color="auto"/>
            </w:tcBorders>
            <w:vAlign w:val="center"/>
          </w:tcPr>
          <w:p w14:paraId="67F8198D" w14:textId="34AD5612" w:rsidR="00BA64D4" w:rsidRPr="00111F34" w:rsidRDefault="00BA64D4" w:rsidP="00BA64D4">
            <w:pPr>
              <w:pStyle w:val="Texttabulky"/>
              <w:jc w:val="center"/>
              <w:rPr>
                <w:rFonts w:cs="Arial"/>
                <w:color w:val="auto"/>
                <w:szCs w:val="16"/>
              </w:rPr>
            </w:pPr>
            <w:r w:rsidRPr="00111F34">
              <w:rPr>
                <w:rFonts w:cs="Arial"/>
                <w:color w:val="auto"/>
                <w:szCs w:val="16"/>
              </w:rPr>
              <w:t>Vytvořeny územní předpoklady pro vznik nových ploch veřejné zeleně</w:t>
            </w:r>
            <w:r w:rsidR="00CA1AA0" w:rsidRPr="00111F34">
              <w:rPr>
                <w:rFonts w:cs="Arial"/>
                <w:color w:val="auto"/>
                <w:szCs w:val="16"/>
              </w:rPr>
              <w:t xml:space="preserve"> i pro zlepšení prostupnosti území</w:t>
            </w:r>
            <w:r w:rsidRPr="00111F34">
              <w:rPr>
                <w:rFonts w:cs="Arial"/>
                <w:color w:val="auto"/>
                <w:szCs w:val="16"/>
              </w:rPr>
              <w:t>.</w:t>
            </w:r>
          </w:p>
        </w:tc>
      </w:tr>
      <w:tr w:rsidR="00BA64D4" w:rsidRPr="00111F34" w14:paraId="2B604E33" w14:textId="77777777" w:rsidTr="0016566E">
        <w:trPr>
          <w:trHeight w:val="133"/>
        </w:trPr>
        <w:tc>
          <w:tcPr>
            <w:tcW w:w="2426" w:type="pct"/>
            <w:tcBorders>
              <w:top w:val="nil"/>
              <w:left w:val="single" w:sz="4" w:space="0" w:color="auto"/>
              <w:bottom w:val="single" w:sz="4" w:space="0" w:color="auto"/>
              <w:right w:val="single" w:sz="4" w:space="0" w:color="auto"/>
            </w:tcBorders>
            <w:shd w:val="clear" w:color="auto" w:fill="auto"/>
          </w:tcPr>
          <w:p w14:paraId="75B8FE2C" w14:textId="77777777" w:rsidR="00BA64D4" w:rsidRPr="00111F34" w:rsidRDefault="00BA64D4" w:rsidP="00BA64D4">
            <w:pPr>
              <w:pStyle w:val="Odrky1"/>
              <w:spacing w:before="0" w:after="0"/>
              <w:jc w:val="left"/>
              <w:rPr>
                <w:i/>
                <w:sz w:val="16"/>
                <w:szCs w:val="16"/>
              </w:rPr>
            </w:pPr>
            <w:r w:rsidRPr="00111F34">
              <w:rPr>
                <w:i/>
                <w:sz w:val="16"/>
              </w:rPr>
              <w:t>c.01.3.08 Ochrana pohledové veduty a panoramat</w:t>
            </w:r>
          </w:p>
        </w:tc>
        <w:tc>
          <w:tcPr>
            <w:tcW w:w="444" w:type="pct"/>
            <w:gridSpan w:val="2"/>
            <w:tcBorders>
              <w:top w:val="nil"/>
              <w:left w:val="nil"/>
              <w:bottom w:val="single" w:sz="4" w:space="0" w:color="auto"/>
              <w:right w:val="single" w:sz="4" w:space="0" w:color="auto"/>
            </w:tcBorders>
            <w:shd w:val="clear" w:color="auto" w:fill="auto"/>
            <w:noWrap/>
            <w:vAlign w:val="center"/>
          </w:tcPr>
          <w:p w14:paraId="54FBC190" w14:textId="66D79CFE" w:rsidR="00BA64D4" w:rsidRPr="00111F34" w:rsidRDefault="00562B64" w:rsidP="00BA64D4">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w:t>
            </w:r>
          </w:p>
        </w:tc>
        <w:tc>
          <w:tcPr>
            <w:tcW w:w="2130" w:type="pct"/>
            <w:tcBorders>
              <w:top w:val="nil"/>
              <w:left w:val="nil"/>
              <w:bottom w:val="single" w:sz="4" w:space="0" w:color="auto"/>
              <w:right w:val="single" w:sz="4" w:space="0" w:color="auto"/>
            </w:tcBorders>
            <w:vAlign w:val="center"/>
          </w:tcPr>
          <w:p w14:paraId="593D9A96" w14:textId="67621389" w:rsidR="00BA64D4" w:rsidRPr="00111F34" w:rsidRDefault="00BA64D4" w:rsidP="00BA64D4">
            <w:pPr>
              <w:pStyle w:val="Texttabulky"/>
              <w:jc w:val="center"/>
              <w:rPr>
                <w:rFonts w:cs="Arial"/>
                <w:color w:val="auto"/>
                <w:szCs w:val="16"/>
              </w:rPr>
            </w:pPr>
            <w:r w:rsidRPr="00111F34">
              <w:rPr>
                <w:rFonts w:cs="Arial"/>
                <w:color w:val="auto"/>
                <w:szCs w:val="16"/>
              </w:rPr>
              <w:t>Z hlediska posuzované ÚPD bez přímé vazby.</w:t>
            </w:r>
            <w:r w:rsidR="004761E4" w:rsidRPr="00111F34">
              <w:rPr>
                <w:rFonts w:cs="Arial"/>
                <w:color w:val="auto"/>
                <w:szCs w:val="16"/>
              </w:rPr>
              <w:t xml:space="preserve"> </w:t>
            </w:r>
            <w:r w:rsidR="00562B64" w:rsidRPr="00111F34">
              <w:rPr>
                <w:rFonts w:cs="Arial"/>
                <w:color w:val="auto"/>
                <w:szCs w:val="16"/>
              </w:rPr>
              <w:t xml:space="preserve">Panorama ani pohledové veduty nebudou dotčeny. </w:t>
            </w:r>
            <w:r w:rsidR="004761E4" w:rsidRPr="00111F34">
              <w:rPr>
                <w:rFonts w:cs="Arial"/>
                <w:color w:val="auto"/>
                <w:szCs w:val="16"/>
              </w:rPr>
              <w:t>Jsou vytvářeny územní předpoklady pro zlepšení estetických kvalit území a transformaci brownfields</w:t>
            </w:r>
            <w:r w:rsidR="00562B64" w:rsidRPr="00111F34">
              <w:rPr>
                <w:rFonts w:cs="Arial"/>
                <w:color w:val="auto"/>
                <w:szCs w:val="16"/>
              </w:rPr>
              <w:t xml:space="preserve"> i v místech, které jsou viditelné z</w:t>
            </w:r>
            <w:r w:rsidR="00891468" w:rsidRPr="00111F34">
              <w:rPr>
                <w:rFonts w:cs="Arial"/>
                <w:color w:val="auto"/>
                <w:szCs w:val="16"/>
              </w:rPr>
              <w:t> významných vyhlídkových bodů ve střední vzdálenosti</w:t>
            </w:r>
            <w:r w:rsidR="004761E4" w:rsidRPr="00111F34">
              <w:rPr>
                <w:rFonts w:cs="Arial"/>
                <w:color w:val="auto"/>
                <w:szCs w:val="16"/>
              </w:rPr>
              <w:t>.</w:t>
            </w:r>
            <w:r w:rsidR="00562B64" w:rsidRPr="00111F34">
              <w:rPr>
                <w:rFonts w:cs="Arial"/>
                <w:color w:val="auto"/>
                <w:szCs w:val="16"/>
              </w:rPr>
              <w:t xml:space="preserve"> Jsou vytvářeny územní předpoklady pro vložení nové tramvajové trati do </w:t>
            </w:r>
            <w:r w:rsidR="00891468" w:rsidRPr="00111F34">
              <w:rPr>
                <w:rFonts w:cs="Arial"/>
                <w:color w:val="auto"/>
                <w:szCs w:val="16"/>
              </w:rPr>
              <w:t>kontextu pohledově významného průčelí Baby a Podbabských skal a železničního viaduktu v ulici V Podbabě, to je třeba řešit na projektové úrovni.</w:t>
            </w:r>
          </w:p>
        </w:tc>
      </w:tr>
      <w:tr w:rsidR="00BA64D4" w:rsidRPr="00111F34" w14:paraId="55A4F521" w14:textId="77777777" w:rsidTr="00BA64D4">
        <w:trPr>
          <w:trHeight w:val="412"/>
        </w:trPr>
        <w:tc>
          <w:tcPr>
            <w:tcW w:w="5000" w:type="pct"/>
            <w:gridSpan w:val="4"/>
            <w:tcBorders>
              <w:top w:val="nil"/>
              <w:left w:val="single" w:sz="4" w:space="0" w:color="auto"/>
              <w:bottom w:val="single" w:sz="4" w:space="0" w:color="auto"/>
              <w:right w:val="single" w:sz="4" w:space="0" w:color="auto"/>
            </w:tcBorders>
            <w:shd w:val="clear" w:color="auto" w:fill="EAF1DD" w:themeFill="accent3" w:themeFillTint="33"/>
            <w:vAlign w:val="center"/>
          </w:tcPr>
          <w:p w14:paraId="28A4CEF9" w14:textId="77777777" w:rsidR="00BA64D4" w:rsidRPr="00111F34" w:rsidRDefault="00BA64D4" w:rsidP="00BA64D4">
            <w:pPr>
              <w:pStyle w:val="Texttabulky"/>
              <w:rPr>
                <w:rFonts w:cs="Arial"/>
                <w:b/>
                <w:color w:val="auto"/>
                <w:szCs w:val="16"/>
              </w:rPr>
            </w:pPr>
            <w:r w:rsidRPr="00111F34">
              <w:rPr>
                <w:rFonts w:cs="Arial"/>
                <w:b/>
                <w:color w:val="auto"/>
                <w:szCs w:val="16"/>
              </w:rPr>
              <w:t>02 KVALITNÍ SLOŽKY ŽIVOTNÍHO PROSTŘEDÍ</w:t>
            </w:r>
          </w:p>
        </w:tc>
      </w:tr>
      <w:tr w:rsidR="004761E4" w:rsidRPr="00111F34" w14:paraId="630AC6D6" w14:textId="77777777" w:rsidTr="004761E4">
        <w:trPr>
          <w:trHeight w:val="412"/>
        </w:trPr>
        <w:tc>
          <w:tcPr>
            <w:tcW w:w="2426" w:type="pct"/>
            <w:tcBorders>
              <w:top w:val="nil"/>
              <w:left w:val="single" w:sz="4" w:space="0" w:color="auto"/>
              <w:bottom w:val="single" w:sz="4" w:space="0" w:color="auto"/>
              <w:right w:val="single" w:sz="4" w:space="0" w:color="auto"/>
            </w:tcBorders>
            <w:shd w:val="clear" w:color="auto" w:fill="auto"/>
            <w:vAlign w:val="center"/>
          </w:tcPr>
          <w:p w14:paraId="345CE88D" w14:textId="77777777" w:rsidR="004761E4" w:rsidRPr="00111F34" w:rsidRDefault="004761E4" w:rsidP="004761E4">
            <w:pPr>
              <w:pStyle w:val="Odrky1"/>
              <w:numPr>
                <w:ilvl w:val="0"/>
                <w:numId w:val="0"/>
              </w:numPr>
              <w:ind w:left="360" w:hanging="360"/>
              <w:rPr>
                <w:b/>
                <w:sz w:val="16"/>
                <w:szCs w:val="16"/>
              </w:rPr>
            </w:pPr>
            <w:r w:rsidRPr="00111F34">
              <w:rPr>
                <w:b/>
                <w:sz w:val="16"/>
                <w:szCs w:val="16"/>
              </w:rPr>
              <w:t>02.1 Efektivní hospodaření se zdroji</w:t>
            </w:r>
          </w:p>
        </w:tc>
        <w:tc>
          <w:tcPr>
            <w:tcW w:w="444" w:type="pct"/>
            <w:gridSpan w:val="2"/>
            <w:tcBorders>
              <w:top w:val="nil"/>
              <w:left w:val="nil"/>
              <w:bottom w:val="single" w:sz="4" w:space="0" w:color="auto"/>
              <w:right w:val="single" w:sz="4" w:space="0" w:color="auto"/>
            </w:tcBorders>
            <w:shd w:val="clear" w:color="auto" w:fill="auto"/>
            <w:noWrap/>
            <w:vAlign w:val="center"/>
          </w:tcPr>
          <w:p w14:paraId="6B5242D6" w14:textId="5B03E716" w:rsidR="004761E4" w:rsidRPr="00111F34" w:rsidRDefault="004761E4" w:rsidP="004761E4">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w:t>
            </w:r>
          </w:p>
        </w:tc>
        <w:tc>
          <w:tcPr>
            <w:tcW w:w="2130" w:type="pct"/>
            <w:tcBorders>
              <w:top w:val="nil"/>
              <w:left w:val="nil"/>
              <w:bottom w:val="single" w:sz="4" w:space="0" w:color="auto"/>
              <w:right w:val="single" w:sz="4" w:space="0" w:color="auto"/>
            </w:tcBorders>
            <w:vAlign w:val="center"/>
          </w:tcPr>
          <w:p w14:paraId="4DDAEEDF" w14:textId="06CD256D" w:rsidR="004761E4" w:rsidRPr="00111F34" w:rsidRDefault="004761E4" w:rsidP="004761E4">
            <w:pPr>
              <w:pStyle w:val="Texttabulky"/>
              <w:jc w:val="center"/>
              <w:rPr>
                <w:rFonts w:cs="Arial"/>
                <w:color w:val="auto"/>
                <w:szCs w:val="16"/>
              </w:rPr>
            </w:pPr>
            <w:r w:rsidRPr="00111F34">
              <w:rPr>
                <w:rFonts w:cs="Arial"/>
                <w:color w:val="auto"/>
                <w:szCs w:val="16"/>
              </w:rPr>
              <w:t>Změna částečně využívá již zastavěných území.</w:t>
            </w:r>
          </w:p>
        </w:tc>
      </w:tr>
      <w:tr w:rsidR="004761E4" w:rsidRPr="00111F34" w14:paraId="2A0B2BB7" w14:textId="77777777" w:rsidTr="004761E4">
        <w:trPr>
          <w:trHeight w:val="412"/>
        </w:trPr>
        <w:tc>
          <w:tcPr>
            <w:tcW w:w="2426" w:type="pct"/>
            <w:tcBorders>
              <w:top w:val="nil"/>
              <w:left w:val="single" w:sz="4" w:space="0" w:color="auto"/>
              <w:bottom w:val="single" w:sz="4" w:space="0" w:color="auto"/>
              <w:right w:val="single" w:sz="4" w:space="0" w:color="auto"/>
            </w:tcBorders>
            <w:shd w:val="clear" w:color="auto" w:fill="auto"/>
            <w:vAlign w:val="center"/>
          </w:tcPr>
          <w:p w14:paraId="2F7AFA2D" w14:textId="77777777" w:rsidR="004761E4" w:rsidRPr="00111F34" w:rsidRDefault="004761E4" w:rsidP="004761E4">
            <w:pPr>
              <w:pStyle w:val="Odrky1"/>
              <w:spacing w:before="0" w:after="0"/>
              <w:jc w:val="left"/>
              <w:rPr>
                <w:sz w:val="16"/>
                <w:szCs w:val="16"/>
              </w:rPr>
            </w:pPr>
            <w:r w:rsidRPr="00111F34">
              <w:rPr>
                <w:sz w:val="16"/>
              </w:rPr>
              <w:t>i.02.1.10 Revitalizace brownfieldů a území se starými zátěžemi</w:t>
            </w:r>
          </w:p>
        </w:tc>
        <w:tc>
          <w:tcPr>
            <w:tcW w:w="444" w:type="pct"/>
            <w:gridSpan w:val="2"/>
            <w:tcBorders>
              <w:top w:val="nil"/>
              <w:left w:val="nil"/>
              <w:bottom w:val="single" w:sz="4" w:space="0" w:color="auto"/>
              <w:right w:val="single" w:sz="4" w:space="0" w:color="auto"/>
            </w:tcBorders>
            <w:shd w:val="clear" w:color="auto" w:fill="auto"/>
            <w:noWrap/>
            <w:vAlign w:val="center"/>
          </w:tcPr>
          <w:p w14:paraId="1BDC628C" w14:textId="285273BA" w:rsidR="004761E4" w:rsidRPr="00111F34" w:rsidRDefault="004761E4" w:rsidP="004761E4">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w:t>
            </w:r>
          </w:p>
        </w:tc>
        <w:tc>
          <w:tcPr>
            <w:tcW w:w="2130" w:type="pct"/>
            <w:tcBorders>
              <w:top w:val="nil"/>
              <w:left w:val="nil"/>
              <w:bottom w:val="single" w:sz="4" w:space="0" w:color="auto"/>
              <w:right w:val="single" w:sz="4" w:space="0" w:color="auto"/>
            </w:tcBorders>
            <w:vAlign w:val="center"/>
          </w:tcPr>
          <w:p w14:paraId="70BD524C" w14:textId="281F7CA9" w:rsidR="004761E4" w:rsidRPr="00111F34" w:rsidRDefault="004761E4" w:rsidP="004761E4">
            <w:pPr>
              <w:pStyle w:val="Texttabulky"/>
              <w:jc w:val="center"/>
              <w:rPr>
                <w:rFonts w:cs="Arial"/>
                <w:color w:val="auto"/>
                <w:szCs w:val="16"/>
              </w:rPr>
            </w:pPr>
            <w:r w:rsidRPr="00111F34">
              <w:rPr>
                <w:rFonts w:cs="Arial"/>
                <w:color w:val="auto"/>
                <w:szCs w:val="16"/>
              </w:rPr>
              <w:t>Změna částečně využívá již zastavěných území</w:t>
            </w:r>
            <w:r w:rsidR="00891468" w:rsidRPr="00111F34">
              <w:rPr>
                <w:rFonts w:cs="Arial"/>
                <w:color w:val="auto"/>
                <w:szCs w:val="16"/>
              </w:rPr>
              <w:t>, bude impulzem pro řešení georizik a starých zátěží</w:t>
            </w:r>
            <w:r w:rsidRPr="00111F34">
              <w:rPr>
                <w:rFonts w:cs="Arial"/>
                <w:color w:val="auto"/>
                <w:szCs w:val="16"/>
              </w:rPr>
              <w:t>.</w:t>
            </w:r>
          </w:p>
        </w:tc>
      </w:tr>
      <w:tr w:rsidR="00BA64D4" w:rsidRPr="00111F34" w14:paraId="5E982761" w14:textId="77777777" w:rsidTr="004761E4">
        <w:trPr>
          <w:trHeight w:val="345"/>
        </w:trPr>
        <w:tc>
          <w:tcPr>
            <w:tcW w:w="2426" w:type="pct"/>
            <w:tcBorders>
              <w:top w:val="single" w:sz="4" w:space="0" w:color="auto"/>
              <w:left w:val="single" w:sz="4" w:space="0" w:color="auto"/>
              <w:bottom w:val="single" w:sz="4" w:space="0" w:color="auto"/>
              <w:right w:val="single" w:sz="4" w:space="0" w:color="000000"/>
            </w:tcBorders>
            <w:shd w:val="clear" w:color="auto" w:fill="auto"/>
            <w:vAlign w:val="center"/>
            <w:hideMark/>
          </w:tcPr>
          <w:p w14:paraId="0998D9EF" w14:textId="77777777" w:rsidR="00BA64D4" w:rsidRPr="00111F34" w:rsidRDefault="00BA64D4" w:rsidP="00BA64D4">
            <w:pPr>
              <w:pStyle w:val="Texttabulky"/>
              <w:rPr>
                <w:rFonts w:cs="Arial"/>
                <w:b/>
                <w:color w:val="auto"/>
                <w:szCs w:val="16"/>
              </w:rPr>
            </w:pPr>
            <w:r w:rsidRPr="00111F34">
              <w:rPr>
                <w:rFonts w:cs="Arial"/>
                <w:b/>
                <w:color w:val="auto"/>
                <w:szCs w:val="16"/>
              </w:rPr>
              <w:t>02.2 Adaptace na klimatickou změnu</w:t>
            </w:r>
          </w:p>
        </w:tc>
        <w:tc>
          <w:tcPr>
            <w:tcW w:w="444" w:type="pct"/>
            <w:gridSpan w:val="2"/>
            <w:tcBorders>
              <w:top w:val="single" w:sz="4" w:space="0" w:color="auto"/>
              <w:left w:val="single" w:sz="4" w:space="0" w:color="auto"/>
              <w:bottom w:val="single" w:sz="4" w:space="0" w:color="auto"/>
              <w:right w:val="single" w:sz="4" w:space="0" w:color="000000"/>
            </w:tcBorders>
            <w:shd w:val="clear" w:color="auto" w:fill="auto"/>
            <w:vAlign w:val="center"/>
          </w:tcPr>
          <w:p w14:paraId="47ED601E" w14:textId="234BD3BA" w:rsidR="00BA64D4" w:rsidRPr="00111F34" w:rsidRDefault="00891468" w:rsidP="00BA64D4">
            <w:pPr>
              <w:pStyle w:val="Texttabulky"/>
              <w:jc w:val="center"/>
              <w:rPr>
                <w:rFonts w:cs="Arial"/>
                <w:color w:val="auto"/>
                <w:szCs w:val="16"/>
              </w:rPr>
            </w:pPr>
            <w:r w:rsidRPr="00111F34">
              <w:rPr>
                <w:rFonts w:cs="Arial"/>
                <w:color w:val="auto"/>
                <w:szCs w:val="16"/>
              </w:rPr>
              <w:t>+</w:t>
            </w:r>
            <w:r w:rsidR="00BA64D4" w:rsidRPr="00111F34">
              <w:rPr>
                <w:rFonts w:cs="Arial"/>
                <w:color w:val="auto"/>
                <w:szCs w:val="16"/>
              </w:rPr>
              <w:t xml:space="preserve"> až -</w:t>
            </w:r>
          </w:p>
        </w:tc>
        <w:tc>
          <w:tcPr>
            <w:tcW w:w="2130" w:type="pct"/>
            <w:tcBorders>
              <w:top w:val="single" w:sz="4" w:space="0" w:color="auto"/>
              <w:left w:val="single" w:sz="4" w:space="0" w:color="auto"/>
              <w:bottom w:val="single" w:sz="4" w:space="0" w:color="auto"/>
              <w:right w:val="single" w:sz="4" w:space="0" w:color="000000"/>
            </w:tcBorders>
            <w:shd w:val="clear" w:color="auto" w:fill="auto"/>
            <w:vAlign w:val="center"/>
          </w:tcPr>
          <w:p w14:paraId="788D44DF" w14:textId="77777777" w:rsidR="00BA64D4" w:rsidRPr="00111F34" w:rsidRDefault="00BA64D4" w:rsidP="00BA64D4">
            <w:pPr>
              <w:pStyle w:val="Texttabulky"/>
              <w:jc w:val="center"/>
              <w:rPr>
                <w:rFonts w:cs="Arial"/>
                <w:color w:val="auto"/>
                <w:szCs w:val="16"/>
              </w:rPr>
            </w:pPr>
            <w:r w:rsidRPr="00111F34">
              <w:rPr>
                <w:rFonts w:cs="Arial"/>
                <w:color w:val="auto"/>
                <w:szCs w:val="16"/>
              </w:rPr>
              <w:t>Bez významných vlivů na klimatickou změnu.</w:t>
            </w:r>
          </w:p>
        </w:tc>
      </w:tr>
      <w:tr w:rsidR="00BA64D4" w:rsidRPr="00111F34" w14:paraId="0BF09ED3" w14:textId="77777777" w:rsidTr="004761E4">
        <w:trPr>
          <w:trHeight w:val="479"/>
        </w:trPr>
        <w:tc>
          <w:tcPr>
            <w:tcW w:w="2426" w:type="pct"/>
            <w:tcBorders>
              <w:top w:val="nil"/>
              <w:left w:val="single" w:sz="4" w:space="0" w:color="auto"/>
              <w:bottom w:val="single" w:sz="4" w:space="0" w:color="auto"/>
              <w:right w:val="single" w:sz="4" w:space="0" w:color="auto"/>
            </w:tcBorders>
            <w:shd w:val="clear" w:color="auto" w:fill="auto"/>
          </w:tcPr>
          <w:p w14:paraId="0E2BA48F" w14:textId="77777777" w:rsidR="00BA64D4" w:rsidRPr="00111F34" w:rsidRDefault="00BA64D4" w:rsidP="00BA64D4">
            <w:pPr>
              <w:pStyle w:val="Odrky1"/>
              <w:spacing w:before="0" w:after="0"/>
              <w:rPr>
                <w:sz w:val="16"/>
                <w:szCs w:val="16"/>
              </w:rPr>
            </w:pPr>
            <w:r w:rsidRPr="00111F34">
              <w:rPr>
                <w:sz w:val="16"/>
              </w:rPr>
              <w:t>i.02.2.06 Zvyšování podílu přírodě blízkých úseků vodních toků</w:t>
            </w:r>
          </w:p>
        </w:tc>
        <w:tc>
          <w:tcPr>
            <w:tcW w:w="444" w:type="pct"/>
            <w:gridSpan w:val="2"/>
            <w:tcBorders>
              <w:top w:val="nil"/>
              <w:left w:val="nil"/>
              <w:bottom w:val="single" w:sz="4" w:space="0" w:color="auto"/>
              <w:right w:val="single" w:sz="4" w:space="0" w:color="auto"/>
            </w:tcBorders>
            <w:shd w:val="clear" w:color="auto" w:fill="auto"/>
            <w:noWrap/>
            <w:vAlign w:val="center"/>
            <w:hideMark/>
          </w:tcPr>
          <w:p w14:paraId="3B54C024" w14:textId="77777777" w:rsidR="00BA64D4" w:rsidRPr="00111F34" w:rsidRDefault="00BA64D4" w:rsidP="00BA64D4">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0</w:t>
            </w:r>
          </w:p>
        </w:tc>
        <w:tc>
          <w:tcPr>
            <w:tcW w:w="2130" w:type="pct"/>
            <w:tcBorders>
              <w:top w:val="nil"/>
              <w:left w:val="nil"/>
              <w:bottom w:val="single" w:sz="4" w:space="0" w:color="auto"/>
              <w:right w:val="single" w:sz="4" w:space="0" w:color="auto"/>
            </w:tcBorders>
            <w:vAlign w:val="center"/>
          </w:tcPr>
          <w:p w14:paraId="3D5BF5C7" w14:textId="77777777" w:rsidR="00BA64D4" w:rsidRPr="00111F34" w:rsidRDefault="00BA64D4" w:rsidP="00BA64D4">
            <w:pPr>
              <w:pStyle w:val="Texttabulky"/>
              <w:jc w:val="center"/>
              <w:rPr>
                <w:rFonts w:cs="Arial"/>
                <w:color w:val="auto"/>
                <w:szCs w:val="16"/>
              </w:rPr>
            </w:pPr>
            <w:r w:rsidRPr="00111F34">
              <w:rPr>
                <w:rFonts w:cs="Arial"/>
                <w:color w:val="auto"/>
                <w:szCs w:val="16"/>
              </w:rPr>
              <w:t>Z hlediska posuzované ÚPD bez přímé vazby.</w:t>
            </w:r>
          </w:p>
        </w:tc>
      </w:tr>
      <w:tr w:rsidR="00BA64D4" w:rsidRPr="00111F34" w14:paraId="28B9A60E" w14:textId="77777777" w:rsidTr="004761E4">
        <w:trPr>
          <w:trHeight w:val="479"/>
        </w:trPr>
        <w:tc>
          <w:tcPr>
            <w:tcW w:w="2426" w:type="pct"/>
            <w:tcBorders>
              <w:top w:val="nil"/>
              <w:left w:val="single" w:sz="4" w:space="0" w:color="auto"/>
              <w:bottom w:val="single" w:sz="4" w:space="0" w:color="auto"/>
              <w:right w:val="single" w:sz="4" w:space="0" w:color="auto"/>
            </w:tcBorders>
            <w:shd w:val="clear" w:color="auto" w:fill="auto"/>
          </w:tcPr>
          <w:p w14:paraId="2909BBBA" w14:textId="77777777" w:rsidR="00BA64D4" w:rsidRPr="00111F34" w:rsidRDefault="00BA64D4" w:rsidP="00BA64D4">
            <w:pPr>
              <w:pStyle w:val="Odrky1"/>
              <w:spacing w:before="0" w:after="0"/>
              <w:rPr>
                <w:sz w:val="16"/>
                <w:szCs w:val="16"/>
              </w:rPr>
            </w:pPr>
            <w:r w:rsidRPr="00111F34">
              <w:rPr>
                <w:sz w:val="16"/>
              </w:rPr>
              <w:t>i.02.2.07 Zvyšování propustných a zelených ploch, které umožňují vsakování dešťové vody a snižují vliv městského tepelného ostrova</w:t>
            </w:r>
          </w:p>
        </w:tc>
        <w:tc>
          <w:tcPr>
            <w:tcW w:w="444" w:type="pct"/>
            <w:gridSpan w:val="2"/>
            <w:tcBorders>
              <w:top w:val="nil"/>
              <w:left w:val="nil"/>
              <w:bottom w:val="single" w:sz="4" w:space="0" w:color="auto"/>
              <w:right w:val="single" w:sz="4" w:space="0" w:color="auto"/>
            </w:tcBorders>
            <w:shd w:val="clear" w:color="auto" w:fill="auto"/>
            <w:noWrap/>
            <w:vAlign w:val="center"/>
          </w:tcPr>
          <w:p w14:paraId="75739573" w14:textId="4DDC20CA" w:rsidR="00BA64D4" w:rsidRPr="00111F34" w:rsidRDefault="00BA64D4" w:rsidP="00BA64D4">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w:t>
            </w:r>
          </w:p>
        </w:tc>
        <w:tc>
          <w:tcPr>
            <w:tcW w:w="2130" w:type="pct"/>
            <w:tcBorders>
              <w:top w:val="nil"/>
              <w:left w:val="nil"/>
              <w:bottom w:val="single" w:sz="4" w:space="0" w:color="auto"/>
              <w:right w:val="single" w:sz="4" w:space="0" w:color="auto"/>
            </w:tcBorders>
            <w:vAlign w:val="center"/>
          </w:tcPr>
          <w:p w14:paraId="6E395689" w14:textId="313DEA29" w:rsidR="00BA64D4" w:rsidRPr="00111F34" w:rsidRDefault="00BA64D4" w:rsidP="00BA64D4">
            <w:pPr>
              <w:pStyle w:val="Texttabulky"/>
              <w:jc w:val="center"/>
              <w:rPr>
                <w:rFonts w:cs="Arial"/>
                <w:color w:val="auto"/>
                <w:szCs w:val="16"/>
              </w:rPr>
            </w:pPr>
            <w:r w:rsidRPr="00111F34">
              <w:rPr>
                <w:rFonts w:cs="Arial"/>
                <w:color w:val="auto"/>
                <w:szCs w:val="16"/>
              </w:rPr>
              <w:t>Realizace změny znamená zvýšení podílu nepropustných povrchů a zpevněných ploch, který je třeba kompenzovat pomocí technických opatření v rámci navazujících fází projektové přípravy stav</w:t>
            </w:r>
            <w:r w:rsidR="00891468" w:rsidRPr="00111F34">
              <w:rPr>
                <w:rFonts w:cs="Arial"/>
                <w:color w:val="auto"/>
                <w:szCs w:val="16"/>
              </w:rPr>
              <w:t>ebních záměrů</w:t>
            </w:r>
            <w:r w:rsidRPr="00111F34">
              <w:rPr>
                <w:rFonts w:cs="Arial"/>
                <w:color w:val="auto"/>
                <w:szCs w:val="16"/>
              </w:rPr>
              <w:t xml:space="preserve">. Lze očekávat výsadbu zeleně v rámci ploch </w:t>
            </w:r>
            <w:r w:rsidR="004761E4" w:rsidRPr="00111F34">
              <w:rPr>
                <w:rFonts w:cs="Arial"/>
                <w:color w:val="auto"/>
                <w:szCs w:val="16"/>
              </w:rPr>
              <w:t>ZMK, ZP</w:t>
            </w:r>
            <w:r w:rsidR="00891468" w:rsidRPr="00111F34">
              <w:rPr>
                <w:rFonts w:cs="Arial"/>
                <w:color w:val="auto"/>
                <w:szCs w:val="16"/>
              </w:rPr>
              <w:t>, SO</w:t>
            </w:r>
            <w:r w:rsidR="004761E4" w:rsidRPr="00111F34">
              <w:rPr>
                <w:rFonts w:cs="Arial"/>
                <w:color w:val="auto"/>
                <w:szCs w:val="16"/>
              </w:rPr>
              <w:t xml:space="preserve"> a </w:t>
            </w:r>
            <w:r w:rsidR="00891468" w:rsidRPr="00111F34">
              <w:rPr>
                <w:rFonts w:cs="Arial"/>
                <w:color w:val="auto"/>
                <w:szCs w:val="16"/>
              </w:rPr>
              <w:t>PS</w:t>
            </w:r>
            <w:r w:rsidRPr="00111F34">
              <w:rPr>
                <w:rFonts w:cs="Arial"/>
                <w:color w:val="auto"/>
                <w:szCs w:val="16"/>
              </w:rPr>
              <w:t>.</w:t>
            </w:r>
          </w:p>
        </w:tc>
      </w:tr>
      <w:tr w:rsidR="00BA64D4" w:rsidRPr="00111F34" w14:paraId="2DEC0AFF" w14:textId="77777777" w:rsidTr="004761E4">
        <w:trPr>
          <w:trHeight w:val="201"/>
        </w:trPr>
        <w:tc>
          <w:tcPr>
            <w:tcW w:w="2426" w:type="pct"/>
            <w:tcBorders>
              <w:top w:val="nil"/>
              <w:left w:val="single" w:sz="4" w:space="0" w:color="auto"/>
              <w:bottom w:val="single" w:sz="4" w:space="0" w:color="auto"/>
              <w:right w:val="single" w:sz="4" w:space="0" w:color="auto"/>
            </w:tcBorders>
            <w:shd w:val="clear" w:color="auto" w:fill="auto"/>
          </w:tcPr>
          <w:p w14:paraId="75242A4B" w14:textId="77777777" w:rsidR="00BA64D4" w:rsidRPr="00111F34" w:rsidRDefault="00BA64D4" w:rsidP="00BA64D4">
            <w:pPr>
              <w:pStyle w:val="Odrky1"/>
              <w:numPr>
                <w:ilvl w:val="0"/>
                <w:numId w:val="0"/>
              </w:numPr>
              <w:ind w:left="360" w:hanging="360"/>
              <w:rPr>
                <w:b/>
                <w:sz w:val="16"/>
                <w:szCs w:val="16"/>
              </w:rPr>
            </w:pPr>
            <w:r w:rsidRPr="00111F34">
              <w:rPr>
                <w:b/>
                <w:sz w:val="16"/>
                <w:szCs w:val="16"/>
              </w:rPr>
              <w:t>02.3 Snížení znečištění ovzduší, světelné a hlukové zátěže</w:t>
            </w:r>
          </w:p>
        </w:tc>
        <w:tc>
          <w:tcPr>
            <w:tcW w:w="444" w:type="pct"/>
            <w:gridSpan w:val="2"/>
            <w:tcBorders>
              <w:top w:val="nil"/>
              <w:left w:val="nil"/>
              <w:bottom w:val="single" w:sz="4" w:space="0" w:color="auto"/>
              <w:right w:val="single" w:sz="4" w:space="0" w:color="auto"/>
            </w:tcBorders>
            <w:shd w:val="clear" w:color="auto" w:fill="auto"/>
            <w:noWrap/>
            <w:vAlign w:val="center"/>
          </w:tcPr>
          <w:p w14:paraId="07777CD4" w14:textId="77777777" w:rsidR="00BA64D4" w:rsidRPr="00111F34" w:rsidRDefault="00BA64D4" w:rsidP="00BA64D4">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 až -</w:t>
            </w:r>
          </w:p>
        </w:tc>
        <w:tc>
          <w:tcPr>
            <w:tcW w:w="2130" w:type="pct"/>
            <w:tcBorders>
              <w:top w:val="nil"/>
              <w:left w:val="nil"/>
              <w:bottom w:val="single" w:sz="4" w:space="0" w:color="auto"/>
              <w:right w:val="single" w:sz="4" w:space="0" w:color="auto"/>
            </w:tcBorders>
            <w:vAlign w:val="center"/>
          </w:tcPr>
          <w:p w14:paraId="0DFC94FB" w14:textId="5FDDD83C" w:rsidR="00BA64D4" w:rsidRPr="00111F34" w:rsidRDefault="00BA64D4" w:rsidP="00BA64D4">
            <w:pPr>
              <w:pStyle w:val="Texttabulky"/>
              <w:jc w:val="center"/>
              <w:rPr>
                <w:rFonts w:cs="Arial"/>
                <w:color w:val="auto"/>
                <w:szCs w:val="16"/>
              </w:rPr>
            </w:pPr>
            <w:r w:rsidRPr="00111F34">
              <w:rPr>
                <w:rFonts w:cs="Arial"/>
                <w:color w:val="auto"/>
                <w:szCs w:val="16"/>
              </w:rPr>
              <w:t>Přerozdělení dopravních zátěží</w:t>
            </w:r>
            <w:r w:rsidR="00891468" w:rsidRPr="00111F34">
              <w:rPr>
                <w:rFonts w:cs="Arial"/>
                <w:color w:val="auto"/>
                <w:szCs w:val="16"/>
              </w:rPr>
              <w:t>, redukce emisí CO</w:t>
            </w:r>
            <w:r w:rsidR="00891468" w:rsidRPr="00111F34">
              <w:rPr>
                <w:rFonts w:cs="Arial"/>
                <w:color w:val="auto"/>
                <w:szCs w:val="16"/>
                <w:vertAlign w:val="subscript"/>
              </w:rPr>
              <w:t>2</w:t>
            </w:r>
            <w:r w:rsidRPr="00111F34">
              <w:rPr>
                <w:rFonts w:cs="Arial"/>
                <w:color w:val="auto"/>
                <w:szCs w:val="16"/>
              </w:rPr>
              <w:t>, na druhou stranu dojde k vložení nového zdroje hlukové zátěže do území.</w:t>
            </w:r>
          </w:p>
        </w:tc>
      </w:tr>
      <w:tr w:rsidR="00BA64D4" w:rsidRPr="00111F34" w14:paraId="04F4A513" w14:textId="77777777" w:rsidTr="004761E4">
        <w:trPr>
          <w:trHeight w:val="275"/>
        </w:trPr>
        <w:tc>
          <w:tcPr>
            <w:tcW w:w="2426" w:type="pct"/>
            <w:tcBorders>
              <w:top w:val="nil"/>
              <w:left w:val="single" w:sz="4" w:space="0" w:color="auto"/>
              <w:bottom w:val="single" w:sz="4" w:space="0" w:color="auto"/>
              <w:right w:val="single" w:sz="4" w:space="0" w:color="auto"/>
            </w:tcBorders>
            <w:shd w:val="clear" w:color="auto" w:fill="auto"/>
          </w:tcPr>
          <w:p w14:paraId="536E99C0" w14:textId="77777777" w:rsidR="00BA64D4" w:rsidRPr="00111F34" w:rsidRDefault="00BA64D4" w:rsidP="00BA64D4">
            <w:pPr>
              <w:pStyle w:val="Odrky1"/>
              <w:spacing w:before="0" w:after="0"/>
              <w:rPr>
                <w:i/>
                <w:sz w:val="16"/>
                <w:szCs w:val="16"/>
              </w:rPr>
            </w:pPr>
            <w:r w:rsidRPr="00111F34">
              <w:rPr>
                <w:i/>
                <w:sz w:val="16"/>
                <w:szCs w:val="16"/>
              </w:rPr>
              <w:t>i.02.3.02 Snižování rozlohy území s překročením imisních limitů znečištění ovzduší</w:t>
            </w:r>
          </w:p>
        </w:tc>
        <w:tc>
          <w:tcPr>
            <w:tcW w:w="444" w:type="pct"/>
            <w:gridSpan w:val="2"/>
            <w:tcBorders>
              <w:top w:val="nil"/>
              <w:left w:val="nil"/>
              <w:bottom w:val="single" w:sz="4" w:space="0" w:color="auto"/>
              <w:right w:val="single" w:sz="4" w:space="0" w:color="auto"/>
            </w:tcBorders>
            <w:shd w:val="clear" w:color="auto" w:fill="auto"/>
            <w:noWrap/>
            <w:vAlign w:val="center"/>
          </w:tcPr>
          <w:p w14:paraId="550D2EAB" w14:textId="657CB3B2" w:rsidR="00BA64D4" w:rsidRPr="00111F34" w:rsidRDefault="00891468" w:rsidP="00BA64D4">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w:t>
            </w:r>
          </w:p>
        </w:tc>
        <w:tc>
          <w:tcPr>
            <w:tcW w:w="2130" w:type="pct"/>
            <w:tcBorders>
              <w:top w:val="nil"/>
              <w:left w:val="nil"/>
              <w:bottom w:val="single" w:sz="4" w:space="0" w:color="auto"/>
              <w:right w:val="single" w:sz="4" w:space="0" w:color="auto"/>
            </w:tcBorders>
            <w:vAlign w:val="center"/>
          </w:tcPr>
          <w:p w14:paraId="75C440BE" w14:textId="503C127B" w:rsidR="00BA64D4" w:rsidRPr="00111F34" w:rsidRDefault="00891468" w:rsidP="00BA64D4">
            <w:pPr>
              <w:pStyle w:val="Texttabulky"/>
              <w:jc w:val="center"/>
              <w:rPr>
                <w:rFonts w:cs="Arial"/>
                <w:color w:val="auto"/>
                <w:szCs w:val="16"/>
              </w:rPr>
            </w:pPr>
            <w:r w:rsidRPr="00111F34">
              <w:rPr>
                <w:rFonts w:cs="Arial"/>
                <w:color w:val="auto"/>
                <w:szCs w:val="16"/>
              </w:rPr>
              <w:t>Nepřímo pozitivní vliv v širším kontextu dobudování dopravního systému upřednostňující bezemisní VHD</w:t>
            </w:r>
            <w:r w:rsidR="0046547C" w:rsidRPr="00111F34">
              <w:rPr>
                <w:rFonts w:cs="Arial"/>
                <w:color w:val="auto"/>
                <w:szCs w:val="16"/>
              </w:rPr>
              <w:t>.</w:t>
            </w:r>
          </w:p>
        </w:tc>
      </w:tr>
      <w:tr w:rsidR="00891468" w:rsidRPr="00111F34" w14:paraId="5FE38ECA" w14:textId="77777777" w:rsidTr="004761E4">
        <w:trPr>
          <w:trHeight w:val="407"/>
        </w:trPr>
        <w:tc>
          <w:tcPr>
            <w:tcW w:w="2426" w:type="pct"/>
            <w:tcBorders>
              <w:top w:val="nil"/>
              <w:left w:val="single" w:sz="4" w:space="0" w:color="auto"/>
              <w:bottom w:val="single" w:sz="4" w:space="0" w:color="auto"/>
              <w:right w:val="single" w:sz="4" w:space="0" w:color="auto"/>
            </w:tcBorders>
            <w:shd w:val="clear" w:color="auto" w:fill="auto"/>
          </w:tcPr>
          <w:p w14:paraId="386D7A88" w14:textId="77777777" w:rsidR="00891468" w:rsidRPr="00111F34" w:rsidRDefault="00891468" w:rsidP="00891468">
            <w:pPr>
              <w:pStyle w:val="Odrky1"/>
              <w:spacing w:before="0" w:after="0"/>
              <w:rPr>
                <w:sz w:val="16"/>
                <w:szCs w:val="16"/>
              </w:rPr>
            </w:pPr>
            <w:r w:rsidRPr="00111F34">
              <w:rPr>
                <w:sz w:val="16"/>
                <w:szCs w:val="16"/>
              </w:rPr>
              <w:t>i.02.3.13 Snižování počtu obyvatel zasažených nadlimitní hlukovou zátěží, jejímž zdrojem ve městě je především pozemní doprava, s cílem snížit negativní vliv hluku na psychické i fyzické zdraví obyvatel</w:t>
            </w:r>
          </w:p>
        </w:tc>
        <w:tc>
          <w:tcPr>
            <w:tcW w:w="444" w:type="pct"/>
            <w:gridSpan w:val="2"/>
            <w:tcBorders>
              <w:top w:val="nil"/>
              <w:left w:val="nil"/>
              <w:bottom w:val="single" w:sz="4" w:space="0" w:color="auto"/>
              <w:right w:val="single" w:sz="4" w:space="0" w:color="auto"/>
            </w:tcBorders>
            <w:shd w:val="clear" w:color="auto" w:fill="auto"/>
            <w:noWrap/>
            <w:vAlign w:val="center"/>
            <w:hideMark/>
          </w:tcPr>
          <w:p w14:paraId="5B0288D3" w14:textId="24343DB3" w:rsidR="00891468" w:rsidRPr="00111F34" w:rsidRDefault="00891468" w:rsidP="00891468">
            <w:pPr>
              <w:pStyle w:val="Texttabulky"/>
              <w:jc w:val="center"/>
              <w:rPr>
                <w:rFonts w:asciiTheme="minorHAnsi" w:hAnsiTheme="minorHAnsi" w:cstheme="minorHAnsi"/>
                <w:color w:val="auto"/>
                <w:szCs w:val="16"/>
              </w:rPr>
            </w:pPr>
            <w:r w:rsidRPr="00111F34">
              <w:rPr>
                <w:rFonts w:cs="Arial"/>
                <w:szCs w:val="16"/>
              </w:rPr>
              <w:t>+/-</w:t>
            </w:r>
          </w:p>
        </w:tc>
        <w:tc>
          <w:tcPr>
            <w:tcW w:w="2130" w:type="pct"/>
            <w:tcBorders>
              <w:top w:val="nil"/>
              <w:left w:val="nil"/>
              <w:bottom w:val="single" w:sz="4" w:space="0" w:color="auto"/>
              <w:right w:val="single" w:sz="4" w:space="0" w:color="auto"/>
            </w:tcBorders>
            <w:vAlign w:val="center"/>
          </w:tcPr>
          <w:p w14:paraId="0B47E331" w14:textId="57F6B354" w:rsidR="00891468" w:rsidRPr="00111F34" w:rsidRDefault="00891468" w:rsidP="00891468">
            <w:pPr>
              <w:pStyle w:val="Texttabulky"/>
              <w:jc w:val="center"/>
              <w:rPr>
                <w:rFonts w:cs="Arial"/>
                <w:color w:val="auto"/>
                <w:szCs w:val="16"/>
              </w:rPr>
            </w:pPr>
            <w:r w:rsidRPr="00111F34">
              <w:rPr>
                <w:rFonts w:cs="Arial"/>
                <w:szCs w:val="16"/>
              </w:rPr>
              <w:t>Změna je jedním z opatření pro ochranu území před externalitami z dopravy, přerozdělení dopravních zátěží ve prospěch bezemisní VHD a snížení emisí CO</w:t>
            </w:r>
            <w:r w:rsidRPr="00111F34">
              <w:rPr>
                <w:rFonts w:cs="Arial"/>
                <w:szCs w:val="16"/>
                <w:vertAlign w:val="subscript"/>
              </w:rPr>
              <w:t>2</w:t>
            </w:r>
            <w:r w:rsidRPr="00111F34">
              <w:rPr>
                <w:rFonts w:cs="Arial"/>
                <w:szCs w:val="16"/>
              </w:rPr>
              <w:t>, transformace ploch dopravy v intravilánu a výroby na rezidenční funkce. Zároveň jsou vytvářeny územní předpoklady pro vložení nové tramvajové trati do profilu stávajících ulic jako nového zdroje hlukové zátěže.</w:t>
            </w:r>
          </w:p>
        </w:tc>
      </w:tr>
      <w:tr w:rsidR="00BA64D4" w:rsidRPr="00111F34" w14:paraId="59C8BA49" w14:textId="77777777" w:rsidTr="004761E4">
        <w:trPr>
          <w:trHeight w:val="157"/>
        </w:trPr>
        <w:tc>
          <w:tcPr>
            <w:tcW w:w="2426" w:type="pct"/>
            <w:tcBorders>
              <w:top w:val="nil"/>
              <w:left w:val="single" w:sz="4" w:space="0" w:color="auto"/>
              <w:bottom w:val="single" w:sz="4" w:space="0" w:color="auto"/>
              <w:right w:val="single" w:sz="4" w:space="0" w:color="auto"/>
            </w:tcBorders>
            <w:shd w:val="clear" w:color="auto" w:fill="auto"/>
          </w:tcPr>
          <w:p w14:paraId="37E9B9DE" w14:textId="77777777" w:rsidR="00BA64D4" w:rsidRPr="00111F34" w:rsidRDefault="00BA64D4" w:rsidP="00BA64D4">
            <w:pPr>
              <w:pStyle w:val="Odrky1"/>
              <w:numPr>
                <w:ilvl w:val="0"/>
                <w:numId w:val="0"/>
              </w:numPr>
              <w:spacing w:before="0" w:after="0"/>
              <w:ind w:left="360" w:hanging="360"/>
              <w:jc w:val="left"/>
              <w:rPr>
                <w:b/>
                <w:sz w:val="16"/>
                <w:szCs w:val="16"/>
              </w:rPr>
            </w:pPr>
            <w:r w:rsidRPr="00111F34">
              <w:rPr>
                <w:b/>
                <w:sz w:val="16"/>
              </w:rPr>
              <w:t>02.4 Snížení znečištění vody</w:t>
            </w:r>
          </w:p>
        </w:tc>
        <w:tc>
          <w:tcPr>
            <w:tcW w:w="444" w:type="pct"/>
            <w:gridSpan w:val="2"/>
            <w:tcBorders>
              <w:top w:val="nil"/>
              <w:left w:val="nil"/>
              <w:bottom w:val="single" w:sz="4" w:space="0" w:color="auto"/>
              <w:right w:val="single" w:sz="4" w:space="0" w:color="auto"/>
            </w:tcBorders>
            <w:shd w:val="clear" w:color="auto" w:fill="auto"/>
            <w:noWrap/>
            <w:vAlign w:val="center"/>
            <w:hideMark/>
          </w:tcPr>
          <w:p w14:paraId="1C8C555D" w14:textId="77777777" w:rsidR="00BA64D4" w:rsidRPr="00111F34" w:rsidRDefault="00BA64D4" w:rsidP="00BA64D4">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0</w:t>
            </w:r>
          </w:p>
        </w:tc>
        <w:tc>
          <w:tcPr>
            <w:tcW w:w="2130" w:type="pct"/>
            <w:tcBorders>
              <w:top w:val="nil"/>
              <w:left w:val="nil"/>
              <w:bottom w:val="single" w:sz="4" w:space="0" w:color="auto"/>
              <w:right w:val="single" w:sz="4" w:space="0" w:color="auto"/>
            </w:tcBorders>
            <w:vAlign w:val="center"/>
          </w:tcPr>
          <w:p w14:paraId="4EB390D9" w14:textId="77777777" w:rsidR="00BA64D4" w:rsidRPr="00111F34" w:rsidRDefault="00BA64D4" w:rsidP="00BA64D4">
            <w:pPr>
              <w:pStyle w:val="Texttabulky"/>
              <w:jc w:val="center"/>
              <w:rPr>
                <w:rFonts w:cs="Arial"/>
                <w:color w:val="auto"/>
                <w:szCs w:val="16"/>
              </w:rPr>
            </w:pPr>
            <w:r w:rsidRPr="00111F34">
              <w:rPr>
                <w:rFonts w:cs="Arial"/>
                <w:color w:val="auto"/>
                <w:szCs w:val="16"/>
              </w:rPr>
              <w:t>Na úrovni ÚPD nejsou očekávány významné vlivy na kvalitu povrchových ani podzemních vod.</w:t>
            </w:r>
          </w:p>
        </w:tc>
      </w:tr>
      <w:tr w:rsidR="00BA64D4" w:rsidRPr="00111F34" w14:paraId="7A548363" w14:textId="77777777" w:rsidTr="004761E4">
        <w:trPr>
          <w:trHeight w:val="274"/>
        </w:trPr>
        <w:tc>
          <w:tcPr>
            <w:tcW w:w="2426" w:type="pct"/>
            <w:tcBorders>
              <w:top w:val="nil"/>
              <w:left w:val="single" w:sz="4" w:space="0" w:color="auto"/>
              <w:bottom w:val="single" w:sz="4" w:space="0" w:color="auto"/>
              <w:right w:val="single" w:sz="4" w:space="0" w:color="auto"/>
            </w:tcBorders>
            <w:shd w:val="clear" w:color="auto" w:fill="auto"/>
          </w:tcPr>
          <w:p w14:paraId="049F5A1D" w14:textId="77777777" w:rsidR="00BA64D4" w:rsidRPr="00111F34" w:rsidRDefault="00BA64D4" w:rsidP="00BA64D4">
            <w:pPr>
              <w:pStyle w:val="Odrky1"/>
              <w:spacing w:before="0" w:after="0"/>
              <w:jc w:val="left"/>
              <w:rPr>
                <w:sz w:val="16"/>
                <w:szCs w:val="16"/>
              </w:rPr>
            </w:pPr>
            <w:r w:rsidRPr="00111F34">
              <w:rPr>
                <w:sz w:val="16"/>
              </w:rPr>
              <w:t>i.02.4.01 Zlepšování kvality a jakosti vody v rámci povrchových vodních toků a vodních ploch</w:t>
            </w:r>
          </w:p>
        </w:tc>
        <w:tc>
          <w:tcPr>
            <w:tcW w:w="444" w:type="pct"/>
            <w:gridSpan w:val="2"/>
            <w:tcBorders>
              <w:top w:val="nil"/>
              <w:left w:val="nil"/>
              <w:bottom w:val="single" w:sz="4" w:space="0" w:color="auto"/>
              <w:right w:val="single" w:sz="4" w:space="0" w:color="auto"/>
            </w:tcBorders>
            <w:shd w:val="clear" w:color="auto" w:fill="auto"/>
            <w:noWrap/>
            <w:vAlign w:val="center"/>
            <w:hideMark/>
          </w:tcPr>
          <w:p w14:paraId="7050CAF9" w14:textId="77777777" w:rsidR="00BA64D4" w:rsidRPr="00111F34" w:rsidRDefault="00BA64D4" w:rsidP="00BA64D4">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0</w:t>
            </w:r>
          </w:p>
        </w:tc>
        <w:tc>
          <w:tcPr>
            <w:tcW w:w="2130" w:type="pct"/>
            <w:tcBorders>
              <w:top w:val="nil"/>
              <w:left w:val="nil"/>
              <w:bottom w:val="single" w:sz="4" w:space="0" w:color="auto"/>
              <w:right w:val="single" w:sz="4" w:space="0" w:color="auto"/>
            </w:tcBorders>
            <w:vAlign w:val="center"/>
          </w:tcPr>
          <w:p w14:paraId="66879463" w14:textId="77777777" w:rsidR="00BA64D4" w:rsidRPr="00111F34" w:rsidRDefault="00BA64D4" w:rsidP="00BA64D4">
            <w:pPr>
              <w:pStyle w:val="Texttabulky"/>
              <w:jc w:val="center"/>
              <w:rPr>
                <w:rFonts w:cs="Arial"/>
                <w:color w:val="auto"/>
                <w:szCs w:val="16"/>
              </w:rPr>
            </w:pPr>
            <w:r w:rsidRPr="00111F34">
              <w:rPr>
                <w:rFonts w:cs="Arial"/>
                <w:color w:val="auto"/>
                <w:szCs w:val="16"/>
              </w:rPr>
              <w:t>Na úrovni ÚPD nejsou očekávány významné vlivy na kvalitu povrchových ani podzemních vod.</w:t>
            </w:r>
          </w:p>
        </w:tc>
      </w:tr>
    </w:tbl>
    <w:p w14:paraId="3FCC3C54" w14:textId="77777777" w:rsidR="00553E14" w:rsidRPr="00111F34" w:rsidRDefault="00553E14" w:rsidP="00553E14">
      <w:pPr>
        <w:rPr>
          <w:lang w:eastAsia="cs-CZ"/>
        </w:rPr>
      </w:pPr>
    </w:p>
    <w:p w14:paraId="5E8F2188" w14:textId="77777777" w:rsidR="00BA64D4" w:rsidRPr="00111F34" w:rsidRDefault="00BA64D4" w:rsidP="00553E14">
      <w:pPr>
        <w:rPr>
          <w:lang w:eastAsia="cs-CZ"/>
        </w:rPr>
      </w:pPr>
    </w:p>
    <w:p w14:paraId="19334294" w14:textId="77777777" w:rsidR="00553E14" w:rsidRPr="00111F34" w:rsidRDefault="00553E14" w:rsidP="00553E14">
      <w:pPr>
        <w:rPr>
          <w:lang w:eastAsia="cs-CZ"/>
        </w:rPr>
      </w:pPr>
    </w:p>
    <w:p w14:paraId="25C9D2C0" w14:textId="77777777" w:rsidR="00265E49" w:rsidRPr="00111F34" w:rsidRDefault="00265E49" w:rsidP="00265E49">
      <w:pPr>
        <w:rPr>
          <w:lang w:eastAsia="cs-CZ"/>
        </w:rPr>
        <w:sectPr w:rsidR="00265E49" w:rsidRPr="00111F34" w:rsidSect="003422BE">
          <w:headerReference w:type="default" r:id="rId131"/>
          <w:footerReference w:type="default" r:id="rId132"/>
          <w:pgSz w:w="11906" w:h="16838" w:code="9"/>
          <w:pgMar w:top="1418" w:right="1134" w:bottom="1134" w:left="1134" w:header="709" w:footer="567" w:gutter="0"/>
          <w:cols w:space="227"/>
          <w:docGrid w:linePitch="360"/>
        </w:sectPr>
      </w:pPr>
    </w:p>
    <w:p w14:paraId="48B3C7A4" w14:textId="77777777" w:rsidR="000B7FB7" w:rsidRPr="00111F34" w:rsidRDefault="000B7FB7" w:rsidP="000B7FB7">
      <w:pPr>
        <w:pStyle w:val="Nadpis2"/>
      </w:pPr>
      <w:bookmarkStart w:id="363" w:name="_Toc84595769"/>
      <w:bookmarkStart w:id="364" w:name="_Toc138848152"/>
      <w:bookmarkStart w:id="365" w:name="_Toc496705231"/>
      <w:r w:rsidRPr="00111F34">
        <w:lastRenderedPageBreak/>
        <w:t>Vliv na sledované cíle a indikátory v oblasti soudržnosti společenství obyvatel města udržitelného rozvoje</w:t>
      </w:r>
      <w:bookmarkEnd w:id="363"/>
      <w:bookmarkEnd w:id="364"/>
    </w:p>
    <w:p w14:paraId="33FEB486" w14:textId="77777777" w:rsidR="000B7FB7" w:rsidRPr="00111F34" w:rsidRDefault="000B7FB7" w:rsidP="000B7FB7">
      <w:r w:rsidRPr="00111F34">
        <w:t xml:space="preserve">Vybrané, vůči navrhované ÚPD, relevantní cíle a sledované indikátory zjištěné v rozboru udržitelného rozvoje ÚAP Praha, které reprezentují žádoucí trendy v oblasti využití území města a soudržnosti společenství jeho obyvatel. V rámci rozboru udržitelného rozvoje ÚAP Prahy 2020 byly vyhodnoceny vůči posuzované změně ÚPD pomocí jednoduché symboliky, která v tomto případě vyjadřuje, do jaké míry může změna přispět k naplňování sledovaných cílů. </w:t>
      </w:r>
    </w:p>
    <w:p w14:paraId="4D603944" w14:textId="77777777" w:rsidR="000B7FB7" w:rsidRPr="00111F34" w:rsidRDefault="000B7FB7" w:rsidP="000B7FB7">
      <w:pPr>
        <w:ind w:left="1440" w:hanging="720"/>
      </w:pPr>
      <w:r w:rsidRPr="00111F34">
        <w:t xml:space="preserve">+ </w:t>
      </w:r>
      <w:r w:rsidRPr="00111F34">
        <w:tab/>
        <w:t>Řešení předkládané změny ÚPD má pozitivní vazbu na sledované cíle a indikátory.</w:t>
      </w:r>
    </w:p>
    <w:p w14:paraId="7F81D591" w14:textId="77777777" w:rsidR="000B7FB7" w:rsidRPr="00111F34" w:rsidRDefault="000B7FB7" w:rsidP="000B7FB7">
      <w:pPr>
        <w:ind w:left="1440" w:hanging="720"/>
      </w:pPr>
      <w:r w:rsidRPr="00111F34">
        <w:t xml:space="preserve">0 </w:t>
      </w:r>
      <w:r w:rsidRPr="00111F34">
        <w:tab/>
        <w:t>Řešení předkládané změny ÚPD nemá na sledované cíle a indikátory žádný vliv (sledovaný cíl/indikátor není z hlediska posuzované ÚPD relevantní).</w:t>
      </w:r>
    </w:p>
    <w:p w14:paraId="3F38C012" w14:textId="7F4A7458" w:rsidR="00960D72" w:rsidRPr="00111F34" w:rsidRDefault="000B7FB7" w:rsidP="000B7FB7">
      <w:pPr>
        <w:pStyle w:val="Odstavecseseznamem"/>
        <w:numPr>
          <w:ilvl w:val="0"/>
          <w:numId w:val="11"/>
        </w:numPr>
        <w:ind w:left="1418" w:hanging="698"/>
      </w:pPr>
      <w:r w:rsidRPr="00111F34">
        <w:t>Řešení předkládané změny má negativní vazbu na sledované cíle a indikátory, posuzovaná ÚPD působí proti sledovanému cíli, je třeba přijmout opatření pro zamezení negativních vlivů na environmentální pilíř udržitelného rozvoje.</w:t>
      </w:r>
      <w:bookmarkStart w:id="366" w:name="_Toc496705173"/>
      <w:bookmarkEnd w:id="365"/>
      <w:r w:rsidRPr="00111F34">
        <w:t xml:space="preserve"> </w:t>
      </w:r>
      <w:r w:rsidR="00960D72" w:rsidRPr="00111F34">
        <w:t>Vliv na využití silných stránek a příležitostí řešeného území</w:t>
      </w:r>
      <w:bookmarkEnd w:id="366"/>
    </w:p>
    <w:p w14:paraId="21F70FC2" w14:textId="77777777" w:rsidR="000B7FB7" w:rsidRPr="00111F34" w:rsidRDefault="000B7FB7" w:rsidP="000B7FB7">
      <w:pPr>
        <w:pStyle w:val="Tabulkanzev"/>
      </w:pPr>
      <w:bookmarkStart w:id="367" w:name="_Toc89073097"/>
      <w:bookmarkStart w:id="368" w:name="_Toc138848181"/>
      <w:r w:rsidRPr="00111F34">
        <w:t>Vliv na naplňování vybraných cílů a indikátorů v oblasti sociálního pilíře dle ÚAP nástroji územního plánování promítnutými v posuzované ÚPD</w:t>
      </w:r>
      <w:bookmarkEnd w:id="367"/>
      <w:bookmarkEnd w:id="368"/>
      <w:r w:rsidRPr="00111F34">
        <w:t xml:space="preserve"> </w:t>
      </w:r>
    </w:p>
    <w:tbl>
      <w:tblPr>
        <w:tblW w:w="5000" w:type="pct"/>
        <w:tblCellMar>
          <w:left w:w="28" w:type="dxa"/>
          <w:right w:w="28" w:type="dxa"/>
        </w:tblCellMar>
        <w:tblLook w:val="04A0" w:firstRow="1" w:lastRow="0" w:firstColumn="1" w:lastColumn="0" w:noHBand="0" w:noVBand="1"/>
      </w:tblPr>
      <w:tblGrid>
        <w:gridCol w:w="4673"/>
        <w:gridCol w:w="853"/>
        <w:gridCol w:w="4102"/>
      </w:tblGrid>
      <w:tr w:rsidR="00BA64D4" w:rsidRPr="00111F34" w14:paraId="74739C94" w14:textId="77777777" w:rsidTr="0016566E">
        <w:trPr>
          <w:trHeight w:val="448"/>
          <w:tblHeader/>
        </w:trPr>
        <w:tc>
          <w:tcPr>
            <w:tcW w:w="2427" w:type="pct"/>
            <w:tcBorders>
              <w:top w:val="single" w:sz="4" w:space="0" w:color="auto"/>
              <w:left w:val="single" w:sz="4" w:space="0" w:color="auto"/>
              <w:bottom w:val="single" w:sz="4" w:space="0" w:color="auto"/>
              <w:right w:val="single" w:sz="4" w:space="0" w:color="auto"/>
            </w:tcBorders>
            <w:shd w:val="clear" w:color="auto" w:fill="233845"/>
            <w:vAlign w:val="center"/>
            <w:hideMark/>
          </w:tcPr>
          <w:p w14:paraId="25AFB69A" w14:textId="77777777" w:rsidR="00BA64D4" w:rsidRPr="00111F34" w:rsidRDefault="00BA64D4" w:rsidP="00BA64D4">
            <w:pPr>
              <w:pStyle w:val="Texttabulky"/>
              <w:jc w:val="center"/>
              <w:rPr>
                <w:b/>
                <w:color w:val="auto"/>
                <w:szCs w:val="16"/>
              </w:rPr>
            </w:pPr>
            <w:r w:rsidRPr="00111F34">
              <w:rPr>
                <w:b/>
                <w:color w:val="auto"/>
                <w:szCs w:val="16"/>
              </w:rPr>
              <w:t>Vliv posuzované ÚPD na naplňování relevantních</w:t>
            </w:r>
            <w:r w:rsidRPr="00111F34">
              <w:rPr>
                <w:rStyle w:val="Znakapoznpodarou"/>
                <w:b/>
                <w:color w:val="auto"/>
                <w:szCs w:val="16"/>
              </w:rPr>
              <w:footnoteReference w:id="16"/>
            </w:r>
            <w:r w:rsidRPr="00111F34">
              <w:rPr>
                <w:b/>
                <w:color w:val="auto"/>
                <w:szCs w:val="16"/>
              </w:rPr>
              <w:t xml:space="preserve"> cílů reprezentovaných indikátory v oblasti sociálního pilíře nástroji územního plánování</w:t>
            </w:r>
            <w:r w:rsidRPr="00111F34">
              <w:rPr>
                <w:rStyle w:val="Znakapoznpodarou"/>
                <w:b/>
                <w:color w:val="auto"/>
                <w:szCs w:val="16"/>
              </w:rPr>
              <w:footnoteReference w:id="17"/>
            </w:r>
          </w:p>
        </w:tc>
        <w:tc>
          <w:tcPr>
            <w:tcW w:w="443" w:type="pct"/>
            <w:tcBorders>
              <w:top w:val="single" w:sz="4" w:space="0" w:color="auto"/>
              <w:left w:val="single" w:sz="4" w:space="0" w:color="auto"/>
              <w:bottom w:val="single" w:sz="4" w:space="0" w:color="auto"/>
              <w:right w:val="single" w:sz="4" w:space="0" w:color="auto"/>
            </w:tcBorders>
            <w:shd w:val="clear" w:color="auto" w:fill="233845"/>
            <w:noWrap/>
            <w:vAlign w:val="center"/>
            <w:hideMark/>
          </w:tcPr>
          <w:p w14:paraId="60FD0BDC" w14:textId="5D58A9F7" w:rsidR="00BA64D4" w:rsidRPr="00111F34" w:rsidRDefault="00F80CDD" w:rsidP="00C61521">
            <w:pPr>
              <w:pStyle w:val="Texttabulky"/>
              <w:jc w:val="center"/>
              <w:rPr>
                <w:b/>
                <w:color w:val="auto"/>
                <w:szCs w:val="16"/>
              </w:rPr>
            </w:pPr>
            <w:r w:rsidRPr="00111F34">
              <w:rPr>
                <w:b/>
                <w:color w:val="auto"/>
                <w:szCs w:val="16"/>
              </w:rPr>
              <w:t>Z</w:t>
            </w:r>
            <w:r w:rsidR="001663EA" w:rsidRPr="00111F34">
              <w:rPr>
                <w:b/>
                <w:color w:val="auto"/>
                <w:szCs w:val="16"/>
              </w:rPr>
              <w:t>3827</w:t>
            </w:r>
            <w:r w:rsidRPr="00111F34">
              <w:rPr>
                <w:b/>
                <w:color w:val="auto"/>
                <w:szCs w:val="16"/>
              </w:rPr>
              <w:t>/00</w:t>
            </w:r>
          </w:p>
        </w:tc>
        <w:tc>
          <w:tcPr>
            <w:tcW w:w="2130" w:type="pct"/>
            <w:tcBorders>
              <w:top w:val="single" w:sz="4" w:space="0" w:color="auto"/>
              <w:left w:val="single" w:sz="4" w:space="0" w:color="auto"/>
              <w:bottom w:val="single" w:sz="4" w:space="0" w:color="auto"/>
              <w:right w:val="single" w:sz="4" w:space="0" w:color="auto"/>
            </w:tcBorders>
            <w:shd w:val="clear" w:color="auto" w:fill="233845"/>
            <w:vAlign w:val="center"/>
          </w:tcPr>
          <w:p w14:paraId="66BCCF8F" w14:textId="77777777" w:rsidR="00BA64D4" w:rsidRPr="00111F34" w:rsidRDefault="00BA64D4" w:rsidP="00BA64D4">
            <w:pPr>
              <w:pStyle w:val="Texttabulky"/>
              <w:jc w:val="center"/>
              <w:rPr>
                <w:b/>
                <w:color w:val="auto"/>
                <w:szCs w:val="16"/>
              </w:rPr>
            </w:pPr>
            <w:r w:rsidRPr="00111F34">
              <w:rPr>
                <w:b/>
                <w:color w:val="auto"/>
                <w:szCs w:val="16"/>
              </w:rPr>
              <w:t>Komentář</w:t>
            </w:r>
          </w:p>
        </w:tc>
      </w:tr>
      <w:tr w:rsidR="00BA64D4" w:rsidRPr="00111F34" w14:paraId="5AE9A43D" w14:textId="77777777" w:rsidTr="00BA64D4">
        <w:trPr>
          <w:trHeight w:val="285"/>
        </w:trPr>
        <w:tc>
          <w:tcPr>
            <w:tcW w:w="5000" w:type="pct"/>
            <w:gridSpan w:val="3"/>
            <w:tcBorders>
              <w:top w:val="single" w:sz="4" w:space="0" w:color="auto"/>
              <w:left w:val="single" w:sz="4" w:space="0" w:color="auto"/>
              <w:bottom w:val="single" w:sz="4" w:space="0" w:color="auto"/>
              <w:right w:val="single" w:sz="4" w:space="0" w:color="000000"/>
            </w:tcBorders>
            <w:shd w:val="clear" w:color="auto" w:fill="FDE9D9" w:themeFill="accent6" w:themeFillTint="33"/>
            <w:vAlign w:val="center"/>
            <w:hideMark/>
          </w:tcPr>
          <w:p w14:paraId="124ACEBB" w14:textId="77777777" w:rsidR="00BA64D4" w:rsidRPr="00111F34" w:rsidRDefault="00BA64D4" w:rsidP="00BA64D4">
            <w:pPr>
              <w:pStyle w:val="Texttabulky"/>
              <w:rPr>
                <w:b/>
                <w:color w:val="auto"/>
                <w:szCs w:val="16"/>
              </w:rPr>
            </w:pPr>
            <w:r w:rsidRPr="00111F34">
              <w:rPr>
                <w:b/>
                <w:color w:val="auto"/>
              </w:rPr>
              <w:t>03 VYVÁŽENÉ PROSTOROVÉ USPOŘÁDÁNÍ MĚSTA</w:t>
            </w:r>
          </w:p>
        </w:tc>
      </w:tr>
      <w:tr w:rsidR="00BA64D4" w:rsidRPr="00111F34" w14:paraId="7DFF82FF" w14:textId="77777777" w:rsidTr="0016566E">
        <w:trPr>
          <w:trHeight w:val="285"/>
        </w:trPr>
        <w:tc>
          <w:tcPr>
            <w:tcW w:w="2427" w:type="pct"/>
            <w:tcBorders>
              <w:top w:val="single" w:sz="4" w:space="0" w:color="auto"/>
              <w:left w:val="single" w:sz="4" w:space="0" w:color="auto"/>
              <w:bottom w:val="single" w:sz="4" w:space="0" w:color="auto"/>
              <w:right w:val="single" w:sz="4" w:space="0" w:color="000000"/>
            </w:tcBorders>
            <w:shd w:val="clear" w:color="auto" w:fill="auto"/>
            <w:vAlign w:val="center"/>
          </w:tcPr>
          <w:p w14:paraId="504E9CDD" w14:textId="77777777" w:rsidR="00BA64D4" w:rsidRPr="00111F34" w:rsidRDefault="00BA64D4" w:rsidP="00BA64D4">
            <w:pPr>
              <w:pStyle w:val="Texttabulky"/>
              <w:rPr>
                <w:b/>
                <w:color w:val="auto"/>
                <w:szCs w:val="16"/>
              </w:rPr>
            </w:pPr>
            <w:r w:rsidRPr="00111F34">
              <w:rPr>
                <w:b/>
                <w:color w:val="auto"/>
                <w:szCs w:val="16"/>
              </w:rPr>
              <w:t>03.1 Vyvážený rozvoj vystavěného prostředí města</w:t>
            </w:r>
          </w:p>
        </w:tc>
        <w:tc>
          <w:tcPr>
            <w:tcW w:w="443" w:type="pct"/>
            <w:tcBorders>
              <w:top w:val="single" w:sz="4" w:space="0" w:color="auto"/>
              <w:left w:val="single" w:sz="4" w:space="0" w:color="auto"/>
              <w:bottom w:val="single" w:sz="4" w:space="0" w:color="auto"/>
              <w:right w:val="single" w:sz="4" w:space="0" w:color="000000"/>
            </w:tcBorders>
            <w:shd w:val="clear" w:color="auto" w:fill="auto"/>
            <w:vAlign w:val="center"/>
          </w:tcPr>
          <w:p w14:paraId="72E4A8EB" w14:textId="35170BF5" w:rsidR="00BA64D4" w:rsidRPr="00111F34" w:rsidRDefault="00BA64D4" w:rsidP="00BA64D4">
            <w:pPr>
              <w:pStyle w:val="Texttabulky"/>
              <w:jc w:val="center"/>
              <w:rPr>
                <w:b/>
                <w:color w:val="auto"/>
                <w:szCs w:val="16"/>
              </w:rPr>
            </w:pPr>
            <w:r w:rsidRPr="00111F34">
              <w:rPr>
                <w:rFonts w:asciiTheme="minorHAnsi" w:hAnsiTheme="minorHAnsi" w:cstheme="minorHAnsi"/>
                <w:color w:val="auto"/>
                <w:szCs w:val="16"/>
              </w:rPr>
              <w:t>+</w:t>
            </w:r>
          </w:p>
        </w:tc>
        <w:tc>
          <w:tcPr>
            <w:tcW w:w="2130" w:type="pct"/>
            <w:tcBorders>
              <w:top w:val="single" w:sz="4" w:space="0" w:color="auto"/>
              <w:left w:val="single" w:sz="4" w:space="0" w:color="auto"/>
              <w:bottom w:val="single" w:sz="4" w:space="0" w:color="auto"/>
              <w:right w:val="single" w:sz="4" w:space="0" w:color="000000"/>
            </w:tcBorders>
            <w:shd w:val="clear" w:color="auto" w:fill="auto"/>
            <w:vAlign w:val="center"/>
          </w:tcPr>
          <w:p w14:paraId="49312905" w14:textId="76E566C6" w:rsidR="00BA64D4" w:rsidRPr="00111F34" w:rsidRDefault="00746682" w:rsidP="00BA64D4">
            <w:pPr>
              <w:pStyle w:val="Texttabulky"/>
              <w:jc w:val="center"/>
              <w:rPr>
                <w:b/>
                <w:color w:val="auto"/>
                <w:szCs w:val="16"/>
              </w:rPr>
            </w:pPr>
            <w:bookmarkStart w:id="369" w:name="_Hlk127529965"/>
            <w:r w:rsidRPr="00111F34">
              <w:rPr>
                <w:rFonts w:cs="Arial"/>
                <w:szCs w:val="16"/>
              </w:rPr>
              <w:t xml:space="preserve">Vliv změny na urbanistický ráz území bude záviset na architektonickém a hmotovém pojetí zástavby. </w:t>
            </w:r>
            <w:r w:rsidRPr="00111F34">
              <w:rPr>
                <w:rFonts w:cs="Arial"/>
                <w:color w:val="auto"/>
                <w:szCs w:val="16"/>
              </w:rPr>
              <w:t xml:space="preserve">Jsou vytvářeny územní předpoklady pro zlepšení estetických kvalit území a transformaci brownfields. </w:t>
            </w:r>
            <w:r w:rsidR="00BA64D4" w:rsidRPr="00111F34">
              <w:rPr>
                <w:rFonts w:cs="Arial"/>
                <w:color w:val="auto"/>
                <w:szCs w:val="16"/>
              </w:rPr>
              <w:t>Vytvořeny územní předpoklady pro vznik nových ploch veřejné zeleně.</w:t>
            </w:r>
            <w:bookmarkEnd w:id="369"/>
          </w:p>
        </w:tc>
      </w:tr>
      <w:tr w:rsidR="00746682" w:rsidRPr="00111F34" w14:paraId="33511942" w14:textId="77777777" w:rsidTr="0016566E">
        <w:trPr>
          <w:trHeight w:val="419"/>
        </w:trPr>
        <w:tc>
          <w:tcPr>
            <w:tcW w:w="2427" w:type="pct"/>
            <w:tcBorders>
              <w:top w:val="nil"/>
              <w:left w:val="single" w:sz="4" w:space="0" w:color="auto"/>
              <w:bottom w:val="single" w:sz="4" w:space="0" w:color="auto"/>
              <w:right w:val="single" w:sz="4" w:space="0" w:color="auto"/>
            </w:tcBorders>
            <w:shd w:val="clear" w:color="auto" w:fill="auto"/>
          </w:tcPr>
          <w:p w14:paraId="4E517D34" w14:textId="77777777" w:rsidR="00746682" w:rsidRPr="00111F34" w:rsidRDefault="00746682" w:rsidP="00746682">
            <w:pPr>
              <w:pStyle w:val="Odrky1"/>
              <w:spacing w:before="0" w:after="0"/>
              <w:jc w:val="left"/>
              <w:rPr>
                <w:i/>
                <w:sz w:val="16"/>
                <w:szCs w:val="16"/>
              </w:rPr>
            </w:pPr>
            <w:r w:rsidRPr="00111F34">
              <w:rPr>
                <w:i/>
                <w:sz w:val="16"/>
              </w:rPr>
              <w:t>i.03.1.01 Upřednostňování vyváženého rozvoje města v rámci souvisle zastavěného území</w:t>
            </w:r>
          </w:p>
        </w:tc>
        <w:tc>
          <w:tcPr>
            <w:tcW w:w="443" w:type="pct"/>
            <w:tcBorders>
              <w:top w:val="nil"/>
              <w:left w:val="nil"/>
              <w:bottom w:val="single" w:sz="4" w:space="0" w:color="auto"/>
              <w:right w:val="single" w:sz="4" w:space="0" w:color="auto"/>
            </w:tcBorders>
            <w:shd w:val="clear" w:color="auto" w:fill="auto"/>
            <w:noWrap/>
            <w:vAlign w:val="center"/>
          </w:tcPr>
          <w:p w14:paraId="273D0471" w14:textId="3E80751B" w:rsidR="00746682" w:rsidRPr="00111F34" w:rsidRDefault="00746682" w:rsidP="00746682">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w:t>
            </w:r>
          </w:p>
        </w:tc>
        <w:tc>
          <w:tcPr>
            <w:tcW w:w="2130" w:type="pct"/>
            <w:tcBorders>
              <w:top w:val="nil"/>
              <w:left w:val="nil"/>
              <w:bottom w:val="single" w:sz="4" w:space="0" w:color="auto"/>
              <w:right w:val="single" w:sz="4" w:space="0" w:color="auto"/>
            </w:tcBorders>
            <w:vAlign w:val="center"/>
          </w:tcPr>
          <w:p w14:paraId="6AE020A4" w14:textId="11EF78EB" w:rsidR="00746682" w:rsidRPr="00111F34" w:rsidRDefault="00746682" w:rsidP="00746682">
            <w:pPr>
              <w:pStyle w:val="Texttabulky"/>
              <w:jc w:val="center"/>
              <w:rPr>
                <w:rFonts w:cs="Arial"/>
                <w:color w:val="auto"/>
                <w:szCs w:val="16"/>
              </w:rPr>
            </w:pPr>
            <w:r w:rsidRPr="00111F34">
              <w:rPr>
                <w:rFonts w:cs="Arial"/>
                <w:szCs w:val="16"/>
              </w:rPr>
              <w:t xml:space="preserve">Vliv změny na urbanistický ráz území bude záviset na architektonickém a hmotovém pojetí zástavby. </w:t>
            </w:r>
            <w:r w:rsidRPr="00111F34">
              <w:rPr>
                <w:rFonts w:cs="Arial"/>
                <w:color w:val="auto"/>
                <w:szCs w:val="16"/>
              </w:rPr>
              <w:t>Jsou vytvářeny územní předpoklady pro zlepšení estetických kvalit území a transformaci brownfields. Vytvořeny územní předpoklady pro vznik nových ploch veřejné zeleně.</w:t>
            </w:r>
          </w:p>
        </w:tc>
      </w:tr>
      <w:tr w:rsidR="00BA64D4" w:rsidRPr="00111F34" w14:paraId="27578C8F" w14:textId="77777777" w:rsidTr="0016566E">
        <w:trPr>
          <w:trHeight w:val="116"/>
        </w:trPr>
        <w:tc>
          <w:tcPr>
            <w:tcW w:w="2427" w:type="pct"/>
            <w:tcBorders>
              <w:top w:val="nil"/>
              <w:left w:val="single" w:sz="4" w:space="0" w:color="auto"/>
              <w:bottom w:val="single" w:sz="4" w:space="0" w:color="auto"/>
              <w:right w:val="single" w:sz="4" w:space="0" w:color="auto"/>
            </w:tcBorders>
            <w:shd w:val="clear" w:color="auto" w:fill="auto"/>
          </w:tcPr>
          <w:p w14:paraId="4942BF2F" w14:textId="77777777" w:rsidR="00BA64D4" w:rsidRPr="00111F34" w:rsidRDefault="00BA64D4" w:rsidP="00BA64D4">
            <w:pPr>
              <w:pStyle w:val="Odrky1"/>
              <w:spacing w:before="0" w:after="0"/>
              <w:jc w:val="left"/>
              <w:rPr>
                <w:i/>
                <w:sz w:val="16"/>
                <w:szCs w:val="16"/>
              </w:rPr>
            </w:pPr>
            <w:r w:rsidRPr="00111F34">
              <w:rPr>
                <w:i/>
                <w:sz w:val="16"/>
              </w:rPr>
              <w:t>i.03.1.02 Omezování suburbanizace</w:t>
            </w:r>
          </w:p>
        </w:tc>
        <w:tc>
          <w:tcPr>
            <w:tcW w:w="443" w:type="pct"/>
            <w:tcBorders>
              <w:top w:val="nil"/>
              <w:left w:val="nil"/>
              <w:bottom w:val="single" w:sz="4" w:space="0" w:color="auto"/>
              <w:right w:val="single" w:sz="4" w:space="0" w:color="auto"/>
            </w:tcBorders>
            <w:shd w:val="clear" w:color="auto" w:fill="auto"/>
            <w:noWrap/>
            <w:vAlign w:val="center"/>
          </w:tcPr>
          <w:p w14:paraId="20AD4F7C" w14:textId="4F1E3C20" w:rsidR="00BA64D4" w:rsidRPr="00111F34" w:rsidRDefault="00746682" w:rsidP="00BA64D4">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w:t>
            </w:r>
          </w:p>
        </w:tc>
        <w:tc>
          <w:tcPr>
            <w:tcW w:w="2130" w:type="pct"/>
            <w:tcBorders>
              <w:top w:val="nil"/>
              <w:left w:val="nil"/>
              <w:bottom w:val="single" w:sz="4" w:space="0" w:color="auto"/>
              <w:right w:val="single" w:sz="4" w:space="0" w:color="auto"/>
            </w:tcBorders>
            <w:vAlign w:val="center"/>
          </w:tcPr>
          <w:p w14:paraId="33CF009E" w14:textId="085E024F" w:rsidR="00BA64D4" w:rsidRPr="00111F34" w:rsidRDefault="00746682" w:rsidP="00BA64D4">
            <w:pPr>
              <w:pStyle w:val="Texttabulky"/>
              <w:jc w:val="center"/>
              <w:rPr>
                <w:rFonts w:cs="Arial"/>
                <w:color w:val="auto"/>
                <w:szCs w:val="16"/>
              </w:rPr>
            </w:pPr>
            <w:r w:rsidRPr="00111F34">
              <w:rPr>
                <w:rFonts w:cs="Arial"/>
                <w:color w:val="auto"/>
                <w:szCs w:val="16"/>
              </w:rPr>
              <w:t>Využití dnes nevyužívaných ploch ve vnitřním městě s dobrou dopravní dostupností veřejnou hromadnou dopravou je jedním z nástrojů prevence suburbanizace.</w:t>
            </w:r>
          </w:p>
        </w:tc>
      </w:tr>
      <w:tr w:rsidR="00746682" w:rsidRPr="00111F34" w14:paraId="0AEEFDB3" w14:textId="77777777" w:rsidTr="0016566E">
        <w:trPr>
          <w:trHeight w:val="254"/>
        </w:trPr>
        <w:tc>
          <w:tcPr>
            <w:tcW w:w="2427" w:type="pct"/>
            <w:tcBorders>
              <w:top w:val="nil"/>
              <w:left w:val="single" w:sz="4" w:space="0" w:color="auto"/>
              <w:bottom w:val="single" w:sz="4" w:space="0" w:color="auto"/>
              <w:right w:val="single" w:sz="4" w:space="0" w:color="auto"/>
            </w:tcBorders>
            <w:shd w:val="clear" w:color="auto" w:fill="auto"/>
          </w:tcPr>
          <w:p w14:paraId="64B817A6" w14:textId="77777777" w:rsidR="00746682" w:rsidRPr="00111F34" w:rsidRDefault="00746682" w:rsidP="00746682">
            <w:pPr>
              <w:pStyle w:val="Odrky1"/>
              <w:spacing w:before="0" w:after="0"/>
              <w:jc w:val="left"/>
              <w:rPr>
                <w:i/>
                <w:sz w:val="16"/>
                <w:szCs w:val="16"/>
              </w:rPr>
            </w:pPr>
            <w:r w:rsidRPr="00111F34">
              <w:rPr>
                <w:i/>
                <w:sz w:val="16"/>
              </w:rPr>
              <w:t>i.03.1.05 Upřednostňování intenzivního rozvoje města v transformačních územích</w:t>
            </w:r>
          </w:p>
        </w:tc>
        <w:tc>
          <w:tcPr>
            <w:tcW w:w="443" w:type="pct"/>
            <w:tcBorders>
              <w:top w:val="nil"/>
              <w:left w:val="nil"/>
              <w:bottom w:val="single" w:sz="4" w:space="0" w:color="auto"/>
              <w:right w:val="single" w:sz="4" w:space="0" w:color="auto"/>
            </w:tcBorders>
            <w:shd w:val="clear" w:color="auto" w:fill="auto"/>
            <w:noWrap/>
            <w:vAlign w:val="center"/>
          </w:tcPr>
          <w:p w14:paraId="05702302" w14:textId="3C6FDC21" w:rsidR="00746682" w:rsidRPr="00111F34" w:rsidRDefault="00746682" w:rsidP="00746682">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w:t>
            </w:r>
          </w:p>
        </w:tc>
        <w:tc>
          <w:tcPr>
            <w:tcW w:w="2130" w:type="pct"/>
            <w:tcBorders>
              <w:top w:val="nil"/>
              <w:left w:val="nil"/>
              <w:bottom w:val="single" w:sz="4" w:space="0" w:color="auto"/>
              <w:right w:val="single" w:sz="4" w:space="0" w:color="auto"/>
            </w:tcBorders>
            <w:vAlign w:val="center"/>
          </w:tcPr>
          <w:p w14:paraId="39FBC630" w14:textId="3F982D9F" w:rsidR="00746682" w:rsidRPr="00111F34" w:rsidRDefault="00746682" w:rsidP="00746682">
            <w:pPr>
              <w:pStyle w:val="Texttabulky"/>
              <w:jc w:val="center"/>
              <w:rPr>
                <w:rFonts w:cs="Arial"/>
                <w:color w:val="auto"/>
                <w:szCs w:val="16"/>
              </w:rPr>
            </w:pPr>
            <w:r w:rsidRPr="00111F34">
              <w:rPr>
                <w:rFonts w:cs="Arial"/>
                <w:color w:val="auto"/>
                <w:szCs w:val="16"/>
              </w:rPr>
              <w:t>Jsou vytvářeny územní předpoklady pro využití transformačních území.</w:t>
            </w:r>
          </w:p>
        </w:tc>
      </w:tr>
      <w:tr w:rsidR="00746682" w:rsidRPr="00111F34" w14:paraId="2F2B056F" w14:textId="77777777" w:rsidTr="0016566E">
        <w:trPr>
          <w:trHeight w:val="271"/>
        </w:trPr>
        <w:tc>
          <w:tcPr>
            <w:tcW w:w="2427" w:type="pct"/>
            <w:tcBorders>
              <w:top w:val="nil"/>
              <w:left w:val="single" w:sz="4" w:space="0" w:color="auto"/>
              <w:bottom w:val="single" w:sz="4" w:space="0" w:color="auto"/>
              <w:right w:val="single" w:sz="4" w:space="0" w:color="auto"/>
            </w:tcBorders>
            <w:shd w:val="clear" w:color="auto" w:fill="auto"/>
          </w:tcPr>
          <w:p w14:paraId="0D8782D7" w14:textId="77777777" w:rsidR="00746682" w:rsidRPr="00111F34" w:rsidRDefault="00746682" w:rsidP="00746682">
            <w:pPr>
              <w:pStyle w:val="Odrky1"/>
              <w:spacing w:before="0" w:after="0"/>
              <w:jc w:val="left"/>
              <w:rPr>
                <w:sz w:val="16"/>
                <w:szCs w:val="16"/>
              </w:rPr>
            </w:pPr>
            <w:r w:rsidRPr="00111F34">
              <w:rPr>
                <w:sz w:val="16"/>
              </w:rPr>
              <w:t>c.03.1.08 Ochrana a rozvoj urbanistické, architektonické a kulturně-historické hodnoty při regeneraci deprimovaných území</w:t>
            </w:r>
          </w:p>
        </w:tc>
        <w:tc>
          <w:tcPr>
            <w:tcW w:w="443" w:type="pct"/>
            <w:tcBorders>
              <w:top w:val="nil"/>
              <w:left w:val="nil"/>
              <w:bottom w:val="single" w:sz="4" w:space="0" w:color="auto"/>
              <w:right w:val="single" w:sz="4" w:space="0" w:color="auto"/>
            </w:tcBorders>
            <w:shd w:val="clear" w:color="auto" w:fill="auto"/>
            <w:noWrap/>
            <w:vAlign w:val="center"/>
          </w:tcPr>
          <w:p w14:paraId="22B3182C" w14:textId="4FC8DDD5" w:rsidR="00746682" w:rsidRPr="00111F34" w:rsidRDefault="00746682" w:rsidP="00746682">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w:t>
            </w:r>
          </w:p>
        </w:tc>
        <w:tc>
          <w:tcPr>
            <w:tcW w:w="2130" w:type="pct"/>
            <w:tcBorders>
              <w:top w:val="nil"/>
              <w:left w:val="nil"/>
              <w:bottom w:val="single" w:sz="4" w:space="0" w:color="auto"/>
              <w:right w:val="single" w:sz="4" w:space="0" w:color="auto"/>
            </w:tcBorders>
            <w:vAlign w:val="center"/>
          </w:tcPr>
          <w:p w14:paraId="4BB30DF3" w14:textId="2AFE8D7D" w:rsidR="00746682" w:rsidRPr="00111F34" w:rsidRDefault="00746682" w:rsidP="00746682">
            <w:pPr>
              <w:pStyle w:val="Texttabulky"/>
              <w:jc w:val="center"/>
              <w:rPr>
                <w:rFonts w:cs="Arial"/>
                <w:color w:val="auto"/>
                <w:szCs w:val="16"/>
              </w:rPr>
            </w:pPr>
            <w:r w:rsidRPr="00111F34">
              <w:rPr>
                <w:rFonts w:cs="Arial"/>
                <w:szCs w:val="16"/>
              </w:rPr>
              <w:t xml:space="preserve">Vliv změny na urbanistický ráz území bude záviset na architektonickém a hmotovém pojetí zástavby. </w:t>
            </w:r>
            <w:r w:rsidRPr="00111F34">
              <w:rPr>
                <w:rFonts w:cs="Arial"/>
                <w:color w:val="auto"/>
                <w:szCs w:val="16"/>
              </w:rPr>
              <w:t>Jsou vytvářeny územní předpoklady pro zlepšení estetických kvalit území a transformaci brownfields. Vytvořeny územní předpoklady pro vznik nových ploch veřejné zeleně.</w:t>
            </w:r>
          </w:p>
        </w:tc>
      </w:tr>
      <w:tr w:rsidR="00BA64D4" w:rsidRPr="00111F34" w14:paraId="50C16826" w14:textId="77777777" w:rsidTr="0016566E">
        <w:trPr>
          <w:trHeight w:val="260"/>
        </w:trPr>
        <w:tc>
          <w:tcPr>
            <w:tcW w:w="2427" w:type="pct"/>
            <w:tcBorders>
              <w:top w:val="single" w:sz="4" w:space="0" w:color="auto"/>
              <w:left w:val="single" w:sz="4" w:space="0" w:color="auto"/>
              <w:bottom w:val="single" w:sz="4" w:space="0" w:color="auto"/>
              <w:right w:val="single" w:sz="4" w:space="0" w:color="000000"/>
            </w:tcBorders>
            <w:shd w:val="clear" w:color="auto" w:fill="auto"/>
            <w:vAlign w:val="center"/>
            <w:hideMark/>
          </w:tcPr>
          <w:p w14:paraId="207C4B38" w14:textId="77777777" w:rsidR="00BA64D4" w:rsidRPr="00111F34" w:rsidRDefault="00BA64D4" w:rsidP="00BA64D4">
            <w:pPr>
              <w:pStyle w:val="Texttabulky"/>
              <w:rPr>
                <w:b/>
                <w:color w:val="auto"/>
                <w:szCs w:val="16"/>
              </w:rPr>
            </w:pPr>
            <w:r w:rsidRPr="00111F34">
              <w:rPr>
                <w:b/>
                <w:color w:val="auto"/>
                <w:szCs w:val="16"/>
              </w:rPr>
              <w:t>03.2 Kvalitní veřejná prostranství</w:t>
            </w:r>
          </w:p>
        </w:tc>
        <w:tc>
          <w:tcPr>
            <w:tcW w:w="443" w:type="pct"/>
            <w:tcBorders>
              <w:top w:val="single" w:sz="4" w:space="0" w:color="auto"/>
              <w:left w:val="single" w:sz="4" w:space="0" w:color="auto"/>
              <w:bottom w:val="single" w:sz="4" w:space="0" w:color="auto"/>
              <w:right w:val="single" w:sz="4" w:space="0" w:color="000000"/>
            </w:tcBorders>
            <w:shd w:val="clear" w:color="auto" w:fill="auto"/>
            <w:vAlign w:val="center"/>
          </w:tcPr>
          <w:p w14:paraId="5B5E594A" w14:textId="77777777" w:rsidR="00BA64D4" w:rsidRPr="00111F34" w:rsidRDefault="00BA64D4" w:rsidP="00BA64D4">
            <w:pPr>
              <w:pStyle w:val="Texttabulky"/>
              <w:jc w:val="center"/>
              <w:rPr>
                <w:color w:val="auto"/>
                <w:szCs w:val="16"/>
              </w:rPr>
            </w:pPr>
            <w:r w:rsidRPr="00111F34">
              <w:rPr>
                <w:color w:val="auto"/>
                <w:szCs w:val="16"/>
              </w:rPr>
              <w:t>+</w:t>
            </w:r>
          </w:p>
        </w:tc>
        <w:tc>
          <w:tcPr>
            <w:tcW w:w="2130" w:type="pct"/>
            <w:tcBorders>
              <w:top w:val="single" w:sz="4" w:space="0" w:color="auto"/>
              <w:left w:val="single" w:sz="4" w:space="0" w:color="auto"/>
              <w:bottom w:val="single" w:sz="4" w:space="0" w:color="auto"/>
              <w:right w:val="single" w:sz="4" w:space="0" w:color="000000"/>
            </w:tcBorders>
            <w:shd w:val="clear" w:color="auto" w:fill="auto"/>
            <w:vAlign w:val="center"/>
          </w:tcPr>
          <w:p w14:paraId="4D9463B1" w14:textId="494DE01E" w:rsidR="00BA64D4" w:rsidRPr="00111F34" w:rsidRDefault="00BA64D4" w:rsidP="002C3260">
            <w:pPr>
              <w:pStyle w:val="Texttabulky"/>
              <w:jc w:val="center"/>
              <w:rPr>
                <w:color w:val="auto"/>
                <w:szCs w:val="16"/>
              </w:rPr>
            </w:pPr>
            <w:r w:rsidRPr="00111F34">
              <w:rPr>
                <w:color w:val="auto"/>
                <w:szCs w:val="16"/>
              </w:rPr>
              <w:t xml:space="preserve">V rámci realizace </w:t>
            </w:r>
            <w:r w:rsidR="002C3260" w:rsidRPr="00111F34">
              <w:rPr>
                <w:color w:val="auto"/>
                <w:szCs w:val="16"/>
              </w:rPr>
              <w:t>změny</w:t>
            </w:r>
            <w:r w:rsidR="003A554A" w:rsidRPr="00111F34">
              <w:rPr>
                <w:color w:val="auto"/>
                <w:szCs w:val="16"/>
              </w:rPr>
              <w:t>,</w:t>
            </w:r>
            <w:r w:rsidRPr="00111F34">
              <w:rPr>
                <w:color w:val="auto"/>
                <w:szCs w:val="16"/>
              </w:rPr>
              <w:t xml:space="preserve"> resp. </w:t>
            </w:r>
            <w:r w:rsidR="002C3260" w:rsidRPr="00111F34">
              <w:rPr>
                <w:color w:val="auto"/>
                <w:szCs w:val="16"/>
              </w:rPr>
              <w:t>souvisejících změn</w:t>
            </w:r>
            <w:r w:rsidRPr="00111F34">
              <w:rPr>
                <w:color w:val="auto"/>
                <w:szCs w:val="16"/>
              </w:rPr>
              <w:t>, lze očekávat vznik nových</w:t>
            </w:r>
            <w:r w:rsidR="003A554A" w:rsidRPr="00111F34">
              <w:rPr>
                <w:color w:val="auto"/>
                <w:szCs w:val="16"/>
              </w:rPr>
              <w:t>,</w:t>
            </w:r>
            <w:r w:rsidRPr="00111F34">
              <w:rPr>
                <w:color w:val="auto"/>
                <w:szCs w:val="16"/>
              </w:rPr>
              <w:t xml:space="preserve"> resp. revitalizaci stávajících veřejných prostr</w:t>
            </w:r>
            <w:r w:rsidR="002C3260" w:rsidRPr="00111F34">
              <w:rPr>
                <w:color w:val="auto"/>
                <w:szCs w:val="16"/>
              </w:rPr>
              <w:t>anství</w:t>
            </w:r>
            <w:r w:rsidRPr="00111F34">
              <w:rPr>
                <w:color w:val="auto"/>
                <w:szCs w:val="16"/>
              </w:rPr>
              <w:t>.</w:t>
            </w:r>
          </w:p>
        </w:tc>
      </w:tr>
      <w:tr w:rsidR="00746682" w:rsidRPr="00111F34" w14:paraId="0F5AE7EE" w14:textId="77777777" w:rsidTr="0016566E">
        <w:trPr>
          <w:trHeight w:val="139"/>
        </w:trPr>
        <w:tc>
          <w:tcPr>
            <w:tcW w:w="2427" w:type="pct"/>
            <w:tcBorders>
              <w:top w:val="nil"/>
              <w:left w:val="single" w:sz="4" w:space="0" w:color="auto"/>
              <w:bottom w:val="single" w:sz="4" w:space="0" w:color="auto"/>
              <w:right w:val="single" w:sz="4" w:space="0" w:color="auto"/>
            </w:tcBorders>
            <w:shd w:val="clear" w:color="auto" w:fill="auto"/>
          </w:tcPr>
          <w:p w14:paraId="26C55465" w14:textId="77777777" w:rsidR="00746682" w:rsidRPr="00111F34" w:rsidRDefault="00746682" w:rsidP="00746682">
            <w:pPr>
              <w:pStyle w:val="Odrky1"/>
              <w:spacing w:before="0" w:after="0"/>
              <w:jc w:val="left"/>
              <w:rPr>
                <w:sz w:val="16"/>
                <w:szCs w:val="16"/>
              </w:rPr>
            </w:pPr>
            <w:r w:rsidRPr="00111F34">
              <w:rPr>
                <w:sz w:val="16"/>
              </w:rPr>
              <w:t>i.03.2.01 Zlepšování propojení tras pro pohyb ve městě</w:t>
            </w:r>
          </w:p>
        </w:tc>
        <w:tc>
          <w:tcPr>
            <w:tcW w:w="443" w:type="pct"/>
            <w:tcBorders>
              <w:top w:val="nil"/>
              <w:left w:val="nil"/>
              <w:bottom w:val="single" w:sz="4" w:space="0" w:color="auto"/>
              <w:right w:val="single" w:sz="4" w:space="0" w:color="auto"/>
            </w:tcBorders>
            <w:shd w:val="clear" w:color="auto" w:fill="auto"/>
            <w:noWrap/>
            <w:vAlign w:val="center"/>
            <w:hideMark/>
          </w:tcPr>
          <w:p w14:paraId="7B437151" w14:textId="3469A7DA" w:rsidR="00746682" w:rsidRPr="00111F34" w:rsidRDefault="00746682" w:rsidP="00746682">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w:t>
            </w:r>
          </w:p>
        </w:tc>
        <w:tc>
          <w:tcPr>
            <w:tcW w:w="2130" w:type="pct"/>
            <w:tcBorders>
              <w:top w:val="nil"/>
              <w:left w:val="nil"/>
              <w:bottom w:val="single" w:sz="4" w:space="0" w:color="auto"/>
              <w:right w:val="single" w:sz="4" w:space="0" w:color="auto"/>
            </w:tcBorders>
            <w:vAlign w:val="center"/>
          </w:tcPr>
          <w:p w14:paraId="655F2D54" w14:textId="7B7DC77C" w:rsidR="00746682" w:rsidRPr="00111F34" w:rsidRDefault="00746682" w:rsidP="00746682">
            <w:pPr>
              <w:pStyle w:val="Texttabulky"/>
              <w:jc w:val="center"/>
              <w:rPr>
                <w:rFonts w:cs="Arial"/>
                <w:color w:val="auto"/>
                <w:szCs w:val="16"/>
              </w:rPr>
            </w:pPr>
            <w:r w:rsidRPr="00111F34">
              <w:rPr>
                <w:rFonts w:cs="Arial"/>
                <w:color w:val="auto"/>
                <w:szCs w:val="16"/>
              </w:rPr>
              <w:t>Přímo podporuje tento indikátor.</w:t>
            </w:r>
          </w:p>
        </w:tc>
      </w:tr>
      <w:tr w:rsidR="00746682" w:rsidRPr="00111F34" w14:paraId="21AD8D8B" w14:textId="77777777" w:rsidTr="0016566E">
        <w:trPr>
          <w:trHeight w:val="147"/>
        </w:trPr>
        <w:tc>
          <w:tcPr>
            <w:tcW w:w="2427" w:type="pct"/>
            <w:tcBorders>
              <w:top w:val="nil"/>
              <w:left w:val="single" w:sz="4" w:space="0" w:color="auto"/>
              <w:bottom w:val="single" w:sz="4" w:space="0" w:color="auto"/>
              <w:right w:val="single" w:sz="4" w:space="0" w:color="auto"/>
            </w:tcBorders>
            <w:shd w:val="clear" w:color="auto" w:fill="auto"/>
          </w:tcPr>
          <w:p w14:paraId="2D8044F8" w14:textId="77777777" w:rsidR="00746682" w:rsidRPr="00111F34" w:rsidRDefault="00746682" w:rsidP="00746682">
            <w:pPr>
              <w:pStyle w:val="Odrky1"/>
              <w:spacing w:before="0" w:after="0"/>
              <w:jc w:val="left"/>
              <w:rPr>
                <w:sz w:val="16"/>
                <w:szCs w:val="16"/>
              </w:rPr>
            </w:pPr>
            <w:r w:rsidRPr="00111F34">
              <w:rPr>
                <w:sz w:val="16"/>
              </w:rPr>
              <w:t>i.03.2.04 Zajišťování a udržení přístupu k veřejným prostranstvím</w:t>
            </w:r>
          </w:p>
        </w:tc>
        <w:tc>
          <w:tcPr>
            <w:tcW w:w="443" w:type="pct"/>
            <w:tcBorders>
              <w:top w:val="nil"/>
              <w:left w:val="nil"/>
              <w:bottom w:val="single" w:sz="4" w:space="0" w:color="auto"/>
              <w:right w:val="single" w:sz="4" w:space="0" w:color="auto"/>
            </w:tcBorders>
            <w:shd w:val="clear" w:color="auto" w:fill="auto"/>
            <w:noWrap/>
            <w:vAlign w:val="center"/>
            <w:hideMark/>
          </w:tcPr>
          <w:p w14:paraId="2CE297B7" w14:textId="6CF2D01B" w:rsidR="00746682" w:rsidRPr="00111F34" w:rsidRDefault="00746682" w:rsidP="00746682">
            <w:pPr>
              <w:pStyle w:val="Texttabulky"/>
              <w:jc w:val="center"/>
              <w:rPr>
                <w:rFonts w:asciiTheme="minorHAnsi" w:hAnsiTheme="minorHAnsi" w:cstheme="minorHAnsi"/>
                <w:color w:val="auto"/>
                <w:szCs w:val="16"/>
              </w:rPr>
            </w:pPr>
            <w:r w:rsidRPr="00111F34">
              <w:rPr>
                <w:color w:val="auto"/>
                <w:szCs w:val="16"/>
              </w:rPr>
              <w:t>+</w:t>
            </w:r>
          </w:p>
        </w:tc>
        <w:tc>
          <w:tcPr>
            <w:tcW w:w="2130" w:type="pct"/>
            <w:tcBorders>
              <w:top w:val="nil"/>
              <w:left w:val="nil"/>
              <w:bottom w:val="single" w:sz="4" w:space="0" w:color="auto"/>
              <w:right w:val="single" w:sz="4" w:space="0" w:color="auto"/>
            </w:tcBorders>
            <w:vAlign w:val="center"/>
          </w:tcPr>
          <w:p w14:paraId="0BE3151C" w14:textId="33ED3075" w:rsidR="00746682" w:rsidRPr="00111F34" w:rsidRDefault="00746682" w:rsidP="00746682">
            <w:pPr>
              <w:pStyle w:val="Texttabulky"/>
              <w:jc w:val="center"/>
              <w:rPr>
                <w:rFonts w:cs="Arial"/>
                <w:color w:val="auto"/>
                <w:szCs w:val="16"/>
              </w:rPr>
            </w:pPr>
            <w:r w:rsidRPr="00111F34">
              <w:rPr>
                <w:color w:val="auto"/>
                <w:szCs w:val="16"/>
              </w:rPr>
              <w:t>V rámci realizace změny lze očekávat vznik nových</w:t>
            </w:r>
            <w:r w:rsidR="00000454" w:rsidRPr="00111F34">
              <w:rPr>
                <w:color w:val="auto"/>
                <w:szCs w:val="16"/>
              </w:rPr>
              <w:t>,</w:t>
            </w:r>
            <w:r w:rsidRPr="00111F34">
              <w:rPr>
                <w:color w:val="auto"/>
                <w:szCs w:val="16"/>
              </w:rPr>
              <w:t xml:space="preserve"> resp. revitalizaci stávajících veřejných prostranství.</w:t>
            </w:r>
          </w:p>
        </w:tc>
      </w:tr>
      <w:tr w:rsidR="00746682" w:rsidRPr="00111F34" w14:paraId="09B96C2C" w14:textId="77777777" w:rsidTr="0016566E">
        <w:trPr>
          <w:trHeight w:val="315"/>
        </w:trPr>
        <w:tc>
          <w:tcPr>
            <w:tcW w:w="2427" w:type="pct"/>
            <w:tcBorders>
              <w:top w:val="nil"/>
              <w:left w:val="single" w:sz="4" w:space="0" w:color="auto"/>
              <w:bottom w:val="single" w:sz="4" w:space="0" w:color="auto"/>
              <w:right w:val="single" w:sz="4" w:space="0" w:color="auto"/>
            </w:tcBorders>
            <w:shd w:val="clear" w:color="auto" w:fill="auto"/>
          </w:tcPr>
          <w:p w14:paraId="1A1BD415" w14:textId="77777777" w:rsidR="00746682" w:rsidRPr="00111F34" w:rsidRDefault="00746682" w:rsidP="00746682">
            <w:pPr>
              <w:pStyle w:val="Odrky1"/>
              <w:numPr>
                <w:ilvl w:val="0"/>
                <w:numId w:val="0"/>
              </w:numPr>
              <w:spacing w:before="0" w:after="0"/>
              <w:ind w:left="360" w:hanging="360"/>
              <w:jc w:val="left"/>
              <w:rPr>
                <w:b/>
                <w:sz w:val="16"/>
                <w:szCs w:val="16"/>
              </w:rPr>
            </w:pPr>
            <w:r w:rsidRPr="00111F34">
              <w:rPr>
                <w:b/>
                <w:sz w:val="16"/>
              </w:rPr>
              <w:lastRenderedPageBreak/>
              <w:t>03.3 Kvalitní využití území</w:t>
            </w:r>
          </w:p>
        </w:tc>
        <w:tc>
          <w:tcPr>
            <w:tcW w:w="443" w:type="pct"/>
            <w:tcBorders>
              <w:top w:val="nil"/>
              <w:left w:val="nil"/>
              <w:bottom w:val="single" w:sz="4" w:space="0" w:color="auto"/>
              <w:right w:val="single" w:sz="4" w:space="0" w:color="auto"/>
            </w:tcBorders>
            <w:shd w:val="clear" w:color="auto" w:fill="auto"/>
            <w:noWrap/>
            <w:vAlign w:val="center"/>
          </w:tcPr>
          <w:p w14:paraId="38A3E127" w14:textId="2C303389" w:rsidR="00746682" w:rsidRPr="00111F34" w:rsidRDefault="00746682" w:rsidP="00746682">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w:t>
            </w:r>
          </w:p>
        </w:tc>
        <w:tc>
          <w:tcPr>
            <w:tcW w:w="2130" w:type="pct"/>
            <w:tcBorders>
              <w:top w:val="nil"/>
              <w:left w:val="nil"/>
              <w:bottom w:val="single" w:sz="4" w:space="0" w:color="auto"/>
              <w:right w:val="single" w:sz="4" w:space="0" w:color="auto"/>
            </w:tcBorders>
            <w:vAlign w:val="center"/>
          </w:tcPr>
          <w:p w14:paraId="02015F80" w14:textId="3DD9297A" w:rsidR="00746682" w:rsidRPr="00111F34" w:rsidRDefault="00746682" w:rsidP="00746682">
            <w:pPr>
              <w:pStyle w:val="Texttabulky"/>
              <w:jc w:val="center"/>
              <w:rPr>
                <w:rFonts w:cs="Arial"/>
                <w:color w:val="auto"/>
                <w:szCs w:val="16"/>
              </w:rPr>
            </w:pPr>
            <w:r w:rsidRPr="00111F34">
              <w:rPr>
                <w:rFonts w:cs="Arial"/>
                <w:color w:val="auto"/>
                <w:szCs w:val="16"/>
              </w:rPr>
              <w:t>Přímo rozvíjí tento cíl.</w:t>
            </w:r>
          </w:p>
        </w:tc>
      </w:tr>
      <w:tr w:rsidR="00746682" w:rsidRPr="00111F34" w14:paraId="6189A371" w14:textId="77777777" w:rsidTr="0016566E">
        <w:trPr>
          <w:trHeight w:val="173"/>
        </w:trPr>
        <w:tc>
          <w:tcPr>
            <w:tcW w:w="2427" w:type="pct"/>
            <w:tcBorders>
              <w:top w:val="nil"/>
              <w:left w:val="single" w:sz="4" w:space="0" w:color="auto"/>
              <w:bottom w:val="single" w:sz="4" w:space="0" w:color="auto"/>
              <w:right w:val="single" w:sz="4" w:space="0" w:color="auto"/>
            </w:tcBorders>
            <w:shd w:val="clear" w:color="auto" w:fill="auto"/>
          </w:tcPr>
          <w:p w14:paraId="29779015" w14:textId="77777777" w:rsidR="00746682" w:rsidRPr="00111F34" w:rsidRDefault="00746682" w:rsidP="00746682">
            <w:pPr>
              <w:pStyle w:val="Odrky1"/>
              <w:spacing w:before="0" w:after="0"/>
              <w:jc w:val="left"/>
              <w:rPr>
                <w:i/>
                <w:sz w:val="16"/>
                <w:szCs w:val="16"/>
              </w:rPr>
            </w:pPr>
            <w:r w:rsidRPr="00111F34">
              <w:rPr>
                <w:sz w:val="16"/>
              </w:rPr>
              <w:t>i.03.3.03 Snižování podílu monofunkčních území</w:t>
            </w:r>
          </w:p>
        </w:tc>
        <w:tc>
          <w:tcPr>
            <w:tcW w:w="443" w:type="pct"/>
            <w:tcBorders>
              <w:top w:val="nil"/>
              <w:left w:val="nil"/>
              <w:bottom w:val="single" w:sz="4" w:space="0" w:color="auto"/>
              <w:right w:val="single" w:sz="4" w:space="0" w:color="auto"/>
            </w:tcBorders>
            <w:shd w:val="clear" w:color="auto" w:fill="auto"/>
            <w:noWrap/>
            <w:vAlign w:val="center"/>
          </w:tcPr>
          <w:p w14:paraId="6ADF33A8" w14:textId="0BA7FEED" w:rsidR="00746682" w:rsidRPr="00111F34" w:rsidRDefault="00746682" w:rsidP="00746682">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w:t>
            </w:r>
          </w:p>
        </w:tc>
        <w:tc>
          <w:tcPr>
            <w:tcW w:w="2130" w:type="pct"/>
            <w:tcBorders>
              <w:top w:val="nil"/>
              <w:left w:val="nil"/>
              <w:bottom w:val="single" w:sz="4" w:space="0" w:color="auto"/>
              <w:right w:val="single" w:sz="4" w:space="0" w:color="auto"/>
            </w:tcBorders>
            <w:vAlign w:val="center"/>
          </w:tcPr>
          <w:p w14:paraId="0FCDB446" w14:textId="5562495F" w:rsidR="00746682" w:rsidRPr="00111F34" w:rsidRDefault="00746682" w:rsidP="00746682">
            <w:pPr>
              <w:pStyle w:val="Texttabulky"/>
              <w:jc w:val="center"/>
              <w:rPr>
                <w:rFonts w:cs="Arial"/>
                <w:color w:val="auto"/>
                <w:szCs w:val="16"/>
              </w:rPr>
            </w:pPr>
            <w:r w:rsidRPr="00111F34">
              <w:rPr>
                <w:rFonts w:cs="Arial"/>
                <w:color w:val="auto"/>
                <w:szCs w:val="16"/>
              </w:rPr>
              <w:t>Jsou vytvářeny územní předpoklady pro využití transformačních území pro smíšené funkce.</w:t>
            </w:r>
          </w:p>
        </w:tc>
      </w:tr>
      <w:tr w:rsidR="00BA64D4" w:rsidRPr="00111F34" w14:paraId="303DFDD2" w14:textId="77777777" w:rsidTr="00BA64D4">
        <w:trPr>
          <w:trHeight w:val="247"/>
        </w:trPr>
        <w:tc>
          <w:tcPr>
            <w:tcW w:w="5000" w:type="pct"/>
            <w:gridSpan w:val="3"/>
            <w:tcBorders>
              <w:top w:val="nil"/>
              <w:left w:val="single" w:sz="4" w:space="0" w:color="auto"/>
              <w:bottom w:val="single" w:sz="4" w:space="0" w:color="auto"/>
              <w:right w:val="single" w:sz="4" w:space="0" w:color="auto"/>
            </w:tcBorders>
            <w:shd w:val="clear" w:color="auto" w:fill="FDE9D9" w:themeFill="accent6" w:themeFillTint="33"/>
            <w:vAlign w:val="center"/>
          </w:tcPr>
          <w:p w14:paraId="785000DC" w14:textId="77777777" w:rsidR="00BA64D4" w:rsidRPr="00111F34" w:rsidRDefault="00BA64D4" w:rsidP="00BA64D4">
            <w:pPr>
              <w:pStyle w:val="Texttabulky"/>
              <w:rPr>
                <w:rFonts w:cs="Arial"/>
                <w:color w:val="auto"/>
                <w:szCs w:val="16"/>
              </w:rPr>
            </w:pPr>
            <w:r w:rsidRPr="00111F34">
              <w:rPr>
                <w:b/>
                <w:color w:val="auto"/>
                <w:szCs w:val="16"/>
              </w:rPr>
              <w:t>04 VYVÁŽENÝ ROZVOJ KULTURNÍCH A URBÁNNÍCH HODNOT</w:t>
            </w:r>
          </w:p>
        </w:tc>
      </w:tr>
      <w:tr w:rsidR="00BA64D4" w:rsidRPr="00111F34" w14:paraId="00CD0126" w14:textId="77777777" w:rsidTr="0016566E">
        <w:trPr>
          <w:trHeight w:val="253"/>
        </w:trPr>
        <w:tc>
          <w:tcPr>
            <w:tcW w:w="2427" w:type="pct"/>
            <w:tcBorders>
              <w:top w:val="nil"/>
              <w:left w:val="single" w:sz="4" w:space="0" w:color="auto"/>
              <w:bottom w:val="single" w:sz="4" w:space="0" w:color="auto"/>
              <w:right w:val="single" w:sz="4" w:space="0" w:color="auto"/>
            </w:tcBorders>
            <w:shd w:val="clear" w:color="auto" w:fill="auto"/>
          </w:tcPr>
          <w:p w14:paraId="553F2B8B" w14:textId="77777777" w:rsidR="00BA64D4" w:rsidRPr="00111F34" w:rsidRDefault="00BA64D4" w:rsidP="00BA64D4">
            <w:pPr>
              <w:pStyle w:val="Odrky1"/>
              <w:numPr>
                <w:ilvl w:val="0"/>
                <w:numId w:val="0"/>
              </w:numPr>
              <w:ind w:left="360" w:hanging="360"/>
              <w:rPr>
                <w:b/>
                <w:sz w:val="16"/>
                <w:szCs w:val="16"/>
              </w:rPr>
            </w:pPr>
            <w:r w:rsidRPr="00111F34">
              <w:rPr>
                <w:b/>
                <w:sz w:val="16"/>
              </w:rPr>
              <w:t>04.1 Aktivně rozvíjet a chránit kulturní dědictví</w:t>
            </w:r>
          </w:p>
        </w:tc>
        <w:tc>
          <w:tcPr>
            <w:tcW w:w="443" w:type="pct"/>
            <w:tcBorders>
              <w:top w:val="nil"/>
              <w:left w:val="nil"/>
              <w:bottom w:val="single" w:sz="4" w:space="0" w:color="auto"/>
              <w:right w:val="single" w:sz="4" w:space="0" w:color="auto"/>
            </w:tcBorders>
            <w:shd w:val="clear" w:color="auto" w:fill="auto"/>
            <w:noWrap/>
            <w:vAlign w:val="center"/>
          </w:tcPr>
          <w:p w14:paraId="73764D8F" w14:textId="5BD3D665" w:rsidR="00BA64D4" w:rsidRPr="00111F34" w:rsidRDefault="00E928AE" w:rsidP="00BA64D4">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w:t>
            </w:r>
          </w:p>
        </w:tc>
        <w:tc>
          <w:tcPr>
            <w:tcW w:w="2130" w:type="pct"/>
            <w:tcBorders>
              <w:top w:val="nil"/>
              <w:left w:val="nil"/>
              <w:bottom w:val="single" w:sz="4" w:space="0" w:color="auto"/>
              <w:right w:val="single" w:sz="4" w:space="0" w:color="auto"/>
            </w:tcBorders>
            <w:vAlign w:val="center"/>
          </w:tcPr>
          <w:p w14:paraId="1C8A4D87" w14:textId="47D4D0C0" w:rsidR="00BA64D4" w:rsidRPr="00111F34" w:rsidRDefault="00BA64D4" w:rsidP="00BA64D4">
            <w:pPr>
              <w:pStyle w:val="Texttabulky"/>
              <w:jc w:val="center"/>
              <w:rPr>
                <w:rFonts w:cs="Arial"/>
                <w:color w:val="auto"/>
                <w:szCs w:val="16"/>
              </w:rPr>
            </w:pPr>
            <w:r w:rsidRPr="00111F34">
              <w:rPr>
                <w:rFonts w:cs="Arial"/>
                <w:color w:val="auto"/>
                <w:szCs w:val="16"/>
              </w:rPr>
              <w:t>Z hlediska posuzované ÚPD bez přímé vazby</w:t>
            </w:r>
            <w:r w:rsidR="00746682" w:rsidRPr="00111F34">
              <w:rPr>
                <w:rFonts w:cs="Arial"/>
                <w:color w:val="auto"/>
                <w:szCs w:val="16"/>
              </w:rPr>
              <w:t xml:space="preserve">, </w:t>
            </w:r>
            <w:r w:rsidR="00E928AE" w:rsidRPr="00111F34">
              <w:rPr>
                <w:rFonts w:cs="Arial"/>
                <w:color w:val="auto"/>
                <w:szCs w:val="16"/>
              </w:rPr>
              <w:t>jsou dávány územní předpoklady pro umístění tramvajové trati ve vizuálním kontextu s Viaduktem drážďanské dráhy v ulici V Podbabě, tomu je třeba přizpůsobit technické řešení stavby.</w:t>
            </w:r>
          </w:p>
        </w:tc>
      </w:tr>
      <w:tr w:rsidR="00BA64D4" w:rsidRPr="00111F34" w14:paraId="64EFFBE8" w14:textId="77777777" w:rsidTr="00BA64D4">
        <w:trPr>
          <w:trHeight w:val="282"/>
        </w:trPr>
        <w:tc>
          <w:tcPr>
            <w:tcW w:w="5000" w:type="pct"/>
            <w:gridSpan w:val="3"/>
            <w:tcBorders>
              <w:top w:val="nil"/>
              <w:left w:val="single" w:sz="4" w:space="0" w:color="auto"/>
              <w:bottom w:val="single" w:sz="4" w:space="0" w:color="auto"/>
              <w:right w:val="single" w:sz="4" w:space="0" w:color="auto"/>
            </w:tcBorders>
            <w:shd w:val="clear" w:color="auto" w:fill="FDE9D9" w:themeFill="accent6" w:themeFillTint="33"/>
            <w:vAlign w:val="center"/>
          </w:tcPr>
          <w:p w14:paraId="53B1BEC2" w14:textId="77777777" w:rsidR="00BA64D4" w:rsidRPr="00111F34" w:rsidRDefault="00BA64D4" w:rsidP="00BA64D4">
            <w:pPr>
              <w:pStyle w:val="Texttabulky"/>
              <w:rPr>
                <w:rFonts w:cs="Arial"/>
                <w:b/>
                <w:color w:val="auto"/>
                <w:szCs w:val="16"/>
              </w:rPr>
            </w:pPr>
            <w:r w:rsidRPr="00111F34">
              <w:rPr>
                <w:rFonts w:cs="Arial"/>
                <w:b/>
                <w:color w:val="auto"/>
                <w:szCs w:val="16"/>
              </w:rPr>
              <w:t>07 BEZPEČNÉ, ODOLNÉ A PŘIPRAVENÉ MĚSTO</w:t>
            </w:r>
          </w:p>
        </w:tc>
      </w:tr>
      <w:tr w:rsidR="00BA64D4" w:rsidRPr="00111F34" w14:paraId="665F5814" w14:textId="77777777" w:rsidTr="0016566E">
        <w:trPr>
          <w:trHeight w:val="412"/>
        </w:trPr>
        <w:tc>
          <w:tcPr>
            <w:tcW w:w="2427" w:type="pct"/>
            <w:tcBorders>
              <w:top w:val="nil"/>
              <w:left w:val="single" w:sz="4" w:space="0" w:color="auto"/>
              <w:bottom w:val="single" w:sz="4" w:space="0" w:color="auto"/>
              <w:right w:val="single" w:sz="4" w:space="0" w:color="auto"/>
            </w:tcBorders>
            <w:shd w:val="clear" w:color="auto" w:fill="auto"/>
          </w:tcPr>
          <w:p w14:paraId="659FDA02" w14:textId="77777777" w:rsidR="00BA64D4" w:rsidRPr="00111F34" w:rsidRDefault="00BA64D4" w:rsidP="00BA64D4">
            <w:pPr>
              <w:pStyle w:val="Odrky1"/>
              <w:numPr>
                <w:ilvl w:val="0"/>
                <w:numId w:val="0"/>
              </w:numPr>
              <w:ind w:left="360" w:hanging="360"/>
              <w:rPr>
                <w:b/>
                <w:sz w:val="16"/>
                <w:szCs w:val="16"/>
              </w:rPr>
            </w:pPr>
            <w:r w:rsidRPr="00111F34">
              <w:rPr>
                <w:b/>
                <w:sz w:val="16"/>
                <w:szCs w:val="16"/>
              </w:rPr>
              <w:t>07.1 Posilovat dostupnost a spolehlivost technické infrastruktury</w:t>
            </w:r>
          </w:p>
        </w:tc>
        <w:tc>
          <w:tcPr>
            <w:tcW w:w="443" w:type="pct"/>
            <w:tcBorders>
              <w:top w:val="nil"/>
              <w:left w:val="nil"/>
              <w:bottom w:val="single" w:sz="4" w:space="0" w:color="auto"/>
              <w:right w:val="single" w:sz="4" w:space="0" w:color="auto"/>
            </w:tcBorders>
            <w:shd w:val="clear" w:color="auto" w:fill="auto"/>
            <w:noWrap/>
            <w:vAlign w:val="center"/>
          </w:tcPr>
          <w:p w14:paraId="407B59B1" w14:textId="3A53B1FA" w:rsidR="00BA64D4" w:rsidRPr="00111F34" w:rsidRDefault="00746682" w:rsidP="00BA64D4">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w:t>
            </w:r>
          </w:p>
        </w:tc>
        <w:tc>
          <w:tcPr>
            <w:tcW w:w="2130" w:type="pct"/>
            <w:tcBorders>
              <w:top w:val="nil"/>
              <w:left w:val="nil"/>
              <w:bottom w:val="single" w:sz="4" w:space="0" w:color="auto"/>
              <w:right w:val="single" w:sz="4" w:space="0" w:color="auto"/>
            </w:tcBorders>
            <w:vAlign w:val="center"/>
          </w:tcPr>
          <w:p w14:paraId="572CA268" w14:textId="29199472" w:rsidR="00BA64D4" w:rsidRPr="00111F34" w:rsidRDefault="00746682" w:rsidP="002C3260">
            <w:pPr>
              <w:pStyle w:val="Texttabulky"/>
              <w:jc w:val="center"/>
              <w:rPr>
                <w:rFonts w:cs="Arial"/>
                <w:color w:val="auto"/>
                <w:szCs w:val="16"/>
              </w:rPr>
            </w:pPr>
            <w:r w:rsidRPr="00111F34">
              <w:rPr>
                <w:rFonts w:cs="Arial"/>
                <w:color w:val="auto"/>
                <w:szCs w:val="16"/>
              </w:rPr>
              <w:t>Vytváří územní předpoklady pro umístění technické infrastruktury</w:t>
            </w:r>
            <w:r w:rsidR="00000454" w:rsidRPr="00111F34">
              <w:rPr>
                <w:rFonts w:cs="Arial"/>
                <w:color w:val="auto"/>
                <w:szCs w:val="16"/>
              </w:rPr>
              <w:t>.</w:t>
            </w:r>
          </w:p>
        </w:tc>
      </w:tr>
      <w:tr w:rsidR="002C3260" w:rsidRPr="00111F34" w14:paraId="7560C0B8" w14:textId="77777777" w:rsidTr="0016566E">
        <w:trPr>
          <w:trHeight w:val="345"/>
        </w:trPr>
        <w:tc>
          <w:tcPr>
            <w:tcW w:w="2427" w:type="pct"/>
            <w:tcBorders>
              <w:top w:val="single" w:sz="4" w:space="0" w:color="auto"/>
              <w:left w:val="single" w:sz="4" w:space="0" w:color="auto"/>
              <w:bottom w:val="single" w:sz="4" w:space="0" w:color="auto"/>
              <w:right w:val="single" w:sz="4" w:space="0" w:color="000000"/>
            </w:tcBorders>
            <w:shd w:val="clear" w:color="auto" w:fill="auto"/>
            <w:hideMark/>
          </w:tcPr>
          <w:p w14:paraId="72C2F179" w14:textId="68D4CAA3" w:rsidR="002C3260" w:rsidRPr="00111F34" w:rsidRDefault="002C3260" w:rsidP="00BA64D4">
            <w:pPr>
              <w:pStyle w:val="Texttabulky"/>
              <w:rPr>
                <w:rFonts w:cs="Arial"/>
                <w:b/>
                <w:color w:val="auto"/>
                <w:szCs w:val="16"/>
              </w:rPr>
            </w:pPr>
            <w:r w:rsidRPr="00111F34">
              <w:rPr>
                <w:b/>
                <w:color w:val="auto"/>
                <w:szCs w:val="16"/>
              </w:rPr>
              <w:t>07.2 Rozvíjet prevenci a ochranu před živelnými katastrofami</w:t>
            </w:r>
          </w:p>
        </w:tc>
        <w:tc>
          <w:tcPr>
            <w:tcW w:w="443" w:type="pct"/>
            <w:tcBorders>
              <w:top w:val="single" w:sz="4" w:space="0" w:color="auto"/>
              <w:left w:val="single" w:sz="4" w:space="0" w:color="auto"/>
              <w:bottom w:val="single" w:sz="4" w:space="0" w:color="auto"/>
              <w:right w:val="single" w:sz="4" w:space="0" w:color="000000"/>
            </w:tcBorders>
            <w:shd w:val="clear" w:color="auto" w:fill="auto"/>
            <w:vAlign w:val="center"/>
          </w:tcPr>
          <w:p w14:paraId="3BB6929D" w14:textId="268689CC" w:rsidR="002C3260" w:rsidRPr="00111F34" w:rsidRDefault="002C3260" w:rsidP="00BA64D4">
            <w:pPr>
              <w:pStyle w:val="Texttabulky"/>
              <w:jc w:val="center"/>
              <w:rPr>
                <w:rFonts w:cs="Arial"/>
                <w:b/>
                <w:color w:val="auto"/>
                <w:szCs w:val="16"/>
              </w:rPr>
            </w:pPr>
            <w:r w:rsidRPr="00111F34">
              <w:rPr>
                <w:rFonts w:asciiTheme="minorHAnsi" w:hAnsiTheme="minorHAnsi" w:cstheme="minorHAnsi"/>
                <w:color w:val="auto"/>
                <w:szCs w:val="16"/>
              </w:rPr>
              <w:t>0</w:t>
            </w:r>
          </w:p>
        </w:tc>
        <w:tc>
          <w:tcPr>
            <w:tcW w:w="2130" w:type="pct"/>
            <w:tcBorders>
              <w:top w:val="single" w:sz="4" w:space="0" w:color="auto"/>
              <w:left w:val="single" w:sz="4" w:space="0" w:color="auto"/>
              <w:bottom w:val="single" w:sz="4" w:space="0" w:color="auto"/>
              <w:right w:val="single" w:sz="4" w:space="0" w:color="000000"/>
            </w:tcBorders>
            <w:shd w:val="clear" w:color="auto" w:fill="auto"/>
            <w:vAlign w:val="center"/>
          </w:tcPr>
          <w:p w14:paraId="66235AD6" w14:textId="34CAF585" w:rsidR="002C3260" w:rsidRPr="00111F34" w:rsidRDefault="002C3260" w:rsidP="00BA64D4">
            <w:pPr>
              <w:pStyle w:val="Texttabulky"/>
              <w:jc w:val="center"/>
              <w:rPr>
                <w:rFonts w:cs="Arial"/>
                <w:b/>
                <w:color w:val="auto"/>
                <w:szCs w:val="16"/>
              </w:rPr>
            </w:pPr>
            <w:r w:rsidRPr="00111F34">
              <w:rPr>
                <w:rFonts w:cs="Arial"/>
                <w:color w:val="auto"/>
                <w:szCs w:val="16"/>
              </w:rPr>
              <w:t>Z hlediska posuzované ÚPD bez přímé vazby.</w:t>
            </w:r>
          </w:p>
        </w:tc>
      </w:tr>
      <w:tr w:rsidR="00C61521" w:rsidRPr="00111F34" w14:paraId="5BACE24A" w14:textId="77777777" w:rsidTr="0016566E">
        <w:trPr>
          <w:trHeight w:val="479"/>
        </w:trPr>
        <w:tc>
          <w:tcPr>
            <w:tcW w:w="2427" w:type="pct"/>
            <w:tcBorders>
              <w:top w:val="nil"/>
              <w:left w:val="single" w:sz="4" w:space="0" w:color="auto"/>
              <w:bottom w:val="single" w:sz="4" w:space="0" w:color="auto"/>
              <w:right w:val="single" w:sz="4" w:space="0" w:color="auto"/>
            </w:tcBorders>
            <w:shd w:val="clear" w:color="auto" w:fill="auto"/>
          </w:tcPr>
          <w:p w14:paraId="1BCE5226" w14:textId="77777777" w:rsidR="00C61521" w:rsidRPr="00111F34" w:rsidRDefault="00C61521" w:rsidP="00BA64D4">
            <w:pPr>
              <w:pStyle w:val="Odrky1"/>
              <w:spacing w:before="0" w:after="0"/>
              <w:rPr>
                <w:sz w:val="16"/>
                <w:szCs w:val="16"/>
              </w:rPr>
            </w:pPr>
            <w:r w:rsidRPr="00111F34">
              <w:rPr>
                <w:sz w:val="16"/>
                <w:szCs w:val="16"/>
              </w:rPr>
              <w:t>i.07.2.01 Dokončení systému protipovodňové ochrany, zlepšení správy a managementu protipovodňových opatření</w:t>
            </w:r>
          </w:p>
        </w:tc>
        <w:tc>
          <w:tcPr>
            <w:tcW w:w="443" w:type="pct"/>
            <w:tcBorders>
              <w:top w:val="nil"/>
              <w:left w:val="nil"/>
              <w:bottom w:val="single" w:sz="4" w:space="0" w:color="auto"/>
              <w:right w:val="single" w:sz="4" w:space="0" w:color="auto"/>
            </w:tcBorders>
            <w:shd w:val="clear" w:color="auto" w:fill="auto"/>
            <w:noWrap/>
            <w:vAlign w:val="center"/>
            <w:hideMark/>
          </w:tcPr>
          <w:p w14:paraId="553246A8" w14:textId="254841E1" w:rsidR="00C61521" w:rsidRPr="00111F34" w:rsidRDefault="00C61521" w:rsidP="00BA64D4">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0</w:t>
            </w:r>
          </w:p>
        </w:tc>
        <w:tc>
          <w:tcPr>
            <w:tcW w:w="2130" w:type="pct"/>
            <w:tcBorders>
              <w:top w:val="nil"/>
              <w:left w:val="nil"/>
              <w:bottom w:val="single" w:sz="4" w:space="0" w:color="auto"/>
              <w:right w:val="single" w:sz="4" w:space="0" w:color="auto"/>
            </w:tcBorders>
            <w:vAlign w:val="center"/>
          </w:tcPr>
          <w:p w14:paraId="04CD867B" w14:textId="0004042F" w:rsidR="00C61521" w:rsidRPr="00111F34" w:rsidRDefault="00C61521" w:rsidP="00BA64D4">
            <w:pPr>
              <w:pStyle w:val="Texttabulky"/>
              <w:jc w:val="center"/>
              <w:rPr>
                <w:rFonts w:cs="Arial"/>
                <w:color w:val="auto"/>
                <w:szCs w:val="16"/>
              </w:rPr>
            </w:pPr>
            <w:r w:rsidRPr="00111F34">
              <w:rPr>
                <w:rFonts w:cs="Arial"/>
                <w:color w:val="auto"/>
                <w:szCs w:val="16"/>
              </w:rPr>
              <w:t>Z hlediska posuzované ÚPD bez přímé vazby.</w:t>
            </w:r>
          </w:p>
        </w:tc>
      </w:tr>
      <w:tr w:rsidR="00BA64D4" w:rsidRPr="00111F34" w14:paraId="35D65678" w14:textId="77777777" w:rsidTr="0016566E">
        <w:trPr>
          <w:trHeight w:val="327"/>
        </w:trPr>
        <w:tc>
          <w:tcPr>
            <w:tcW w:w="2427" w:type="pct"/>
            <w:tcBorders>
              <w:top w:val="nil"/>
              <w:left w:val="single" w:sz="4" w:space="0" w:color="auto"/>
              <w:bottom w:val="single" w:sz="4" w:space="0" w:color="auto"/>
              <w:right w:val="single" w:sz="4" w:space="0" w:color="auto"/>
            </w:tcBorders>
            <w:shd w:val="clear" w:color="auto" w:fill="auto"/>
          </w:tcPr>
          <w:p w14:paraId="12722746" w14:textId="77777777" w:rsidR="00BA64D4" w:rsidRPr="00111F34" w:rsidRDefault="00BA64D4" w:rsidP="00BA64D4">
            <w:pPr>
              <w:pStyle w:val="Odrky1"/>
              <w:spacing w:before="0" w:after="0"/>
              <w:rPr>
                <w:sz w:val="16"/>
                <w:szCs w:val="16"/>
              </w:rPr>
            </w:pPr>
            <w:r w:rsidRPr="00111F34">
              <w:rPr>
                <w:sz w:val="16"/>
                <w:szCs w:val="16"/>
              </w:rPr>
              <w:t>i.07.2.02 Zvyšování délky revitalizovaných úseků vodních toků a maximální zpomalení odtoku vody z krajiny i města</w:t>
            </w:r>
          </w:p>
        </w:tc>
        <w:tc>
          <w:tcPr>
            <w:tcW w:w="443" w:type="pct"/>
            <w:tcBorders>
              <w:top w:val="nil"/>
              <w:left w:val="nil"/>
              <w:bottom w:val="single" w:sz="4" w:space="0" w:color="auto"/>
              <w:right w:val="single" w:sz="4" w:space="0" w:color="auto"/>
            </w:tcBorders>
            <w:shd w:val="clear" w:color="auto" w:fill="auto"/>
            <w:noWrap/>
            <w:vAlign w:val="center"/>
          </w:tcPr>
          <w:p w14:paraId="40595B9B" w14:textId="77777777" w:rsidR="00BA64D4" w:rsidRPr="00111F34" w:rsidRDefault="00BA64D4" w:rsidP="00BA64D4">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0</w:t>
            </w:r>
          </w:p>
        </w:tc>
        <w:tc>
          <w:tcPr>
            <w:tcW w:w="2130" w:type="pct"/>
            <w:tcBorders>
              <w:top w:val="nil"/>
              <w:left w:val="nil"/>
              <w:bottom w:val="single" w:sz="4" w:space="0" w:color="auto"/>
              <w:right w:val="single" w:sz="4" w:space="0" w:color="auto"/>
            </w:tcBorders>
            <w:vAlign w:val="center"/>
          </w:tcPr>
          <w:p w14:paraId="3F1C2579" w14:textId="77777777" w:rsidR="00BA64D4" w:rsidRPr="00111F34" w:rsidRDefault="00BA64D4" w:rsidP="00BA64D4">
            <w:pPr>
              <w:pStyle w:val="Texttabulky"/>
              <w:jc w:val="center"/>
              <w:rPr>
                <w:rFonts w:cs="Arial"/>
                <w:color w:val="auto"/>
                <w:szCs w:val="16"/>
              </w:rPr>
            </w:pPr>
            <w:r w:rsidRPr="00111F34">
              <w:rPr>
                <w:rFonts w:cs="Arial"/>
                <w:color w:val="auto"/>
                <w:szCs w:val="16"/>
              </w:rPr>
              <w:t>Z hlediska posuzované ÚPD bez přímé vazby.</w:t>
            </w:r>
          </w:p>
        </w:tc>
      </w:tr>
      <w:tr w:rsidR="00C61521" w:rsidRPr="00111F34" w14:paraId="42716128" w14:textId="77777777" w:rsidTr="0016566E">
        <w:trPr>
          <w:trHeight w:val="479"/>
        </w:trPr>
        <w:tc>
          <w:tcPr>
            <w:tcW w:w="2427" w:type="pct"/>
            <w:tcBorders>
              <w:top w:val="nil"/>
              <w:left w:val="single" w:sz="4" w:space="0" w:color="auto"/>
              <w:bottom w:val="single" w:sz="4" w:space="0" w:color="auto"/>
              <w:right w:val="single" w:sz="4" w:space="0" w:color="auto"/>
            </w:tcBorders>
            <w:shd w:val="clear" w:color="auto" w:fill="auto"/>
          </w:tcPr>
          <w:p w14:paraId="7AC00651" w14:textId="77777777" w:rsidR="00C61521" w:rsidRPr="00111F34" w:rsidRDefault="00C61521" w:rsidP="00BA64D4">
            <w:pPr>
              <w:pStyle w:val="Odrky1"/>
              <w:spacing w:before="0" w:after="0"/>
              <w:rPr>
                <w:sz w:val="16"/>
                <w:szCs w:val="16"/>
              </w:rPr>
            </w:pPr>
            <w:r w:rsidRPr="00111F34">
              <w:rPr>
                <w:sz w:val="16"/>
                <w:szCs w:val="16"/>
              </w:rPr>
              <w:t>i.07.2.03 Zvyšování počtu vodních ploch, které umožňují retenci vody v krajině a snižovat tak vliv městského tepelného ostrova</w:t>
            </w:r>
          </w:p>
        </w:tc>
        <w:tc>
          <w:tcPr>
            <w:tcW w:w="443" w:type="pct"/>
            <w:tcBorders>
              <w:top w:val="nil"/>
              <w:left w:val="nil"/>
              <w:bottom w:val="single" w:sz="4" w:space="0" w:color="auto"/>
              <w:right w:val="single" w:sz="4" w:space="0" w:color="auto"/>
            </w:tcBorders>
            <w:shd w:val="clear" w:color="auto" w:fill="auto"/>
            <w:noWrap/>
            <w:vAlign w:val="center"/>
          </w:tcPr>
          <w:p w14:paraId="33BF51A1" w14:textId="5E9FACAB" w:rsidR="00C61521" w:rsidRPr="00111F34" w:rsidRDefault="00C61521" w:rsidP="00BA64D4">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0</w:t>
            </w:r>
          </w:p>
        </w:tc>
        <w:tc>
          <w:tcPr>
            <w:tcW w:w="2130" w:type="pct"/>
            <w:tcBorders>
              <w:top w:val="nil"/>
              <w:left w:val="nil"/>
              <w:bottom w:val="single" w:sz="4" w:space="0" w:color="auto"/>
              <w:right w:val="single" w:sz="4" w:space="0" w:color="auto"/>
            </w:tcBorders>
            <w:vAlign w:val="center"/>
          </w:tcPr>
          <w:p w14:paraId="4DAB5F3C" w14:textId="301F88AB" w:rsidR="00C61521" w:rsidRPr="00111F34" w:rsidRDefault="00C61521" w:rsidP="00BA64D4">
            <w:pPr>
              <w:pStyle w:val="Texttabulky"/>
              <w:jc w:val="center"/>
              <w:rPr>
                <w:rFonts w:cs="Arial"/>
                <w:color w:val="auto"/>
                <w:szCs w:val="16"/>
              </w:rPr>
            </w:pPr>
            <w:r w:rsidRPr="00111F34">
              <w:rPr>
                <w:rFonts w:cs="Arial"/>
                <w:color w:val="auto"/>
                <w:szCs w:val="16"/>
              </w:rPr>
              <w:t>Z hlediska posuzované ÚPD bez přímé vazby.</w:t>
            </w:r>
          </w:p>
        </w:tc>
      </w:tr>
      <w:tr w:rsidR="00746682" w:rsidRPr="00111F34" w14:paraId="28E013F4" w14:textId="77777777" w:rsidTr="0016566E">
        <w:trPr>
          <w:trHeight w:val="201"/>
        </w:trPr>
        <w:tc>
          <w:tcPr>
            <w:tcW w:w="2427" w:type="pct"/>
            <w:tcBorders>
              <w:top w:val="nil"/>
              <w:left w:val="single" w:sz="4" w:space="0" w:color="auto"/>
              <w:bottom w:val="single" w:sz="4" w:space="0" w:color="auto"/>
              <w:right w:val="single" w:sz="4" w:space="0" w:color="auto"/>
            </w:tcBorders>
            <w:shd w:val="clear" w:color="auto" w:fill="auto"/>
          </w:tcPr>
          <w:p w14:paraId="12A905A3" w14:textId="77777777" w:rsidR="00746682" w:rsidRPr="00111F34" w:rsidRDefault="00746682" w:rsidP="00746682">
            <w:pPr>
              <w:pStyle w:val="Odrky1"/>
              <w:numPr>
                <w:ilvl w:val="0"/>
                <w:numId w:val="0"/>
              </w:numPr>
              <w:ind w:left="360" w:hanging="360"/>
              <w:rPr>
                <w:b/>
                <w:sz w:val="16"/>
                <w:szCs w:val="16"/>
              </w:rPr>
            </w:pPr>
            <w:r w:rsidRPr="00111F34">
              <w:rPr>
                <w:b/>
                <w:sz w:val="16"/>
                <w:szCs w:val="16"/>
              </w:rPr>
              <w:t>07.3 Posilovat ochranu obyvatel a snižovat bezpečnostní hrozby</w:t>
            </w:r>
          </w:p>
        </w:tc>
        <w:tc>
          <w:tcPr>
            <w:tcW w:w="443" w:type="pct"/>
            <w:tcBorders>
              <w:top w:val="nil"/>
              <w:left w:val="nil"/>
              <w:bottom w:val="single" w:sz="4" w:space="0" w:color="auto"/>
              <w:right w:val="single" w:sz="4" w:space="0" w:color="auto"/>
            </w:tcBorders>
            <w:shd w:val="clear" w:color="auto" w:fill="auto"/>
            <w:noWrap/>
            <w:vAlign w:val="center"/>
          </w:tcPr>
          <w:p w14:paraId="794A0A57" w14:textId="314AD94C" w:rsidR="00746682" w:rsidRPr="00111F34" w:rsidRDefault="00746682" w:rsidP="00746682">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w:t>
            </w:r>
          </w:p>
        </w:tc>
        <w:tc>
          <w:tcPr>
            <w:tcW w:w="2130" w:type="pct"/>
            <w:tcBorders>
              <w:top w:val="nil"/>
              <w:left w:val="nil"/>
              <w:bottom w:val="single" w:sz="4" w:space="0" w:color="auto"/>
              <w:right w:val="single" w:sz="4" w:space="0" w:color="auto"/>
            </w:tcBorders>
            <w:vAlign w:val="center"/>
          </w:tcPr>
          <w:p w14:paraId="287B9A6D" w14:textId="0EE6AA4F" w:rsidR="00746682" w:rsidRPr="00111F34" w:rsidRDefault="00746682" w:rsidP="00746682">
            <w:pPr>
              <w:pStyle w:val="Texttabulky"/>
              <w:jc w:val="center"/>
              <w:rPr>
                <w:rFonts w:cs="Arial"/>
                <w:color w:val="auto"/>
                <w:szCs w:val="16"/>
              </w:rPr>
            </w:pPr>
            <w:r w:rsidRPr="00111F34">
              <w:rPr>
                <w:rFonts w:cs="Arial"/>
                <w:color w:val="auto"/>
                <w:szCs w:val="16"/>
              </w:rPr>
              <w:t>Přímo podporuje tento indikátor</w:t>
            </w:r>
            <w:r w:rsidR="00E928AE" w:rsidRPr="00111F34">
              <w:rPr>
                <w:rFonts w:cs="Arial"/>
                <w:color w:val="auto"/>
                <w:szCs w:val="16"/>
              </w:rPr>
              <w:t>, z hlediska transformace bývalých těžeben a zvýšení bezpečnosti dopravy</w:t>
            </w:r>
            <w:r w:rsidRPr="00111F34">
              <w:rPr>
                <w:rFonts w:cs="Arial"/>
                <w:color w:val="auto"/>
                <w:szCs w:val="16"/>
              </w:rPr>
              <w:t>.</w:t>
            </w:r>
          </w:p>
        </w:tc>
      </w:tr>
      <w:tr w:rsidR="00BA64D4" w:rsidRPr="00111F34" w14:paraId="7F8C097D" w14:textId="77777777" w:rsidTr="00BA64D4">
        <w:trPr>
          <w:trHeight w:val="201"/>
        </w:trPr>
        <w:tc>
          <w:tcPr>
            <w:tcW w:w="5000" w:type="pct"/>
            <w:gridSpan w:val="3"/>
            <w:tcBorders>
              <w:top w:val="nil"/>
              <w:left w:val="single" w:sz="4" w:space="0" w:color="auto"/>
              <w:bottom w:val="single" w:sz="4" w:space="0" w:color="auto"/>
              <w:right w:val="single" w:sz="4" w:space="0" w:color="auto"/>
            </w:tcBorders>
            <w:shd w:val="clear" w:color="auto" w:fill="FDE9D9" w:themeFill="accent6" w:themeFillTint="33"/>
          </w:tcPr>
          <w:p w14:paraId="376A2EA4" w14:textId="77777777" w:rsidR="00BA64D4" w:rsidRPr="00111F34" w:rsidRDefault="00BA64D4" w:rsidP="00BA64D4">
            <w:pPr>
              <w:pStyle w:val="Texttabulky"/>
              <w:rPr>
                <w:rFonts w:cs="Arial"/>
                <w:b/>
                <w:color w:val="auto"/>
                <w:szCs w:val="16"/>
              </w:rPr>
            </w:pPr>
            <w:r w:rsidRPr="00111F34">
              <w:rPr>
                <w:rFonts w:cs="Arial"/>
                <w:b/>
                <w:color w:val="auto"/>
                <w:szCs w:val="16"/>
              </w:rPr>
              <w:t>08 VZDĚLANÉ A INOVATIVNÍ MĚSTO</w:t>
            </w:r>
          </w:p>
        </w:tc>
      </w:tr>
      <w:tr w:rsidR="00BA64D4" w:rsidRPr="00111F34" w14:paraId="69AC3CB7" w14:textId="77777777" w:rsidTr="00BA64D4">
        <w:trPr>
          <w:trHeight w:val="201"/>
        </w:trPr>
        <w:tc>
          <w:tcPr>
            <w:tcW w:w="5000" w:type="pct"/>
            <w:gridSpan w:val="3"/>
            <w:tcBorders>
              <w:top w:val="nil"/>
              <w:left w:val="single" w:sz="4" w:space="0" w:color="auto"/>
              <w:bottom w:val="single" w:sz="4" w:space="0" w:color="auto"/>
              <w:right w:val="single" w:sz="4" w:space="0" w:color="auto"/>
            </w:tcBorders>
            <w:shd w:val="clear" w:color="auto" w:fill="FDE9D9" w:themeFill="accent6" w:themeFillTint="33"/>
          </w:tcPr>
          <w:p w14:paraId="3A54FE4A" w14:textId="77777777" w:rsidR="00BA64D4" w:rsidRPr="00111F34" w:rsidRDefault="00BA64D4" w:rsidP="00BA64D4">
            <w:pPr>
              <w:pStyle w:val="Texttabulky"/>
              <w:rPr>
                <w:rFonts w:cs="Arial"/>
                <w:b/>
                <w:color w:val="auto"/>
                <w:szCs w:val="16"/>
              </w:rPr>
            </w:pPr>
            <w:r w:rsidRPr="00111F34">
              <w:rPr>
                <w:b/>
                <w:color w:val="auto"/>
              </w:rPr>
              <w:t xml:space="preserve">09 SOCIÁLNĚ SOLIDÁRNÍ A SOUDRŽNÉ MĚSTO </w:t>
            </w:r>
          </w:p>
        </w:tc>
      </w:tr>
      <w:tr w:rsidR="00BA64D4" w:rsidRPr="00111F34" w14:paraId="597A3061" w14:textId="77777777" w:rsidTr="00BA64D4">
        <w:trPr>
          <w:trHeight w:val="201"/>
        </w:trPr>
        <w:tc>
          <w:tcPr>
            <w:tcW w:w="5000" w:type="pct"/>
            <w:gridSpan w:val="3"/>
            <w:tcBorders>
              <w:top w:val="nil"/>
              <w:left w:val="single" w:sz="4" w:space="0" w:color="auto"/>
              <w:bottom w:val="single" w:sz="4" w:space="0" w:color="auto"/>
              <w:right w:val="single" w:sz="4" w:space="0" w:color="auto"/>
            </w:tcBorders>
            <w:shd w:val="clear" w:color="auto" w:fill="FDE9D9" w:themeFill="accent6" w:themeFillTint="33"/>
          </w:tcPr>
          <w:p w14:paraId="0FA21E89" w14:textId="77777777" w:rsidR="00BA64D4" w:rsidRPr="00111F34" w:rsidRDefault="00BA64D4" w:rsidP="00BA64D4">
            <w:pPr>
              <w:pStyle w:val="Texttabulky"/>
              <w:rPr>
                <w:rFonts w:cs="Arial"/>
                <w:b/>
                <w:color w:val="auto"/>
                <w:szCs w:val="16"/>
              </w:rPr>
            </w:pPr>
            <w:r w:rsidRPr="00111F34">
              <w:rPr>
                <w:rFonts w:cs="Arial"/>
                <w:b/>
                <w:color w:val="auto"/>
                <w:szCs w:val="16"/>
              </w:rPr>
              <w:t>10 KVALITNÍ A TRANSPARENTNÍ VEŘEJNÁ SPRÁVA</w:t>
            </w:r>
          </w:p>
        </w:tc>
      </w:tr>
      <w:tr w:rsidR="00746682" w:rsidRPr="00111F34" w14:paraId="3AB3BCAB" w14:textId="77777777" w:rsidTr="0016566E">
        <w:trPr>
          <w:trHeight w:val="133"/>
        </w:trPr>
        <w:tc>
          <w:tcPr>
            <w:tcW w:w="2427" w:type="pct"/>
            <w:tcBorders>
              <w:top w:val="nil"/>
              <w:left w:val="single" w:sz="4" w:space="0" w:color="auto"/>
              <w:bottom w:val="single" w:sz="4" w:space="0" w:color="auto"/>
              <w:right w:val="single" w:sz="4" w:space="0" w:color="auto"/>
            </w:tcBorders>
            <w:shd w:val="clear" w:color="auto" w:fill="auto"/>
          </w:tcPr>
          <w:p w14:paraId="3F9EE56F" w14:textId="77777777" w:rsidR="00746682" w:rsidRPr="00111F34" w:rsidRDefault="00746682" w:rsidP="00746682">
            <w:pPr>
              <w:pStyle w:val="Odrky1"/>
              <w:numPr>
                <w:ilvl w:val="0"/>
                <w:numId w:val="0"/>
              </w:numPr>
              <w:spacing w:before="0" w:after="0"/>
              <w:ind w:left="360" w:hanging="360"/>
              <w:rPr>
                <w:b/>
                <w:sz w:val="16"/>
                <w:szCs w:val="16"/>
              </w:rPr>
            </w:pPr>
            <w:r w:rsidRPr="00111F34">
              <w:rPr>
                <w:b/>
                <w:sz w:val="16"/>
                <w:szCs w:val="16"/>
              </w:rPr>
              <w:t>10.1 Odbornost, kompetentnost a odpovědnost veřejné správy</w:t>
            </w:r>
          </w:p>
        </w:tc>
        <w:tc>
          <w:tcPr>
            <w:tcW w:w="443" w:type="pct"/>
            <w:tcBorders>
              <w:top w:val="nil"/>
              <w:left w:val="nil"/>
              <w:bottom w:val="single" w:sz="4" w:space="0" w:color="auto"/>
              <w:right w:val="single" w:sz="4" w:space="0" w:color="auto"/>
            </w:tcBorders>
            <w:shd w:val="clear" w:color="auto" w:fill="auto"/>
            <w:noWrap/>
            <w:vAlign w:val="center"/>
          </w:tcPr>
          <w:p w14:paraId="4DD4B841" w14:textId="3F1834DD" w:rsidR="00746682" w:rsidRPr="00111F34" w:rsidRDefault="00746682" w:rsidP="00746682">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w:t>
            </w:r>
          </w:p>
        </w:tc>
        <w:tc>
          <w:tcPr>
            <w:tcW w:w="2130" w:type="pct"/>
            <w:tcBorders>
              <w:top w:val="nil"/>
              <w:left w:val="nil"/>
              <w:bottom w:val="single" w:sz="4" w:space="0" w:color="auto"/>
              <w:right w:val="single" w:sz="4" w:space="0" w:color="auto"/>
            </w:tcBorders>
          </w:tcPr>
          <w:p w14:paraId="74AD62C9" w14:textId="145811B6" w:rsidR="00746682" w:rsidRPr="00111F34" w:rsidRDefault="00746682" w:rsidP="00746682">
            <w:pPr>
              <w:pStyle w:val="Texttabulky"/>
              <w:jc w:val="center"/>
              <w:rPr>
                <w:rFonts w:cs="Arial"/>
                <w:color w:val="auto"/>
                <w:szCs w:val="16"/>
              </w:rPr>
            </w:pPr>
            <w:r w:rsidRPr="00111F34">
              <w:rPr>
                <w:rFonts w:cs="Arial"/>
                <w:color w:val="auto"/>
                <w:szCs w:val="16"/>
              </w:rPr>
              <w:t>Posuzovanou ÚPD dojde k vytvoření podmínek pro realizaci strategických rozhodnutí a využití transformačních území.</w:t>
            </w:r>
          </w:p>
        </w:tc>
      </w:tr>
      <w:tr w:rsidR="00746682" w:rsidRPr="00111F34" w14:paraId="2C677869" w14:textId="77777777" w:rsidTr="0016566E">
        <w:trPr>
          <w:trHeight w:val="407"/>
        </w:trPr>
        <w:tc>
          <w:tcPr>
            <w:tcW w:w="2427" w:type="pct"/>
            <w:tcBorders>
              <w:top w:val="nil"/>
              <w:left w:val="single" w:sz="4" w:space="0" w:color="auto"/>
              <w:bottom w:val="single" w:sz="4" w:space="0" w:color="auto"/>
              <w:right w:val="single" w:sz="4" w:space="0" w:color="auto"/>
            </w:tcBorders>
            <w:shd w:val="clear" w:color="auto" w:fill="auto"/>
          </w:tcPr>
          <w:p w14:paraId="1C59CB82" w14:textId="77777777" w:rsidR="00746682" w:rsidRPr="00111F34" w:rsidRDefault="00746682" w:rsidP="00746682">
            <w:pPr>
              <w:pStyle w:val="Odrky1"/>
              <w:spacing w:before="0" w:after="0"/>
              <w:rPr>
                <w:sz w:val="16"/>
                <w:szCs w:val="16"/>
              </w:rPr>
            </w:pPr>
            <w:r w:rsidRPr="00111F34">
              <w:rPr>
                <w:sz w:val="16"/>
              </w:rPr>
              <w:t>i.10.1.01 Vytváření podmínek pro realizaci naplánované veřejné infrastruktury</w:t>
            </w:r>
          </w:p>
        </w:tc>
        <w:tc>
          <w:tcPr>
            <w:tcW w:w="443" w:type="pct"/>
            <w:tcBorders>
              <w:top w:val="nil"/>
              <w:left w:val="nil"/>
              <w:bottom w:val="single" w:sz="4" w:space="0" w:color="auto"/>
              <w:right w:val="single" w:sz="4" w:space="0" w:color="auto"/>
            </w:tcBorders>
            <w:shd w:val="clear" w:color="auto" w:fill="auto"/>
            <w:noWrap/>
            <w:vAlign w:val="center"/>
            <w:hideMark/>
          </w:tcPr>
          <w:p w14:paraId="3BE0F678" w14:textId="3B9E7415" w:rsidR="00746682" w:rsidRPr="00111F34" w:rsidRDefault="00746682" w:rsidP="00746682">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w:t>
            </w:r>
          </w:p>
        </w:tc>
        <w:tc>
          <w:tcPr>
            <w:tcW w:w="2130" w:type="pct"/>
            <w:tcBorders>
              <w:top w:val="nil"/>
              <w:left w:val="nil"/>
              <w:bottom w:val="single" w:sz="4" w:space="0" w:color="auto"/>
              <w:right w:val="single" w:sz="4" w:space="0" w:color="auto"/>
            </w:tcBorders>
          </w:tcPr>
          <w:p w14:paraId="405C34EF" w14:textId="7526BE79" w:rsidR="00746682" w:rsidRPr="00111F34" w:rsidRDefault="00746682" w:rsidP="00746682">
            <w:pPr>
              <w:pStyle w:val="Texttabulky"/>
              <w:jc w:val="center"/>
              <w:rPr>
                <w:rFonts w:cs="Arial"/>
                <w:color w:val="auto"/>
                <w:szCs w:val="16"/>
              </w:rPr>
            </w:pPr>
            <w:r w:rsidRPr="00111F34">
              <w:rPr>
                <w:rFonts w:cs="Arial"/>
                <w:color w:val="auto"/>
                <w:szCs w:val="16"/>
              </w:rPr>
              <w:t>Posuzovanou ÚPD dojde k vytvoření podmínek pro realizaci strategických rozhodnutí a využití transformačních území</w:t>
            </w:r>
            <w:r w:rsidR="0046547C" w:rsidRPr="00111F34">
              <w:rPr>
                <w:rFonts w:cs="Arial"/>
                <w:color w:val="auto"/>
                <w:szCs w:val="16"/>
              </w:rPr>
              <w:t xml:space="preserve"> a realizaci veřejné infrastruktury</w:t>
            </w:r>
            <w:r w:rsidRPr="00111F34">
              <w:rPr>
                <w:rFonts w:cs="Arial"/>
                <w:color w:val="auto"/>
                <w:szCs w:val="16"/>
              </w:rPr>
              <w:t>.</w:t>
            </w:r>
          </w:p>
        </w:tc>
      </w:tr>
      <w:tr w:rsidR="0046547C" w:rsidRPr="00111F34" w14:paraId="74EC50F8" w14:textId="77777777" w:rsidTr="0016566E">
        <w:trPr>
          <w:trHeight w:val="157"/>
        </w:trPr>
        <w:tc>
          <w:tcPr>
            <w:tcW w:w="2427" w:type="pct"/>
            <w:tcBorders>
              <w:top w:val="nil"/>
              <w:left w:val="single" w:sz="4" w:space="0" w:color="auto"/>
              <w:bottom w:val="single" w:sz="4" w:space="0" w:color="auto"/>
              <w:right w:val="single" w:sz="4" w:space="0" w:color="auto"/>
            </w:tcBorders>
            <w:shd w:val="clear" w:color="auto" w:fill="auto"/>
          </w:tcPr>
          <w:p w14:paraId="188327D8" w14:textId="77777777" w:rsidR="0046547C" w:rsidRPr="00111F34" w:rsidRDefault="0046547C">
            <w:pPr>
              <w:pStyle w:val="Odrky1"/>
              <w:numPr>
                <w:ilvl w:val="0"/>
                <w:numId w:val="32"/>
              </w:numPr>
              <w:spacing w:before="0" w:after="0"/>
              <w:ind w:left="360"/>
              <w:jc w:val="left"/>
              <w:rPr>
                <w:b/>
                <w:sz w:val="16"/>
                <w:szCs w:val="16"/>
              </w:rPr>
            </w:pPr>
            <w:r w:rsidRPr="00111F34">
              <w:rPr>
                <w:sz w:val="16"/>
              </w:rPr>
              <w:t>i.10.1.04 Pořizování kvalitních podrobnějších územně plánovacích dokumentů jako podklad pro územní rozhodování</w:t>
            </w:r>
          </w:p>
        </w:tc>
        <w:tc>
          <w:tcPr>
            <w:tcW w:w="443" w:type="pct"/>
            <w:tcBorders>
              <w:top w:val="nil"/>
              <w:left w:val="nil"/>
              <w:bottom w:val="single" w:sz="4" w:space="0" w:color="auto"/>
              <w:right w:val="single" w:sz="4" w:space="0" w:color="auto"/>
            </w:tcBorders>
            <w:shd w:val="clear" w:color="auto" w:fill="auto"/>
            <w:noWrap/>
            <w:vAlign w:val="center"/>
            <w:hideMark/>
          </w:tcPr>
          <w:p w14:paraId="7A9C38D2" w14:textId="37E0FB6F" w:rsidR="0046547C" w:rsidRPr="00111F34" w:rsidRDefault="0046547C" w:rsidP="0046547C">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w:t>
            </w:r>
          </w:p>
        </w:tc>
        <w:tc>
          <w:tcPr>
            <w:tcW w:w="2130" w:type="pct"/>
            <w:tcBorders>
              <w:top w:val="nil"/>
              <w:left w:val="nil"/>
              <w:bottom w:val="single" w:sz="4" w:space="0" w:color="auto"/>
              <w:right w:val="single" w:sz="4" w:space="0" w:color="auto"/>
            </w:tcBorders>
          </w:tcPr>
          <w:p w14:paraId="563CC8B3" w14:textId="13E2F366" w:rsidR="0046547C" w:rsidRPr="00111F34" w:rsidRDefault="0046547C" w:rsidP="0046547C">
            <w:pPr>
              <w:pStyle w:val="Texttabulky"/>
              <w:jc w:val="center"/>
              <w:rPr>
                <w:rFonts w:cs="Arial"/>
                <w:color w:val="auto"/>
                <w:szCs w:val="16"/>
              </w:rPr>
            </w:pPr>
            <w:r w:rsidRPr="00111F34">
              <w:rPr>
                <w:rFonts w:cs="Arial"/>
                <w:color w:val="auto"/>
                <w:szCs w:val="16"/>
              </w:rPr>
              <w:t>Posuzovanou ÚPD dojde k vytvoření podmínek pro realizaci strategických rozhodnutí a využití transformačních území a realizaci veřejné infrastruktury.</w:t>
            </w:r>
          </w:p>
        </w:tc>
      </w:tr>
      <w:tr w:rsidR="00BA64D4" w:rsidRPr="00111F34" w14:paraId="5F5F92DD" w14:textId="77777777" w:rsidTr="00BA64D4">
        <w:trPr>
          <w:trHeight w:val="274"/>
        </w:trPr>
        <w:tc>
          <w:tcPr>
            <w:tcW w:w="5000" w:type="pct"/>
            <w:gridSpan w:val="3"/>
            <w:tcBorders>
              <w:top w:val="nil"/>
              <w:left w:val="single" w:sz="4" w:space="0" w:color="auto"/>
              <w:bottom w:val="single" w:sz="4" w:space="0" w:color="auto"/>
              <w:right w:val="single" w:sz="4" w:space="0" w:color="auto"/>
            </w:tcBorders>
            <w:shd w:val="clear" w:color="auto" w:fill="FDE9D9" w:themeFill="accent6" w:themeFillTint="33"/>
            <w:vAlign w:val="center"/>
          </w:tcPr>
          <w:p w14:paraId="28EB210C" w14:textId="77777777" w:rsidR="00BA64D4" w:rsidRPr="00111F34" w:rsidRDefault="00BA64D4" w:rsidP="00BA64D4">
            <w:pPr>
              <w:pStyle w:val="Texttabulky"/>
              <w:rPr>
                <w:rFonts w:cs="Arial"/>
                <w:b/>
                <w:color w:val="auto"/>
                <w:szCs w:val="16"/>
              </w:rPr>
            </w:pPr>
            <w:r w:rsidRPr="00111F34">
              <w:rPr>
                <w:rFonts w:cs="Arial"/>
                <w:b/>
                <w:color w:val="auto"/>
                <w:szCs w:val="16"/>
              </w:rPr>
              <w:t>11 SPOKOJENOST A ANGAŽOVANOST OBYVATEL</w:t>
            </w:r>
          </w:p>
        </w:tc>
      </w:tr>
    </w:tbl>
    <w:p w14:paraId="550455BC" w14:textId="77777777" w:rsidR="00603FDE" w:rsidRPr="00111F34" w:rsidRDefault="00603FDE" w:rsidP="00603FDE">
      <w:pPr>
        <w:pStyle w:val="Nadpis2"/>
      </w:pPr>
      <w:bookmarkStart w:id="370" w:name="_Toc84595770"/>
      <w:bookmarkStart w:id="371" w:name="_Toc138848153"/>
      <w:r w:rsidRPr="00111F34">
        <w:t>Vliv na sledované cíle a indikátory v oblasti ekonomického pilíře udržitelného rozvoje</w:t>
      </w:r>
      <w:bookmarkEnd w:id="370"/>
      <w:bookmarkEnd w:id="371"/>
    </w:p>
    <w:p w14:paraId="2259F3F3" w14:textId="77777777" w:rsidR="00603FDE" w:rsidRPr="00111F34" w:rsidRDefault="00603FDE" w:rsidP="00603FDE">
      <w:r w:rsidRPr="00111F34">
        <w:t xml:space="preserve">Vybrané, vůči navrhované ÚPD, relevantní cíle a sledované indikátory zjištěné v rozboru udržitelného rozvoje ÚAP Praha, které reprezentují žádoucí trendy v oblasti ekonomického rozvoje města. V rámci rozboru udržitelného rozvoje ÚAP Prahy 2020 byly vyhodnoceny vůči posuzované změně ÚPD pomocí jednoduché symboliky, která v tomto případě vyjadřuje, do jaké míry může změna přispět k naplňování sledovaných cílů. </w:t>
      </w:r>
    </w:p>
    <w:p w14:paraId="6FF08545" w14:textId="77777777" w:rsidR="00603FDE" w:rsidRPr="00111F34" w:rsidRDefault="00603FDE" w:rsidP="00603FDE">
      <w:pPr>
        <w:ind w:left="1440" w:hanging="720"/>
      </w:pPr>
      <w:r w:rsidRPr="00111F34">
        <w:t xml:space="preserve">+ </w:t>
      </w:r>
      <w:r w:rsidRPr="00111F34">
        <w:tab/>
        <w:t>Řešení předkládané změny ÚPD má pozitivní vazbu na sledované cíle a indikátory.</w:t>
      </w:r>
    </w:p>
    <w:p w14:paraId="793599A8" w14:textId="77777777" w:rsidR="00603FDE" w:rsidRPr="00111F34" w:rsidRDefault="00603FDE" w:rsidP="00603FDE">
      <w:pPr>
        <w:ind w:left="1440" w:hanging="720"/>
      </w:pPr>
      <w:r w:rsidRPr="00111F34">
        <w:t xml:space="preserve">0 </w:t>
      </w:r>
      <w:r w:rsidRPr="00111F34">
        <w:tab/>
        <w:t>Řešení předkládané změny ÚPD nemá na sledované cíle a indikátory žádný vliv (sledovaný cíl/indikátor není z hlediska posuzované ÚPD relevantní).</w:t>
      </w:r>
    </w:p>
    <w:p w14:paraId="1854A9F6" w14:textId="65CCFE94" w:rsidR="00603FDE" w:rsidRPr="00111F34" w:rsidRDefault="00603FDE" w:rsidP="00603FDE">
      <w:pPr>
        <w:pStyle w:val="Odstavecseseznamem"/>
        <w:numPr>
          <w:ilvl w:val="0"/>
          <w:numId w:val="11"/>
        </w:numPr>
        <w:ind w:left="1418" w:hanging="698"/>
      </w:pPr>
      <w:r w:rsidRPr="00111F34">
        <w:t>Řešení předkládané změny má negativní vazbu na sledované cíle a indikátory, posuzovaná ÚPD působí proti sledovanému cíli, je třeba přijmout opatření pro zamezení negativních vlivů na environmentální pilíř udržitelného rozvoje.</w:t>
      </w:r>
    </w:p>
    <w:p w14:paraId="044F5C25" w14:textId="36664293" w:rsidR="00914EF6" w:rsidRPr="00111F34" w:rsidRDefault="00914EF6" w:rsidP="00914EF6"/>
    <w:p w14:paraId="0C14C298" w14:textId="3CE4E11A" w:rsidR="00914EF6" w:rsidRPr="00111F34" w:rsidRDefault="00914EF6" w:rsidP="00914EF6"/>
    <w:p w14:paraId="339C75EB" w14:textId="5D290FCA" w:rsidR="00914EF6" w:rsidRPr="00111F34" w:rsidRDefault="00914EF6" w:rsidP="00914EF6"/>
    <w:p w14:paraId="0B4FA302" w14:textId="4CB8CC22" w:rsidR="00914EF6" w:rsidRPr="00111F34" w:rsidRDefault="00914EF6" w:rsidP="00914EF6"/>
    <w:p w14:paraId="0308F373" w14:textId="77777777" w:rsidR="00603FDE" w:rsidRPr="00111F34" w:rsidRDefault="00603FDE" w:rsidP="00603FDE">
      <w:pPr>
        <w:pStyle w:val="Tabulkanzev"/>
      </w:pPr>
      <w:bookmarkStart w:id="372" w:name="_Toc89073098"/>
      <w:bookmarkStart w:id="373" w:name="_Toc138848182"/>
      <w:r w:rsidRPr="00111F34">
        <w:lastRenderedPageBreak/>
        <w:t>Vliv na naplňování vybraných cílů a indikátorů v oblasti ekonomického pilíře dle ÚAP nástroji územního plánování promítnutými v posuzované ÚPD</w:t>
      </w:r>
      <w:bookmarkEnd w:id="372"/>
      <w:bookmarkEnd w:id="373"/>
      <w:r w:rsidRPr="00111F34">
        <w:t xml:space="preserve"> </w:t>
      </w:r>
    </w:p>
    <w:tbl>
      <w:tblPr>
        <w:tblW w:w="5000" w:type="pct"/>
        <w:tblCellMar>
          <w:left w:w="28" w:type="dxa"/>
          <w:right w:w="28" w:type="dxa"/>
        </w:tblCellMar>
        <w:tblLook w:val="04A0" w:firstRow="1" w:lastRow="0" w:firstColumn="1" w:lastColumn="0" w:noHBand="0" w:noVBand="1"/>
      </w:tblPr>
      <w:tblGrid>
        <w:gridCol w:w="4804"/>
        <w:gridCol w:w="733"/>
        <w:gridCol w:w="4091"/>
      </w:tblGrid>
      <w:tr w:rsidR="00C61521" w:rsidRPr="00111F34" w14:paraId="5A2D6A12" w14:textId="77777777" w:rsidTr="0016566E">
        <w:trPr>
          <w:cantSplit/>
          <w:trHeight w:val="448"/>
          <w:tblHeader/>
        </w:trPr>
        <w:tc>
          <w:tcPr>
            <w:tcW w:w="2501" w:type="pct"/>
            <w:tcBorders>
              <w:top w:val="single" w:sz="4" w:space="0" w:color="auto"/>
              <w:left w:val="single" w:sz="4" w:space="0" w:color="auto"/>
              <w:bottom w:val="single" w:sz="4" w:space="0" w:color="auto"/>
              <w:right w:val="single" w:sz="4" w:space="0" w:color="auto"/>
            </w:tcBorders>
            <w:shd w:val="clear" w:color="auto" w:fill="233845"/>
            <w:vAlign w:val="center"/>
            <w:hideMark/>
          </w:tcPr>
          <w:p w14:paraId="182B5E6F" w14:textId="77777777" w:rsidR="00C61521" w:rsidRPr="00111F34" w:rsidRDefault="00C61521" w:rsidP="00433A80">
            <w:pPr>
              <w:pStyle w:val="Texttabulky"/>
              <w:jc w:val="center"/>
              <w:rPr>
                <w:b/>
                <w:color w:val="auto"/>
                <w:szCs w:val="16"/>
              </w:rPr>
            </w:pPr>
            <w:r w:rsidRPr="00111F34">
              <w:rPr>
                <w:b/>
                <w:color w:val="auto"/>
                <w:szCs w:val="16"/>
              </w:rPr>
              <w:t>Vliv posuzované ÚPD na naplňování relevantních</w:t>
            </w:r>
            <w:r w:rsidRPr="00111F34">
              <w:rPr>
                <w:rStyle w:val="Znakapoznpodarou"/>
                <w:b/>
                <w:color w:val="auto"/>
                <w:szCs w:val="16"/>
              </w:rPr>
              <w:footnoteReference w:id="18"/>
            </w:r>
            <w:r w:rsidRPr="00111F34">
              <w:rPr>
                <w:b/>
                <w:color w:val="auto"/>
                <w:szCs w:val="16"/>
              </w:rPr>
              <w:t xml:space="preserve"> cílů reprezentovaných indikátory v oblasti ekonomického pilíře nástroji územního plánování</w:t>
            </w:r>
            <w:r w:rsidRPr="00111F34">
              <w:rPr>
                <w:rStyle w:val="Znakapoznpodarou"/>
                <w:b/>
                <w:color w:val="auto"/>
                <w:szCs w:val="16"/>
              </w:rPr>
              <w:footnoteReference w:id="19"/>
            </w:r>
          </w:p>
        </w:tc>
        <w:tc>
          <w:tcPr>
            <w:tcW w:w="369" w:type="pct"/>
            <w:tcBorders>
              <w:top w:val="single" w:sz="4" w:space="0" w:color="auto"/>
              <w:left w:val="single" w:sz="4" w:space="0" w:color="auto"/>
              <w:bottom w:val="single" w:sz="4" w:space="0" w:color="auto"/>
              <w:right w:val="single" w:sz="4" w:space="0" w:color="auto"/>
            </w:tcBorders>
            <w:shd w:val="clear" w:color="auto" w:fill="233845"/>
            <w:noWrap/>
            <w:vAlign w:val="center"/>
            <w:hideMark/>
          </w:tcPr>
          <w:p w14:paraId="52D28AB6" w14:textId="3BD6D109" w:rsidR="00C61521" w:rsidRPr="00111F34" w:rsidRDefault="00F80CDD" w:rsidP="00433A80">
            <w:pPr>
              <w:pStyle w:val="Texttabulky"/>
              <w:jc w:val="center"/>
              <w:rPr>
                <w:b/>
                <w:color w:val="auto"/>
                <w:szCs w:val="16"/>
              </w:rPr>
            </w:pPr>
            <w:r w:rsidRPr="00111F34">
              <w:rPr>
                <w:b/>
                <w:color w:val="auto"/>
                <w:szCs w:val="16"/>
              </w:rPr>
              <w:t>Z</w:t>
            </w:r>
            <w:r w:rsidR="001663EA" w:rsidRPr="00111F34">
              <w:rPr>
                <w:b/>
                <w:color w:val="auto"/>
                <w:szCs w:val="16"/>
              </w:rPr>
              <w:t>3827</w:t>
            </w:r>
            <w:r w:rsidRPr="00111F34">
              <w:rPr>
                <w:b/>
                <w:color w:val="auto"/>
                <w:szCs w:val="16"/>
              </w:rPr>
              <w:t>/00</w:t>
            </w:r>
          </w:p>
        </w:tc>
        <w:tc>
          <w:tcPr>
            <w:tcW w:w="2130" w:type="pct"/>
            <w:tcBorders>
              <w:top w:val="single" w:sz="4" w:space="0" w:color="auto"/>
              <w:left w:val="single" w:sz="4" w:space="0" w:color="auto"/>
              <w:bottom w:val="single" w:sz="4" w:space="0" w:color="auto"/>
              <w:right w:val="single" w:sz="4" w:space="0" w:color="auto"/>
            </w:tcBorders>
            <w:shd w:val="clear" w:color="auto" w:fill="233845"/>
            <w:vAlign w:val="center"/>
          </w:tcPr>
          <w:p w14:paraId="72203F68" w14:textId="77777777" w:rsidR="00C61521" w:rsidRPr="00111F34" w:rsidRDefault="00C61521" w:rsidP="00433A80">
            <w:pPr>
              <w:pStyle w:val="Texttabulky"/>
              <w:jc w:val="center"/>
              <w:rPr>
                <w:b/>
                <w:color w:val="auto"/>
                <w:szCs w:val="16"/>
              </w:rPr>
            </w:pPr>
            <w:r w:rsidRPr="00111F34">
              <w:rPr>
                <w:b/>
                <w:color w:val="auto"/>
                <w:szCs w:val="16"/>
              </w:rPr>
              <w:t>Komentář</w:t>
            </w:r>
          </w:p>
        </w:tc>
      </w:tr>
      <w:tr w:rsidR="00C61521" w:rsidRPr="00111F34" w14:paraId="2D22467E" w14:textId="77777777" w:rsidTr="00BD7256">
        <w:trPr>
          <w:cantSplit/>
          <w:trHeight w:val="285"/>
          <w:tblHeader/>
        </w:trPr>
        <w:tc>
          <w:tcPr>
            <w:tcW w:w="5000" w:type="pct"/>
            <w:gridSpan w:val="3"/>
            <w:tcBorders>
              <w:top w:val="single" w:sz="4" w:space="0" w:color="auto"/>
              <w:left w:val="single" w:sz="4" w:space="0" w:color="auto"/>
              <w:bottom w:val="single" w:sz="4" w:space="0" w:color="auto"/>
              <w:right w:val="single" w:sz="4" w:space="0" w:color="000000"/>
            </w:tcBorders>
            <w:shd w:val="clear" w:color="auto" w:fill="E5DFEC" w:themeFill="accent4" w:themeFillTint="33"/>
            <w:vAlign w:val="center"/>
            <w:hideMark/>
          </w:tcPr>
          <w:p w14:paraId="1B4B26F5" w14:textId="77777777" w:rsidR="00C61521" w:rsidRPr="00111F34" w:rsidRDefault="00C61521" w:rsidP="00433A80">
            <w:pPr>
              <w:pStyle w:val="Texttabulky"/>
              <w:rPr>
                <w:b/>
                <w:color w:val="auto"/>
                <w:szCs w:val="16"/>
              </w:rPr>
            </w:pPr>
            <w:r w:rsidRPr="00111F34">
              <w:rPr>
                <w:b/>
                <w:color w:val="auto"/>
              </w:rPr>
              <w:t>05 ATRAKTIVNÍ A KONKURENCESCHOPNÉ MĚSTO</w:t>
            </w:r>
          </w:p>
        </w:tc>
      </w:tr>
      <w:tr w:rsidR="0046547C" w:rsidRPr="00111F34" w14:paraId="6A5B3A1E" w14:textId="77777777" w:rsidTr="00BD7256">
        <w:trPr>
          <w:cantSplit/>
          <w:trHeight w:val="285"/>
          <w:tblHeader/>
        </w:trPr>
        <w:tc>
          <w:tcPr>
            <w:tcW w:w="2501" w:type="pct"/>
            <w:tcBorders>
              <w:top w:val="single" w:sz="4" w:space="0" w:color="auto"/>
              <w:left w:val="single" w:sz="4" w:space="0" w:color="auto"/>
              <w:bottom w:val="single" w:sz="4" w:space="0" w:color="auto"/>
              <w:right w:val="single" w:sz="4" w:space="0" w:color="000000"/>
            </w:tcBorders>
            <w:shd w:val="clear" w:color="auto" w:fill="auto"/>
          </w:tcPr>
          <w:p w14:paraId="16F7202D" w14:textId="77777777" w:rsidR="0046547C" w:rsidRPr="00111F34" w:rsidRDefault="0046547C" w:rsidP="0046547C">
            <w:pPr>
              <w:pStyle w:val="Texttabulky"/>
              <w:rPr>
                <w:b/>
                <w:color w:val="auto"/>
                <w:szCs w:val="16"/>
              </w:rPr>
            </w:pPr>
            <w:r w:rsidRPr="00111F34">
              <w:rPr>
                <w:b/>
                <w:color w:val="auto"/>
              </w:rPr>
              <w:t>05.1 Příznivé podnikatelské prostředí</w:t>
            </w:r>
          </w:p>
        </w:tc>
        <w:tc>
          <w:tcPr>
            <w:tcW w:w="369" w:type="pct"/>
            <w:tcBorders>
              <w:top w:val="single" w:sz="4" w:space="0" w:color="auto"/>
              <w:left w:val="single" w:sz="4" w:space="0" w:color="auto"/>
              <w:bottom w:val="single" w:sz="4" w:space="0" w:color="auto"/>
              <w:right w:val="single" w:sz="4" w:space="0" w:color="000000"/>
            </w:tcBorders>
            <w:shd w:val="clear" w:color="auto" w:fill="auto"/>
            <w:vAlign w:val="center"/>
          </w:tcPr>
          <w:p w14:paraId="219A0E01" w14:textId="7D39BC38" w:rsidR="0046547C" w:rsidRPr="00111F34" w:rsidRDefault="0046547C" w:rsidP="0046547C">
            <w:pPr>
              <w:pStyle w:val="Texttabulky"/>
              <w:jc w:val="center"/>
              <w:rPr>
                <w:b/>
                <w:color w:val="auto"/>
                <w:szCs w:val="16"/>
              </w:rPr>
            </w:pPr>
            <w:r w:rsidRPr="00111F34">
              <w:rPr>
                <w:rFonts w:asciiTheme="minorHAnsi" w:hAnsiTheme="minorHAnsi" w:cstheme="minorHAnsi"/>
                <w:color w:val="auto"/>
                <w:szCs w:val="16"/>
              </w:rPr>
              <w:t>+</w:t>
            </w:r>
          </w:p>
        </w:tc>
        <w:tc>
          <w:tcPr>
            <w:tcW w:w="2130" w:type="pct"/>
            <w:tcBorders>
              <w:top w:val="single" w:sz="4" w:space="0" w:color="auto"/>
              <w:left w:val="single" w:sz="4" w:space="0" w:color="auto"/>
              <w:bottom w:val="single" w:sz="4" w:space="0" w:color="auto"/>
              <w:right w:val="single" w:sz="4" w:space="0" w:color="000000"/>
            </w:tcBorders>
            <w:shd w:val="clear" w:color="auto" w:fill="auto"/>
            <w:vAlign w:val="center"/>
          </w:tcPr>
          <w:p w14:paraId="2E1803EC" w14:textId="56162EA3" w:rsidR="0046547C" w:rsidRPr="00111F34" w:rsidRDefault="0046547C" w:rsidP="0046547C">
            <w:pPr>
              <w:pStyle w:val="Texttabulky"/>
              <w:jc w:val="center"/>
              <w:rPr>
                <w:b/>
                <w:color w:val="auto"/>
                <w:szCs w:val="16"/>
              </w:rPr>
            </w:pPr>
            <w:r w:rsidRPr="00111F34">
              <w:rPr>
                <w:rFonts w:cs="Arial"/>
                <w:color w:val="auto"/>
                <w:szCs w:val="16"/>
              </w:rPr>
              <w:t>Jsou vytvářeny územní předpoklady pro využití transformačních území pro smíšené funkce.</w:t>
            </w:r>
          </w:p>
        </w:tc>
      </w:tr>
      <w:tr w:rsidR="0046547C" w:rsidRPr="00111F34" w14:paraId="03D6EDFA" w14:textId="77777777" w:rsidTr="00BD7256">
        <w:trPr>
          <w:cantSplit/>
          <w:trHeight w:val="285"/>
          <w:tblHeader/>
        </w:trPr>
        <w:tc>
          <w:tcPr>
            <w:tcW w:w="2501" w:type="pct"/>
            <w:tcBorders>
              <w:top w:val="single" w:sz="4" w:space="0" w:color="auto"/>
              <w:left w:val="single" w:sz="4" w:space="0" w:color="auto"/>
              <w:bottom w:val="single" w:sz="4" w:space="0" w:color="auto"/>
              <w:right w:val="single" w:sz="4" w:space="0" w:color="000000"/>
            </w:tcBorders>
            <w:shd w:val="clear" w:color="auto" w:fill="auto"/>
          </w:tcPr>
          <w:p w14:paraId="48D17261" w14:textId="77777777" w:rsidR="0046547C" w:rsidRPr="00111F34" w:rsidRDefault="0046547C" w:rsidP="0046547C">
            <w:pPr>
              <w:pStyle w:val="Texttabulky"/>
              <w:rPr>
                <w:b/>
                <w:color w:val="auto"/>
                <w:szCs w:val="16"/>
              </w:rPr>
            </w:pPr>
            <w:r w:rsidRPr="00111F34">
              <w:rPr>
                <w:b/>
                <w:color w:val="auto"/>
              </w:rPr>
              <w:t>05.2 Podpora inovace a konkurenceschopnosti</w:t>
            </w:r>
          </w:p>
        </w:tc>
        <w:tc>
          <w:tcPr>
            <w:tcW w:w="369" w:type="pct"/>
            <w:tcBorders>
              <w:top w:val="single" w:sz="4" w:space="0" w:color="auto"/>
              <w:left w:val="single" w:sz="4" w:space="0" w:color="auto"/>
              <w:bottom w:val="single" w:sz="4" w:space="0" w:color="auto"/>
              <w:right w:val="single" w:sz="4" w:space="0" w:color="000000"/>
            </w:tcBorders>
            <w:shd w:val="clear" w:color="auto" w:fill="auto"/>
            <w:vAlign w:val="center"/>
          </w:tcPr>
          <w:p w14:paraId="261DD925" w14:textId="4CC84E20" w:rsidR="0046547C" w:rsidRPr="00111F34" w:rsidRDefault="0046547C" w:rsidP="0046547C">
            <w:pPr>
              <w:pStyle w:val="Texttabulky"/>
              <w:jc w:val="center"/>
              <w:rPr>
                <w:b/>
                <w:color w:val="auto"/>
                <w:szCs w:val="16"/>
              </w:rPr>
            </w:pPr>
            <w:r w:rsidRPr="00111F34">
              <w:rPr>
                <w:rFonts w:asciiTheme="minorHAnsi" w:hAnsiTheme="minorHAnsi" w:cstheme="minorHAnsi"/>
                <w:color w:val="auto"/>
                <w:szCs w:val="16"/>
              </w:rPr>
              <w:t>0</w:t>
            </w:r>
          </w:p>
        </w:tc>
        <w:tc>
          <w:tcPr>
            <w:tcW w:w="2130" w:type="pct"/>
            <w:tcBorders>
              <w:top w:val="single" w:sz="4" w:space="0" w:color="auto"/>
              <w:left w:val="single" w:sz="4" w:space="0" w:color="auto"/>
              <w:bottom w:val="single" w:sz="4" w:space="0" w:color="auto"/>
              <w:right w:val="single" w:sz="4" w:space="0" w:color="000000"/>
            </w:tcBorders>
            <w:shd w:val="clear" w:color="auto" w:fill="auto"/>
            <w:vAlign w:val="center"/>
          </w:tcPr>
          <w:p w14:paraId="6220151D" w14:textId="6A5147E0" w:rsidR="0046547C" w:rsidRPr="00111F34" w:rsidRDefault="0046547C" w:rsidP="0046547C">
            <w:pPr>
              <w:pStyle w:val="Texttabulky"/>
              <w:jc w:val="center"/>
              <w:rPr>
                <w:b/>
                <w:color w:val="auto"/>
                <w:szCs w:val="16"/>
              </w:rPr>
            </w:pPr>
            <w:r w:rsidRPr="00111F34">
              <w:rPr>
                <w:rFonts w:cs="Arial"/>
                <w:color w:val="auto"/>
                <w:szCs w:val="16"/>
              </w:rPr>
              <w:t>Z hlediska posuzované ÚPD bez přímé vazby.</w:t>
            </w:r>
          </w:p>
        </w:tc>
      </w:tr>
      <w:tr w:rsidR="0046547C" w:rsidRPr="00111F34" w14:paraId="7ECD2823" w14:textId="77777777" w:rsidTr="00BD7256">
        <w:trPr>
          <w:cantSplit/>
          <w:trHeight w:val="285"/>
          <w:tblHeader/>
        </w:trPr>
        <w:tc>
          <w:tcPr>
            <w:tcW w:w="2501" w:type="pct"/>
            <w:tcBorders>
              <w:top w:val="single" w:sz="4" w:space="0" w:color="auto"/>
              <w:left w:val="single" w:sz="4" w:space="0" w:color="auto"/>
              <w:bottom w:val="single" w:sz="4" w:space="0" w:color="auto"/>
              <w:right w:val="single" w:sz="4" w:space="0" w:color="000000"/>
            </w:tcBorders>
            <w:shd w:val="clear" w:color="auto" w:fill="auto"/>
          </w:tcPr>
          <w:p w14:paraId="67744DA2" w14:textId="77777777" w:rsidR="0046547C" w:rsidRPr="00111F34" w:rsidRDefault="0046547C" w:rsidP="0046547C">
            <w:pPr>
              <w:pStyle w:val="Texttabulky"/>
              <w:rPr>
                <w:b/>
                <w:color w:val="auto"/>
                <w:szCs w:val="16"/>
              </w:rPr>
            </w:pPr>
            <w:r w:rsidRPr="00111F34">
              <w:rPr>
                <w:b/>
                <w:color w:val="auto"/>
              </w:rPr>
              <w:t>05.3 Ekonomická prosperita a blahobyt</w:t>
            </w:r>
          </w:p>
        </w:tc>
        <w:tc>
          <w:tcPr>
            <w:tcW w:w="369" w:type="pct"/>
            <w:tcBorders>
              <w:top w:val="single" w:sz="4" w:space="0" w:color="auto"/>
              <w:left w:val="single" w:sz="4" w:space="0" w:color="auto"/>
              <w:bottom w:val="single" w:sz="4" w:space="0" w:color="auto"/>
              <w:right w:val="single" w:sz="4" w:space="0" w:color="000000"/>
            </w:tcBorders>
            <w:shd w:val="clear" w:color="auto" w:fill="auto"/>
            <w:vAlign w:val="center"/>
          </w:tcPr>
          <w:p w14:paraId="73D33A6E" w14:textId="585990BD" w:rsidR="0046547C" w:rsidRPr="00111F34" w:rsidRDefault="0046547C" w:rsidP="0046547C">
            <w:pPr>
              <w:pStyle w:val="Texttabulky"/>
              <w:jc w:val="center"/>
              <w:rPr>
                <w:b/>
                <w:color w:val="auto"/>
                <w:szCs w:val="16"/>
              </w:rPr>
            </w:pPr>
            <w:r w:rsidRPr="00111F34">
              <w:rPr>
                <w:rFonts w:asciiTheme="minorHAnsi" w:hAnsiTheme="minorHAnsi" w:cstheme="minorHAnsi"/>
                <w:color w:val="auto"/>
                <w:szCs w:val="16"/>
              </w:rPr>
              <w:t>+</w:t>
            </w:r>
          </w:p>
        </w:tc>
        <w:tc>
          <w:tcPr>
            <w:tcW w:w="2130" w:type="pct"/>
            <w:tcBorders>
              <w:top w:val="single" w:sz="4" w:space="0" w:color="auto"/>
              <w:left w:val="single" w:sz="4" w:space="0" w:color="auto"/>
              <w:bottom w:val="single" w:sz="4" w:space="0" w:color="auto"/>
              <w:right w:val="single" w:sz="4" w:space="0" w:color="000000"/>
            </w:tcBorders>
            <w:shd w:val="clear" w:color="auto" w:fill="auto"/>
            <w:vAlign w:val="center"/>
          </w:tcPr>
          <w:p w14:paraId="09759476" w14:textId="0580D22E" w:rsidR="0046547C" w:rsidRPr="00111F34" w:rsidRDefault="0046547C" w:rsidP="0046547C">
            <w:pPr>
              <w:pStyle w:val="Texttabulky"/>
              <w:jc w:val="center"/>
              <w:rPr>
                <w:b/>
                <w:color w:val="auto"/>
                <w:szCs w:val="16"/>
              </w:rPr>
            </w:pPr>
            <w:r w:rsidRPr="00111F34">
              <w:rPr>
                <w:rFonts w:cs="Arial"/>
                <w:color w:val="auto"/>
                <w:szCs w:val="16"/>
              </w:rPr>
              <w:t>Jsou vytvářeny územní předpoklady pro využití transformačních území pro smíšené funkce.</w:t>
            </w:r>
          </w:p>
        </w:tc>
      </w:tr>
      <w:tr w:rsidR="0046547C" w:rsidRPr="00111F34" w14:paraId="06523567" w14:textId="77777777" w:rsidTr="00BD7256">
        <w:trPr>
          <w:cantSplit/>
          <w:trHeight w:val="419"/>
          <w:tblHeader/>
        </w:trPr>
        <w:tc>
          <w:tcPr>
            <w:tcW w:w="2501" w:type="pct"/>
            <w:tcBorders>
              <w:top w:val="nil"/>
              <w:left w:val="single" w:sz="4" w:space="0" w:color="auto"/>
              <w:bottom w:val="single" w:sz="4" w:space="0" w:color="auto"/>
              <w:right w:val="single" w:sz="4" w:space="0" w:color="auto"/>
            </w:tcBorders>
            <w:shd w:val="clear" w:color="auto" w:fill="auto"/>
          </w:tcPr>
          <w:p w14:paraId="1F89CC8A" w14:textId="77777777" w:rsidR="0046547C" w:rsidRPr="00111F34" w:rsidRDefault="0046547C" w:rsidP="0046547C">
            <w:pPr>
              <w:pStyle w:val="Odrky1"/>
              <w:rPr>
                <w:i/>
                <w:sz w:val="16"/>
                <w:szCs w:val="16"/>
              </w:rPr>
            </w:pPr>
            <w:r w:rsidRPr="00111F34">
              <w:rPr>
                <w:i/>
                <w:sz w:val="16"/>
              </w:rPr>
              <w:t>i.05.3.05 Doplňování nedostatečných lokálních zdrojů pro zajištění pražského trhu práce (ekonomické základny) a nabídka pracovních příležitostí pro obyvatele v zázemí Prahy</w:t>
            </w:r>
          </w:p>
        </w:tc>
        <w:tc>
          <w:tcPr>
            <w:tcW w:w="369" w:type="pct"/>
            <w:tcBorders>
              <w:top w:val="nil"/>
              <w:left w:val="nil"/>
              <w:bottom w:val="single" w:sz="4" w:space="0" w:color="auto"/>
              <w:right w:val="single" w:sz="4" w:space="0" w:color="auto"/>
            </w:tcBorders>
            <w:shd w:val="clear" w:color="auto" w:fill="auto"/>
            <w:noWrap/>
            <w:vAlign w:val="center"/>
          </w:tcPr>
          <w:p w14:paraId="04788D59" w14:textId="773B82B9" w:rsidR="0046547C" w:rsidRPr="00111F34" w:rsidRDefault="0046547C" w:rsidP="0046547C">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w:t>
            </w:r>
          </w:p>
        </w:tc>
        <w:tc>
          <w:tcPr>
            <w:tcW w:w="2130" w:type="pct"/>
            <w:tcBorders>
              <w:top w:val="nil"/>
              <w:left w:val="nil"/>
              <w:bottom w:val="single" w:sz="4" w:space="0" w:color="auto"/>
              <w:right w:val="single" w:sz="4" w:space="0" w:color="auto"/>
            </w:tcBorders>
            <w:vAlign w:val="center"/>
          </w:tcPr>
          <w:p w14:paraId="1FD34030" w14:textId="0F7E0FFB" w:rsidR="0046547C" w:rsidRPr="00111F34" w:rsidRDefault="0046547C" w:rsidP="0046547C">
            <w:pPr>
              <w:pStyle w:val="Texttabulky"/>
              <w:jc w:val="center"/>
              <w:rPr>
                <w:rFonts w:cs="Arial"/>
                <w:color w:val="auto"/>
                <w:szCs w:val="16"/>
              </w:rPr>
            </w:pPr>
            <w:r w:rsidRPr="00111F34">
              <w:rPr>
                <w:rFonts w:cs="Arial"/>
                <w:color w:val="auto"/>
                <w:szCs w:val="16"/>
              </w:rPr>
              <w:t>Jsou vytvářeny územní předpoklady pro využití transformačních území pro smíšené funkce.</w:t>
            </w:r>
          </w:p>
        </w:tc>
      </w:tr>
      <w:tr w:rsidR="00C61521" w:rsidRPr="00111F34" w14:paraId="52AD4A8C" w14:textId="77777777" w:rsidTr="00BD7256">
        <w:trPr>
          <w:cantSplit/>
          <w:trHeight w:val="283"/>
          <w:tblHeader/>
        </w:trPr>
        <w:tc>
          <w:tcPr>
            <w:tcW w:w="5000" w:type="pct"/>
            <w:gridSpan w:val="3"/>
            <w:tcBorders>
              <w:top w:val="nil"/>
              <w:left w:val="single" w:sz="4" w:space="0" w:color="auto"/>
              <w:bottom w:val="single" w:sz="4" w:space="0" w:color="auto"/>
              <w:right w:val="single" w:sz="4" w:space="0" w:color="auto"/>
            </w:tcBorders>
            <w:shd w:val="clear" w:color="auto" w:fill="E5DFEC" w:themeFill="accent4" w:themeFillTint="33"/>
            <w:vAlign w:val="center"/>
          </w:tcPr>
          <w:p w14:paraId="1AD75A3B" w14:textId="77777777" w:rsidR="00C61521" w:rsidRPr="00111F34" w:rsidRDefault="00C61521" w:rsidP="00433A80">
            <w:pPr>
              <w:pStyle w:val="Texttabulky"/>
              <w:rPr>
                <w:rFonts w:cs="Arial"/>
                <w:b/>
                <w:color w:val="auto"/>
                <w:szCs w:val="16"/>
              </w:rPr>
            </w:pPr>
            <w:r w:rsidRPr="00111F34">
              <w:rPr>
                <w:rFonts w:cs="Arial"/>
                <w:b/>
                <w:color w:val="auto"/>
                <w:szCs w:val="16"/>
              </w:rPr>
              <w:t>06. BEZPEČNÁ A EFEKTIVNÍ MOBILITA</w:t>
            </w:r>
          </w:p>
        </w:tc>
      </w:tr>
      <w:tr w:rsidR="00E928AE" w:rsidRPr="00111F34" w14:paraId="733DE513" w14:textId="77777777" w:rsidTr="00BD7256">
        <w:trPr>
          <w:cantSplit/>
          <w:trHeight w:val="116"/>
          <w:tblHeader/>
        </w:trPr>
        <w:tc>
          <w:tcPr>
            <w:tcW w:w="2501" w:type="pct"/>
            <w:tcBorders>
              <w:top w:val="nil"/>
              <w:left w:val="single" w:sz="4" w:space="0" w:color="auto"/>
              <w:bottom w:val="single" w:sz="4" w:space="0" w:color="auto"/>
              <w:right w:val="single" w:sz="4" w:space="0" w:color="auto"/>
            </w:tcBorders>
            <w:shd w:val="clear" w:color="auto" w:fill="auto"/>
          </w:tcPr>
          <w:p w14:paraId="5D11B0C7" w14:textId="77777777" w:rsidR="00E928AE" w:rsidRPr="00111F34" w:rsidRDefault="00E928AE" w:rsidP="00E928AE">
            <w:pPr>
              <w:pStyle w:val="Odrky1"/>
              <w:numPr>
                <w:ilvl w:val="0"/>
                <w:numId w:val="0"/>
              </w:numPr>
              <w:spacing w:before="0" w:after="0"/>
              <w:ind w:left="360" w:hanging="360"/>
              <w:jc w:val="left"/>
              <w:rPr>
                <w:i/>
                <w:sz w:val="16"/>
                <w:szCs w:val="16"/>
              </w:rPr>
            </w:pPr>
            <w:r w:rsidRPr="00111F34">
              <w:rPr>
                <w:b/>
                <w:sz w:val="16"/>
              </w:rPr>
              <w:t>06.1 Šetrná mobilita</w:t>
            </w:r>
          </w:p>
        </w:tc>
        <w:tc>
          <w:tcPr>
            <w:tcW w:w="369" w:type="pct"/>
            <w:tcBorders>
              <w:top w:val="nil"/>
              <w:left w:val="nil"/>
              <w:bottom w:val="single" w:sz="4" w:space="0" w:color="auto"/>
              <w:right w:val="single" w:sz="4" w:space="0" w:color="auto"/>
            </w:tcBorders>
            <w:shd w:val="clear" w:color="auto" w:fill="auto"/>
            <w:noWrap/>
            <w:vAlign w:val="center"/>
          </w:tcPr>
          <w:p w14:paraId="0AB7ACEB" w14:textId="0E31502D" w:rsidR="00E928AE" w:rsidRPr="00111F34" w:rsidRDefault="00E928AE" w:rsidP="00E928AE">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w:t>
            </w:r>
          </w:p>
        </w:tc>
        <w:tc>
          <w:tcPr>
            <w:tcW w:w="2130" w:type="pct"/>
            <w:tcBorders>
              <w:top w:val="nil"/>
              <w:left w:val="nil"/>
              <w:bottom w:val="single" w:sz="4" w:space="0" w:color="auto"/>
              <w:right w:val="single" w:sz="4" w:space="0" w:color="auto"/>
            </w:tcBorders>
            <w:vAlign w:val="center"/>
          </w:tcPr>
          <w:p w14:paraId="4371790E" w14:textId="3FB94320" w:rsidR="00E928AE" w:rsidRPr="00111F34" w:rsidRDefault="00E928AE" w:rsidP="00E928AE">
            <w:pPr>
              <w:pStyle w:val="Texttabulky"/>
              <w:jc w:val="center"/>
              <w:rPr>
                <w:rFonts w:cs="Arial"/>
                <w:color w:val="auto"/>
                <w:szCs w:val="16"/>
              </w:rPr>
            </w:pPr>
            <w:r w:rsidRPr="00111F34">
              <w:rPr>
                <w:rFonts w:cs="Arial"/>
                <w:color w:val="auto"/>
                <w:szCs w:val="16"/>
              </w:rPr>
              <w:t>Přímo rozvíjí tento cíl.</w:t>
            </w:r>
          </w:p>
        </w:tc>
      </w:tr>
      <w:tr w:rsidR="0046547C" w:rsidRPr="00111F34" w14:paraId="4E6F0A2A" w14:textId="77777777" w:rsidTr="00BD7256">
        <w:trPr>
          <w:cantSplit/>
          <w:trHeight w:val="254"/>
          <w:tblHeader/>
        </w:trPr>
        <w:tc>
          <w:tcPr>
            <w:tcW w:w="2501" w:type="pct"/>
            <w:tcBorders>
              <w:top w:val="nil"/>
              <w:left w:val="single" w:sz="4" w:space="0" w:color="auto"/>
              <w:bottom w:val="single" w:sz="4" w:space="0" w:color="auto"/>
              <w:right w:val="single" w:sz="4" w:space="0" w:color="auto"/>
            </w:tcBorders>
            <w:shd w:val="clear" w:color="auto" w:fill="auto"/>
          </w:tcPr>
          <w:p w14:paraId="288A05B0" w14:textId="77777777" w:rsidR="0046547C" w:rsidRPr="00111F34" w:rsidRDefault="0046547C" w:rsidP="0046547C">
            <w:pPr>
              <w:pStyle w:val="Odrky1"/>
              <w:spacing w:before="0" w:after="0"/>
              <w:jc w:val="left"/>
              <w:rPr>
                <w:i/>
                <w:sz w:val="16"/>
                <w:szCs w:val="16"/>
              </w:rPr>
            </w:pPr>
            <w:r w:rsidRPr="00111F34">
              <w:rPr>
                <w:i/>
                <w:sz w:val="16"/>
              </w:rPr>
              <w:t xml:space="preserve">i.06.1.06 Zvyšování podílu veřejné, pěší a cyklistické dopravy na dělbě přepravní práce </w:t>
            </w:r>
          </w:p>
        </w:tc>
        <w:tc>
          <w:tcPr>
            <w:tcW w:w="369" w:type="pct"/>
            <w:tcBorders>
              <w:top w:val="nil"/>
              <w:left w:val="nil"/>
              <w:bottom w:val="single" w:sz="4" w:space="0" w:color="auto"/>
              <w:right w:val="single" w:sz="4" w:space="0" w:color="auto"/>
            </w:tcBorders>
            <w:shd w:val="clear" w:color="auto" w:fill="auto"/>
            <w:noWrap/>
            <w:vAlign w:val="center"/>
          </w:tcPr>
          <w:p w14:paraId="5208E71C" w14:textId="20516575" w:rsidR="0046547C" w:rsidRPr="00111F34" w:rsidRDefault="0046547C" w:rsidP="0046547C">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w:t>
            </w:r>
          </w:p>
        </w:tc>
        <w:tc>
          <w:tcPr>
            <w:tcW w:w="2130" w:type="pct"/>
            <w:tcBorders>
              <w:top w:val="nil"/>
              <w:left w:val="nil"/>
              <w:bottom w:val="single" w:sz="4" w:space="0" w:color="auto"/>
              <w:right w:val="single" w:sz="4" w:space="0" w:color="auto"/>
            </w:tcBorders>
            <w:vAlign w:val="center"/>
          </w:tcPr>
          <w:p w14:paraId="3A970386" w14:textId="37D52761" w:rsidR="0046547C" w:rsidRPr="00111F34" w:rsidRDefault="0046547C" w:rsidP="0046547C">
            <w:pPr>
              <w:pStyle w:val="Texttabulky"/>
              <w:jc w:val="center"/>
              <w:rPr>
                <w:rFonts w:cs="Arial"/>
                <w:color w:val="auto"/>
                <w:szCs w:val="16"/>
              </w:rPr>
            </w:pPr>
            <w:r w:rsidRPr="00111F34">
              <w:rPr>
                <w:rFonts w:cs="Arial"/>
                <w:color w:val="auto"/>
                <w:szCs w:val="16"/>
              </w:rPr>
              <w:t>Zprostředkovaně podporuje tento indikátor.</w:t>
            </w:r>
          </w:p>
        </w:tc>
      </w:tr>
      <w:tr w:rsidR="0046547C" w:rsidRPr="00111F34" w14:paraId="5A447C28" w14:textId="77777777" w:rsidTr="00BD7256">
        <w:trPr>
          <w:cantSplit/>
          <w:trHeight w:val="271"/>
          <w:tblHeader/>
        </w:trPr>
        <w:tc>
          <w:tcPr>
            <w:tcW w:w="2501" w:type="pct"/>
            <w:tcBorders>
              <w:top w:val="nil"/>
              <w:left w:val="single" w:sz="4" w:space="0" w:color="auto"/>
              <w:bottom w:val="single" w:sz="4" w:space="0" w:color="auto"/>
              <w:right w:val="single" w:sz="4" w:space="0" w:color="auto"/>
            </w:tcBorders>
            <w:shd w:val="clear" w:color="auto" w:fill="auto"/>
          </w:tcPr>
          <w:p w14:paraId="14E5C8F9" w14:textId="77777777" w:rsidR="0046547C" w:rsidRPr="00111F34" w:rsidRDefault="0046547C" w:rsidP="0046547C">
            <w:pPr>
              <w:pStyle w:val="Odrky1"/>
              <w:numPr>
                <w:ilvl w:val="0"/>
                <w:numId w:val="0"/>
              </w:numPr>
              <w:spacing w:before="0" w:after="0"/>
              <w:ind w:left="360" w:hanging="360"/>
              <w:jc w:val="left"/>
              <w:rPr>
                <w:sz w:val="16"/>
                <w:szCs w:val="16"/>
              </w:rPr>
            </w:pPr>
            <w:r w:rsidRPr="00111F34">
              <w:rPr>
                <w:b/>
                <w:sz w:val="16"/>
              </w:rPr>
              <w:t>06.2 Dostupná doprava</w:t>
            </w:r>
          </w:p>
        </w:tc>
        <w:tc>
          <w:tcPr>
            <w:tcW w:w="369" w:type="pct"/>
            <w:tcBorders>
              <w:top w:val="nil"/>
              <w:left w:val="nil"/>
              <w:bottom w:val="single" w:sz="4" w:space="0" w:color="auto"/>
              <w:right w:val="single" w:sz="4" w:space="0" w:color="auto"/>
            </w:tcBorders>
            <w:shd w:val="clear" w:color="auto" w:fill="auto"/>
            <w:noWrap/>
            <w:vAlign w:val="center"/>
          </w:tcPr>
          <w:p w14:paraId="4E5BB885" w14:textId="7CF7A418" w:rsidR="0046547C" w:rsidRPr="00111F34" w:rsidRDefault="0046547C" w:rsidP="0046547C">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w:t>
            </w:r>
          </w:p>
        </w:tc>
        <w:tc>
          <w:tcPr>
            <w:tcW w:w="2130" w:type="pct"/>
            <w:tcBorders>
              <w:top w:val="nil"/>
              <w:left w:val="nil"/>
              <w:bottom w:val="single" w:sz="4" w:space="0" w:color="auto"/>
              <w:right w:val="single" w:sz="4" w:space="0" w:color="auto"/>
            </w:tcBorders>
          </w:tcPr>
          <w:p w14:paraId="2FC2ABC5" w14:textId="33E0FBC7" w:rsidR="0046547C" w:rsidRPr="00111F34" w:rsidRDefault="0046547C" w:rsidP="0046547C">
            <w:pPr>
              <w:pStyle w:val="Texttabulky"/>
              <w:jc w:val="center"/>
              <w:rPr>
                <w:rFonts w:cs="Arial"/>
                <w:color w:val="auto"/>
                <w:szCs w:val="16"/>
              </w:rPr>
            </w:pPr>
            <w:r w:rsidRPr="00111F34">
              <w:rPr>
                <w:rFonts w:cs="Arial"/>
                <w:color w:val="auto"/>
                <w:szCs w:val="16"/>
              </w:rPr>
              <w:t>Budou vytvořeny územní předpoklady pro zlepšení dopravní obsluhy území.</w:t>
            </w:r>
          </w:p>
        </w:tc>
      </w:tr>
      <w:tr w:rsidR="0046547C" w:rsidRPr="00111F34" w14:paraId="5B421C88" w14:textId="77777777" w:rsidTr="00BD7256">
        <w:trPr>
          <w:cantSplit/>
          <w:trHeight w:val="260"/>
          <w:tblHeader/>
        </w:trPr>
        <w:tc>
          <w:tcPr>
            <w:tcW w:w="2501" w:type="pct"/>
            <w:tcBorders>
              <w:top w:val="single" w:sz="4" w:space="0" w:color="auto"/>
              <w:left w:val="single" w:sz="4" w:space="0" w:color="auto"/>
              <w:bottom w:val="single" w:sz="4" w:space="0" w:color="auto"/>
              <w:right w:val="single" w:sz="4" w:space="0" w:color="000000"/>
            </w:tcBorders>
            <w:shd w:val="clear" w:color="auto" w:fill="auto"/>
            <w:hideMark/>
          </w:tcPr>
          <w:p w14:paraId="105BF156" w14:textId="77777777" w:rsidR="0046547C" w:rsidRPr="00111F34" w:rsidRDefault="0046547C">
            <w:pPr>
              <w:pStyle w:val="Texttabulky"/>
              <w:numPr>
                <w:ilvl w:val="0"/>
                <w:numId w:val="32"/>
              </w:numPr>
              <w:ind w:left="426" w:hanging="426"/>
              <w:rPr>
                <w:b/>
                <w:color w:val="auto"/>
                <w:szCs w:val="16"/>
              </w:rPr>
            </w:pPr>
            <w:r w:rsidRPr="00111F34">
              <w:rPr>
                <w:color w:val="auto"/>
              </w:rPr>
              <w:t>i.06.2.05 Zvyšování podílu obyvatel majících v dosahu 15 min. pěší chůze zastávku kolejové dopravy</w:t>
            </w:r>
          </w:p>
        </w:tc>
        <w:tc>
          <w:tcPr>
            <w:tcW w:w="369" w:type="pct"/>
            <w:tcBorders>
              <w:top w:val="single" w:sz="4" w:space="0" w:color="auto"/>
              <w:left w:val="single" w:sz="4" w:space="0" w:color="auto"/>
              <w:bottom w:val="single" w:sz="4" w:space="0" w:color="auto"/>
              <w:right w:val="single" w:sz="4" w:space="0" w:color="000000"/>
            </w:tcBorders>
            <w:shd w:val="clear" w:color="auto" w:fill="auto"/>
            <w:vAlign w:val="center"/>
          </w:tcPr>
          <w:p w14:paraId="32462BD0" w14:textId="675C6C8D" w:rsidR="0046547C" w:rsidRPr="00111F34" w:rsidRDefault="0046547C" w:rsidP="0046547C">
            <w:pPr>
              <w:pStyle w:val="Texttabulky"/>
              <w:jc w:val="center"/>
              <w:rPr>
                <w:b/>
                <w:color w:val="auto"/>
                <w:szCs w:val="16"/>
              </w:rPr>
            </w:pPr>
            <w:r w:rsidRPr="00111F34">
              <w:rPr>
                <w:rFonts w:asciiTheme="minorHAnsi" w:hAnsiTheme="minorHAnsi" w:cstheme="minorHAnsi"/>
                <w:color w:val="auto"/>
                <w:szCs w:val="16"/>
              </w:rPr>
              <w:t>+</w:t>
            </w:r>
          </w:p>
        </w:tc>
        <w:tc>
          <w:tcPr>
            <w:tcW w:w="2130" w:type="pct"/>
            <w:tcBorders>
              <w:top w:val="single" w:sz="4" w:space="0" w:color="auto"/>
              <w:left w:val="single" w:sz="4" w:space="0" w:color="auto"/>
              <w:bottom w:val="single" w:sz="4" w:space="0" w:color="auto"/>
              <w:right w:val="single" w:sz="4" w:space="0" w:color="000000"/>
            </w:tcBorders>
            <w:shd w:val="clear" w:color="auto" w:fill="auto"/>
            <w:vAlign w:val="center"/>
          </w:tcPr>
          <w:p w14:paraId="490B8D8C" w14:textId="7A29C4A5" w:rsidR="0046547C" w:rsidRPr="00111F34" w:rsidRDefault="0046547C" w:rsidP="0046547C">
            <w:pPr>
              <w:pStyle w:val="Texttabulky"/>
              <w:jc w:val="center"/>
              <w:rPr>
                <w:b/>
                <w:color w:val="auto"/>
                <w:szCs w:val="16"/>
              </w:rPr>
            </w:pPr>
            <w:r w:rsidRPr="00111F34">
              <w:rPr>
                <w:rFonts w:cs="Arial"/>
                <w:color w:val="auto"/>
                <w:szCs w:val="16"/>
              </w:rPr>
              <w:t>Přímo podporuje tento indikátor.</w:t>
            </w:r>
          </w:p>
        </w:tc>
      </w:tr>
      <w:tr w:rsidR="0046547C" w:rsidRPr="00111F34" w14:paraId="2D0B15E6" w14:textId="77777777" w:rsidTr="00BD7256">
        <w:trPr>
          <w:cantSplit/>
          <w:trHeight w:val="139"/>
          <w:tblHeader/>
        </w:trPr>
        <w:tc>
          <w:tcPr>
            <w:tcW w:w="2501" w:type="pct"/>
            <w:tcBorders>
              <w:top w:val="nil"/>
              <w:left w:val="single" w:sz="4" w:space="0" w:color="auto"/>
              <w:bottom w:val="single" w:sz="4" w:space="0" w:color="auto"/>
              <w:right w:val="single" w:sz="4" w:space="0" w:color="auto"/>
            </w:tcBorders>
            <w:shd w:val="clear" w:color="auto" w:fill="auto"/>
          </w:tcPr>
          <w:p w14:paraId="124D8419" w14:textId="77777777" w:rsidR="0046547C" w:rsidRPr="00111F34" w:rsidRDefault="0046547C" w:rsidP="0046547C">
            <w:pPr>
              <w:pStyle w:val="Odrky1"/>
              <w:spacing w:before="0" w:after="0"/>
              <w:jc w:val="left"/>
              <w:rPr>
                <w:i/>
                <w:sz w:val="16"/>
                <w:szCs w:val="16"/>
              </w:rPr>
            </w:pPr>
            <w:r w:rsidRPr="00111F34">
              <w:rPr>
                <w:i/>
                <w:sz w:val="16"/>
              </w:rPr>
              <w:t>c.06.2.08 Zlepšování dostupnosti Prahy vysokorychlostní kolejovou dopravou</w:t>
            </w:r>
          </w:p>
        </w:tc>
        <w:tc>
          <w:tcPr>
            <w:tcW w:w="369" w:type="pct"/>
            <w:tcBorders>
              <w:top w:val="nil"/>
              <w:left w:val="nil"/>
              <w:bottom w:val="single" w:sz="4" w:space="0" w:color="auto"/>
              <w:right w:val="single" w:sz="4" w:space="0" w:color="auto"/>
            </w:tcBorders>
            <w:shd w:val="clear" w:color="auto" w:fill="auto"/>
            <w:noWrap/>
            <w:vAlign w:val="center"/>
            <w:hideMark/>
          </w:tcPr>
          <w:p w14:paraId="42D15BC5" w14:textId="0AF9549D" w:rsidR="0046547C" w:rsidRPr="00111F34" w:rsidRDefault="0046547C" w:rsidP="0046547C">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0</w:t>
            </w:r>
          </w:p>
        </w:tc>
        <w:tc>
          <w:tcPr>
            <w:tcW w:w="2130" w:type="pct"/>
            <w:tcBorders>
              <w:top w:val="nil"/>
              <w:left w:val="nil"/>
              <w:bottom w:val="single" w:sz="4" w:space="0" w:color="auto"/>
              <w:right w:val="single" w:sz="4" w:space="0" w:color="auto"/>
            </w:tcBorders>
            <w:vAlign w:val="center"/>
          </w:tcPr>
          <w:p w14:paraId="74BA603E" w14:textId="3395A5CF" w:rsidR="0046547C" w:rsidRPr="00111F34" w:rsidRDefault="0046547C" w:rsidP="0046547C">
            <w:pPr>
              <w:pStyle w:val="Texttabulky"/>
              <w:jc w:val="center"/>
              <w:rPr>
                <w:rFonts w:cs="Arial"/>
                <w:color w:val="auto"/>
                <w:szCs w:val="16"/>
              </w:rPr>
            </w:pPr>
            <w:r w:rsidRPr="00111F34">
              <w:rPr>
                <w:rFonts w:cs="Arial"/>
                <w:color w:val="auto"/>
                <w:szCs w:val="16"/>
              </w:rPr>
              <w:t>Z hlediska posuzované ÚPD bez přímé vazby.</w:t>
            </w:r>
          </w:p>
        </w:tc>
      </w:tr>
      <w:tr w:rsidR="00E928AE" w:rsidRPr="00111F34" w14:paraId="5985762C" w14:textId="77777777" w:rsidTr="00BD7256">
        <w:trPr>
          <w:cantSplit/>
          <w:trHeight w:val="147"/>
          <w:tblHeader/>
        </w:trPr>
        <w:tc>
          <w:tcPr>
            <w:tcW w:w="2501" w:type="pct"/>
            <w:tcBorders>
              <w:top w:val="nil"/>
              <w:left w:val="single" w:sz="4" w:space="0" w:color="auto"/>
              <w:bottom w:val="single" w:sz="4" w:space="0" w:color="auto"/>
              <w:right w:val="single" w:sz="4" w:space="0" w:color="auto"/>
            </w:tcBorders>
            <w:shd w:val="clear" w:color="auto" w:fill="auto"/>
          </w:tcPr>
          <w:p w14:paraId="1D53D746" w14:textId="77777777" w:rsidR="00E928AE" w:rsidRPr="00111F34" w:rsidRDefault="00E928AE" w:rsidP="00E928AE">
            <w:pPr>
              <w:pStyle w:val="Odrky1"/>
              <w:numPr>
                <w:ilvl w:val="0"/>
                <w:numId w:val="0"/>
              </w:numPr>
              <w:spacing w:before="0" w:after="0"/>
              <w:ind w:left="360" w:hanging="360"/>
              <w:jc w:val="left"/>
              <w:rPr>
                <w:sz w:val="16"/>
                <w:szCs w:val="16"/>
              </w:rPr>
            </w:pPr>
            <w:r w:rsidRPr="00111F34">
              <w:rPr>
                <w:b/>
                <w:sz w:val="16"/>
              </w:rPr>
              <w:t>06.3 Výkonná a spolehlivá doprava</w:t>
            </w:r>
          </w:p>
        </w:tc>
        <w:tc>
          <w:tcPr>
            <w:tcW w:w="369" w:type="pct"/>
            <w:tcBorders>
              <w:top w:val="nil"/>
              <w:left w:val="nil"/>
              <w:bottom w:val="single" w:sz="4" w:space="0" w:color="auto"/>
              <w:right w:val="single" w:sz="4" w:space="0" w:color="auto"/>
            </w:tcBorders>
            <w:shd w:val="clear" w:color="auto" w:fill="auto"/>
            <w:noWrap/>
            <w:vAlign w:val="center"/>
            <w:hideMark/>
          </w:tcPr>
          <w:p w14:paraId="34764D2E" w14:textId="63040D37" w:rsidR="00E928AE" w:rsidRPr="00111F34" w:rsidRDefault="00E928AE" w:rsidP="00E928AE">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w:t>
            </w:r>
          </w:p>
        </w:tc>
        <w:tc>
          <w:tcPr>
            <w:tcW w:w="2130" w:type="pct"/>
            <w:tcBorders>
              <w:top w:val="nil"/>
              <w:left w:val="nil"/>
              <w:bottom w:val="single" w:sz="4" w:space="0" w:color="auto"/>
              <w:right w:val="single" w:sz="4" w:space="0" w:color="auto"/>
            </w:tcBorders>
            <w:vAlign w:val="center"/>
          </w:tcPr>
          <w:p w14:paraId="397BB2C1" w14:textId="5CDBD275" w:rsidR="00E928AE" w:rsidRPr="00111F34" w:rsidRDefault="00E928AE" w:rsidP="00E928AE">
            <w:pPr>
              <w:pStyle w:val="Texttabulky"/>
              <w:jc w:val="center"/>
              <w:rPr>
                <w:rFonts w:cs="Arial"/>
                <w:color w:val="auto"/>
                <w:szCs w:val="16"/>
              </w:rPr>
            </w:pPr>
            <w:r w:rsidRPr="00111F34">
              <w:rPr>
                <w:rFonts w:cs="Arial"/>
                <w:color w:val="auto"/>
                <w:szCs w:val="16"/>
              </w:rPr>
              <w:t>Přímo podporuje tento cíl.</w:t>
            </w:r>
          </w:p>
        </w:tc>
      </w:tr>
      <w:tr w:rsidR="00E928AE" w:rsidRPr="00111F34" w14:paraId="64F5B487" w14:textId="77777777" w:rsidTr="00BD7256">
        <w:trPr>
          <w:cantSplit/>
          <w:trHeight w:val="315"/>
          <w:tblHeader/>
        </w:trPr>
        <w:tc>
          <w:tcPr>
            <w:tcW w:w="2501" w:type="pct"/>
            <w:tcBorders>
              <w:top w:val="nil"/>
              <w:left w:val="single" w:sz="4" w:space="0" w:color="auto"/>
              <w:bottom w:val="single" w:sz="4" w:space="0" w:color="auto"/>
              <w:right w:val="single" w:sz="4" w:space="0" w:color="auto"/>
            </w:tcBorders>
            <w:shd w:val="clear" w:color="auto" w:fill="auto"/>
          </w:tcPr>
          <w:p w14:paraId="70134A93" w14:textId="77777777" w:rsidR="00E928AE" w:rsidRPr="00111F34" w:rsidRDefault="00E928AE" w:rsidP="00E928AE">
            <w:pPr>
              <w:pStyle w:val="Odrky1"/>
              <w:numPr>
                <w:ilvl w:val="0"/>
                <w:numId w:val="0"/>
              </w:numPr>
              <w:spacing w:before="0" w:after="0"/>
              <w:ind w:left="360" w:hanging="360"/>
              <w:jc w:val="left"/>
              <w:rPr>
                <w:b/>
                <w:sz w:val="16"/>
                <w:szCs w:val="16"/>
              </w:rPr>
            </w:pPr>
            <w:r w:rsidRPr="00111F34">
              <w:rPr>
                <w:b/>
                <w:sz w:val="16"/>
              </w:rPr>
              <w:t>06.4 Prostorově a ekonomicky efektivní doprava</w:t>
            </w:r>
          </w:p>
        </w:tc>
        <w:tc>
          <w:tcPr>
            <w:tcW w:w="369" w:type="pct"/>
            <w:tcBorders>
              <w:top w:val="nil"/>
              <w:left w:val="nil"/>
              <w:bottom w:val="single" w:sz="4" w:space="0" w:color="auto"/>
              <w:right w:val="single" w:sz="4" w:space="0" w:color="auto"/>
            </w:tcBorders>
            <w:shd w:val="clear" w:color="auto" w:fill="auto"/>
            <w:noWrap/>
            <w:vAlign w:val="center"/>
          </w:tcPr>
          <w:p w14:paraId="2F20EC61" w14:textId="4CC44F51" w:rsidR="00E928AE" w:rsidRPr="00111F34" w:rsidRDefault="00E928AE" w:rsidP="00E928AE">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w:t>
            </w:r>
          </w:p>
        </w:tc>
        <w:tc>
          <w:tcPr>
            <w:tcW w:w="2130" w:type="pct"/>
            <w:tcBorders>
              <w:top w:val="nil"/>
              <w:left w:val="nil"/>
              <w:bottom w:val="single" w:sz="4" w:space="0" w:color="auto"/>
              <w:right w:val="single" w:sz="4" w:space="0" w:color="auto"/>
            </w:tcBorders>
            <w:vAlign w:val="center"/>
          </w:tcPr>
          <w:p w14:paraId="1D190C33" w14:textId="4F4D6571" w:rsidR="00E928AE" w:rsidRPr="00111F34" w:rsidRDefault="00E928AE" w:rsidP="00E928AE">
            <w:pPr>
              <w:pStyle w:val="Texttabulky"/>
              <w:jc w:val="center"/>
              <w:rPr>
                <w:rFonts w:cs="Arial"/>
                <w:color w:val="auto"/>
                <w:szCs w:val="16"/>
              </w:rPr>
            </w:pPr>
            <w:r w:rsidRPr="00111F34">
              <w:rPr>
                <w:rFonts w:cs="Arial"/>
                <w:color w:val="auto"/>
                <w:szCs w:val="16"/>
              </w:rPr>
              <w:t>Přímo podporuje tento indikátor.</w:t>
            </w:r>
          </w:p>
        </w:tc>
      </w:tr>
      <w:tr w:rsidR="00E928AE" w:rsidRPr="00111F34" w14:paraId="2F5E8E19" w14:textId="77777777" w:rsidTr="00BD7256">
        <w:trPr>
          <w:cantSplit/>
          <w:trHeight w:val="412"/>
          <w:tblHeader/>
        </w:trPr>
        <w:tc>
          <w:tcPr>
            <w:tcW w:w="2501" w:type="pct"/>
            <w:tcBorders>
              <w:top w:val="nil"/>
              <w:left w:val="single" w:sz="4" w:space="0" w:color="auto"/>
              <w:bottom w:val="single" w:sz="4" w:space="0" w:color="auto"/>
              <w:right w:val="single" w:sz="4" w:space="0" w:color="auto"/>
            </w:tcBorders>
            <w:shd w:val="clear" w:color="auto" w:fill="auto"/>
          </w:tcPr>
          <w:p w14:paraId="411B7B21" w14:textId="77777777" w:rsidR="00E928AE" w:rsidRPr="00111F34" w:rsidRDefault="00E928AE" w:rsidP="00E928AE">
            <w:pPr>
              <w:pStyle w:val="Odrky1"/>
              <w:spacing w:before="0" w:after="0"/>
              <w:jc w:val="left"/>
              <w:rPr>
                <w:i/>
                <w:sz w:val="16"/>
                <w:szCs w:val="16"/>
              </w:rPr>
            </w:pPr>
            <w:r w:rsidRPr="00111F34">
              <w:rPr>
                <w:sz w:val="16"/>
              </w:rPr>
              <w:t>i.06.4.01 Nezvyšování stupně automobilizace</w:t>
            </w:r>
          </w:p>
        </w:tc>
        <w:tc>
          <w:tcPr>
            <w:tcW w:w="369" w:type="pct"/>
            <w:tcBorders>
              <w:top w:val="nil"/>
              <w:left w:val="nil"/>
              <w:bottom w:val="single" w:sz="4" w:space="0" w:color="auto"/>
              <w:right w:val="single" w:sz="4" w:space="0" w:color="auto"/>
            </w:tcBorders>
            <w:shd w:val="clear" w:color="auto" w:fill="auto"/>
            <w:noWrap/>
            <w:vAlign w:val="center"/>
          </w:tcPr>
          <w:p w14:paraId="564F83E5" w14:textId="4E445CD0" w:rsidR="00E928AE" w:rsidRPr="00111F34" w:rsidRDefault="00E928AE" w:rsidP="00E928AE">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w:t>
            </w:r>
          </w:p>
        </w:tc>
        <w:tc>
          <w:tcPr>
            <w:tcW w:w="2130" w:type="pct"/>
            <w:tcBorders>
              <w:top w:val="nil"/>
              <w:left w:val="nil"/>
              <w:bottom w:val="single" w:sz="4" w:space="0" w:color="auto"/>
              <w:right w:val="single" w:sz="4" w:space="0" w:color="auto"/>
            </w:tcBorders>
            <w:vAlign w:val="center"/>
          </w:tcPr>
          <w:p w14:paraId="4383B90A" w14:textId="15E5A643" w:rsidR="00E928AE" w:rsidRPr="00111F34" w:rsidRDefault="00E928AE" w:rsidP="00E928AE">
            <w:pPr>
              <w:pStyle w:val="Texttabulky"/>
              <w:jc w:val="center"/>
              <w:rPr>
                <w:rFonts w:cs="Arial"/>
                <w:color w:val="auto"/>
                <w:szCs w:val="16"/>
              </w:rPr>
            </w:pPr>
            <w:r w:rsidRPr="00111F34">
              <w:rPr>
                <w:rFonts w:cs="Arial"/>
                <w:color w:val="auto"/>
                <w:szCs w:val="16"/>
              </w:rPr>
              <w:t>Přímo podporuje tento indikátor.</w:t>
            </w:r>
          </w:p>
        </w:tc>
      </w:tr>
    </w:tbl>
    <w:p w14:paraId="278C7C6D" w14:textId="77777777" w:rsidR="00603FDE" w:rsidRPr="00111F34" w:rsidRDefault="00603FDE" w:rsidP="00603FDE">
      <w:pPr>
        <w:pStyle w:val="Nadpis2"/>
      </w:pPr>
      <w:bookmarkStart w:id="374" w:name="_Toc496705174"/>
      <w:bookmarkStart w:id="375" w:name="_Toc84595771"/>
      <w:bookmarkStart w:id="376" w:name="_Toc138848154"/>
      <w:r w:rsidRPr="00111F34">
        <w:t>Vliv na stav a vývoj hodnot řešeného území</w:t>
      </w:r>
      <w:bookmarkEnd w:id="374"/>
      <w:bookmarkEnd w:id="375"/>
      <w:bookmarkEnd w:id="376"/>
    </w:p>
    <w:p w14:paraId="538E257B" w14:textId="77777777" w:rsidR="00603FDE" w:rsidRPr="00111F34" w:rsidRDefault="00603FDE" w:rsidP="00603FDE">
      <w:r w:rsidRPr="00111F34">
        <w:t>Následující přehledné shrnutí hodnot pro území hl. m. Prahy a jejich vztahu vůči posuzované ÚPD vychází z vybraných hodnotových charakteristik vymezených na jejím území, které jsou zobrazeny ve výkrese č. O.1 Hodnoty území v ÚAP Prahy. Výkres O.1 Hodnoty území navazuje na knihu 1100 | Rozbor udržitelného rozvoje a obsahuje vybrané jevy a prvky, které představují přírodní, kulturní a civilizační hodnoty rozpoznané v území.</w:t>
      </w:r>
    </w:p>
    <w:p w14:paraId="0F40CF41" w14:textId="77777777" w:rsidR="00603FDE" w:rsidRPr="00111F34" w:rsidRDefault="00603FDE" w:rsidP="00603FDE">
      <w:r w:rsidRPr="00111F34">
        <w:t xml:space="preserve">Vyhodnocení vlivů na stav a vývoj hodnot území bylo provedeno vůči posuzované ÚPD a sledovaným hodnotám řešeného území dle ÚAP, dle stejného klíče jako byly vyhodnoceny vlivy resp. vzájemné vztahy vůči sledovaným cílům a indikátorům udržitelného rozvoje v předchozích kapitolách tj. pomocí jednoduché tabelární formy znázorňující vztah řešené ÚPD vůči sledovanému jevu v tomto případě hodnotám řešeného území dle následující hodnotové stupnice, která v tomto případě vyjadřuje, do jaké míry může ÚPD (v rámci svých kompetencí definovaných stavebním zákonem) přispět k zachování a rozvoji hodnot řešeného území. </w:t>
      </w:r>
    </w:p>
    <w:p w14:paraId="445BB5D9" w14:textId="77777777" w:rsidR="00603FDE" w:rsidRPr="00111F34" w:rsidRDefault="00603FDE" w:rsidP="00603FDE">
      <w:pPr>
        <w:ind w:left="1440" w:hanging="720"/>
      </w:pPr>
      <w:r w:rsidRPr="00111F34">
        <w:t xml:space="preserve">+ </w:t>
      </w:r>
      <w:r w:rsidRPr="00111F34">
        <w:tab/>
        <w:t>Realizací předkládané změny dojde k zachování či rozvoji hodnot řešeného území</w:t>
      </w:r>
    </w:p>
    <w:p w14:paraId="0D5C1961" w14:textId="77777777" w:rsidR="00603FDE" w:rsidRPr="00111F34" w:rsidRDefault="00603FDE" w:rsidP="00603FDE">
      <w:pPr>
        <w:ind w:left="1440" w:hanging="720"/>
      </w:pPr>
      <w:r w:rsidRPr="00111F34">
        <w:t xml:space="preserve">0 </w:t>
      </w:r>
      <w:r w:rsidRPr="00111F34">
        <w:tab/>
        <w:t>Řešení předkládané změny ÚPD nemá na slabé stránky území identifikované v ÚAP žádný vliv (tato hodnota není z hlediska řešené ÚPD relevantní)</w:t>
      </w:r>
    </w:p>
    <w:p w14:paraId="21466606" w14:textId="77777777" w:rsidR="00603FDE" w:rsidRPr="00111F34" w:rsidRDefault="00603FDE" w:rsidP="00603FDE">
      <w:pPr>
        <w:ind w:left="1440" w:hanging="720"/>
      </w:pPr>
      <w:r w:rsidRPr="00111F34">
        <w:t>-</w:t>
      </w:r>
      <w:r w:rsidRPr="00111F34">
        <w:tab/>
        <w:t>Řešení předkládané změny má negativní vazbu na zachování hodnot řešeného území, je třeba přijmout opatření k ochraně definovaných hodnot</w:t>
      </w:r>
    </w:p>
    <w:p w14:paraId="11384961" w14:textId="675E6253" w:rsidR="00603FDE" w:rsidRPr="00111F34" w:rsidRDefault="00603FDE" w:rsidP="00603FDE">
      <w:r w:rsidRPr="00111F34">
        <w:lastRenderedPageBreak/>
        <w:t>Vliv řešené změny územního plánu na stav a vývoj přírodních hodnot je podrobně vyhodnocen v kap. A, konkrétně podkap. A.VI předkládaného VVURÚ a shrnut v kapitole A.VII.</w:t>
      </w:r>
    </w:p>
    <w:p w14:paraId="0E3C56F2" w14:textId="77777777" w:rsidR="001C07BE" w:rsidRPr="00111F34" w:rsidRDefault="001C07BE" w:rsidP="001C07BE">
      <w:pPr>
        <w:pStyle w:val="Tabulkanzev"/>
      </w:pPr>
      <w:bookmarkStart w:id="377" w:name="_Toc138848183"/>
      <w:r w:rsidRPr="00111F34">
        <w:t>Vliv řešené ÚPD na zachování a rozvoj vybraných</w:t>
      </w:r>
      <w:r w:rsidRPr="00111F34">
        <w:rPr>
          <w:rStyle w:val="Znakapoznpodarou"/>
        </w:rPr>
        <w:footnoteReference w:id="20"/>
      </w:r>
      <w:r w:rsidRPr="00111F34">
        <w:t xml:space="preserve"> hodnot území dle ÚAP</w:t>
      </w:r>
      <w:bookmarkEnd w:id="377"/>
    </w:p>
    <w:tbl>
      <w:tblPr>
        <w:tblW w:w="5000" w:type="pct"/>
        <w:tblLayout w:type="fixed"/>
        <w:tblCellMar>
          <w:left w:w="70" w:type="dxa"/>
          <w:right w:w="70" w:type="dxa"/>
        </w:tblCellMar>
        <w:tblLook w:val="04A0" w:firstRow="1" w:lastRow="0" w:firstColumn="1" w:lastColumn="0" w:noHBand="0" w:noVBand="1"/>
      </w:tblPr>
      <w:tblGrid>
        <w:gridCol w:w="4396"/>
        <w:gridCol w:w="976"/>
        <w:gridCol w:w="4256"/>
      </w:tblGrid>
      <w:tr w:rsidR="00C61521" w:rsidRPr="00111F34" w14:paraId="3B9A0087" w14:textId="77777777" w:rsidTr="00433A80">
        <w:trPr>
          <w:trHeight w:val="371"/>
          <w:tblHeader/>
        </w:trPr>
        <w:tc>
          <w:tcPr>
            <w:tcW w:w="2283" w:type="pct"/>
            <w:tcBorders>
              <w:top w:val="single" w:sz="4" w:space="0" w:color="auto"/>
              <w:left w:val="single" w:sz="4" w:space="0" w:color="auto"/>
              <w:bottom w:val="single" w:sz="4" w:space="0" w:color="auto"/>
              <w:right w:val="single" w:sz="4" w:space="0" w:color="auto"/>
            </w:tcBorders>
            <w:shd w:val="clear" w:color="auto" w:fill="233845"/>
            <w:vAlign w:val="center"/>
            <w:hideMark/>
          </w:tcPr>
          <w:p w14:paraId="0ED3AC9C" w14:textId="77777777" w:rsidR="00C61521" w:rsidRPr="00111F34" w:rsidRDefault="00C61521" w:rsidP="00433A80">
            <w:pPr>
              <w:pStyle w:val="Texttabulky"/>
              <w:jc w:val="center"/>
              <w:rPr>
                <w:b/>
                <w:color w:val="FFFFFF" w:themeColor="background1"/>
                <w:szCs w:val="16"/>
              </w:rPr>
            </w:pPr>
            <w:r w:rsidRPr="00111F34">
              <w:rPr>
                <w:b/>
                <w:color w:val="FFFFFF" w:themeColor="background1"/>
                <w:szCs w:val="16"/>
              </w:rPr>
              <w:t>Vliv na zachování a rozvoj hodnot řešeného území</w:t>
            </w:r>
          </w:p>
        </w:tc>
        <w:tc>
          <w:tcPr>
            <w:tcW w:w="507" w:type="pct"/>
            <w:tcBorders>
              <w:top w:val="single" w:sz="4" w:space="0" w:color="auto"/>
              <w:left w:val="nil"/>
              <w:bottom w:val="single" w:sz="4" w:space="0" w:color="auto"/>
              <w:right w:val="single" w:sz="4" w:space="0" w:color="auto"/>
            </w:tcBorders>
            <w:shd w:val="clear" w:color="auto" w:fill="233845"/>
            <w:noWrap/>
            <w:vAlign w:val="center"/>
            <w:hideMark/>
          </w:tcPr>
          <w:p w14:paraId="69919B3C" w14:textId="0DC2A3D9" w:rsidR="00C61521" w:rsidRPr="00111F34" w:rsidRDefault="00F80CDD" w:rsidP="00433A80">
            <w:pPr>
              <w:pStyle w:val="Texttabulky"/>
              <w:jc w:val="center"/>
              <w:rPr>
                <w:b/>
                <w:color w:val="FFFFFF" w:themeColor="background1"/>
                <w:szCs w:val="16"/>
              </w:rPr>
            </w:pPr>
            <w:r w:rsidRPr="00111F34">
              <w:rPr>
                <w:b/>
                <w:color w:val="FFFFFF" w:themeColor="background1"/>
                <w:szCs w:val="16"/>
              </w:rPr>
              <w:t>Z</w:t>
            </w:r>
            <w:r w:rsidR="001663EA" w:rsidRPr="00111F34">
              <w:rPr>
                <w:b/>
                <w:color w:val="FFFFFF" w:themeColor="background1"/>
                <w:szCs w:val="16"/>
              </w:rPr>
              <w:t>3827</w:t>
            </w:r>
            <w:r w:rsidRPr="00111F34">
              <w:rPr>
                <w:b/>
                <w:color w:val="FFFFFF" w:themeColor="background1"/>
                <w:szCs w:val="16"/>
              </w:rPr>
              <w:t>/00</w:t>
            </w:r>
          </w:p>
        </w:tc>
        <w:tc>
          <w:tcPr>
            <w:tcW w:w="2210" w:type="pct"/>
            <w:tcBorders>
              <w:top w:val="single" w:sz="4" w:space="0" w:color="auto"/>
              <w:left w:val="nil"/>
              <w:bottom w:val="single" w:sz="4" w:space="0" w:color="auto"/>
              <w:right w:val="single" w:sz="4" w:space="0" w:color="auto"/>
            </w:tcBorders>
            <w:shd w:val="clear" w:color="auto" w:fill="233845"/>
            <w:vAlign w:val="center"/>
          </w:tcPr>
          <w:p w14:paraId="11FD4057" w14:textId="77777777" w:rsidR="00C61521" w:rsidRPr="00111F34" w:rsidRDefault="00C61521" w:rsidP="00433A80">
            <w:pPr>
              <w:pStyle w:val="Texttabulky"/>
              <w:jc w:val="center"/>
              <w:rPr>
                <w:b/>
                <w:color w:val="FFFFFF" w:themeColor="background1"/>
                <w:szCs w:val="16"/>
              </w:rPr>
            </w:pPr>
            <w:r w:rsidRPr="00111F34">
              <w:rPr>
                <w:b/>
                <w:color w:val="FFFFFF" w:themeColor="background1"/>
                <w:szCs w:val="16"/>
              </w:rPr>
              <w:t>Komentář</w:t>
            </w:r>
          </w:p>
        </w:tc>
      </w:tr>
      <w:tr w:rsidR="00C61521" w:rsidRPr="00111F34" w14:paraId="5DE6CA55" w14:textId="77777777" w:rsidTr="00433A80">
        <w:trPr>
          <w:trHeight w:val="135"/>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131A5B" w14:textId="77777777" w:rsidR="00C61521" w:rsidRPr="00111F34" w:rsidRDefault="00C61521" w:rsidP="00433A80">
            <w:pPr>
              <w:pStyle w:val="Texttabulky"/>
              <w:rPr>
                <w:rFonts w:cs="Arial"/>
                <w:b/>
                <w:color w:val="auto"/>
                <w:szCs w:val="16"/>
              </w:rPr>
            </w:pPr>
            <w:r w:rsidRPr="00111F34">
              <w:rPr>
                <w:rFonts w:cs="Arial"/>
                <w:b/>
                <w:color w:val="auto"/>
                <w:szCs w:val="16"/>
              </w:rPr>
              <w:t>01 SOULAD MĚSTSKÉHO A PŘÍRODNÍHO PROSTŘEDÍ</w:t>
            </w:r>
          </w:p>
        </w:tc>
      </w:tr>
      <w:tr w:rsidR="00C61521" w:rsidRPr="00111F34" w14:paraId="71243645" w14:textId="77777777" w:rsidTr="00433A80">
        <w:trPr>
          <w:trHeight w:val="223"/>
        </w:trPr>
        <w:tc>
          <w:tcPr>
            <w:tcW w:w="2283"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9ECFE56" w14:textId="77777777" w:rsidR="00C61521" w:rsidRPr="00111F34" w:rsidRDefault="00C61521" w:rsidP="00433A80">
            <w:pPr>
              <w:pStyle w:val="Texttabulky"/>
              <w:rPr>
                <w:rFonts w:cs="Arial"/>
                <w:b/>
                <w:color w:val="auto"/>
                <w:szCs w:val="16"/>
              </w:rPr>
            </w:pPr>
            <w:r w:rsidRPr="00111F34">
              <w:rPr>
                <w:rFonts w:cs="Arial"/>
                <w:b/>
                <w:color w:val="auto"/>
                <w:szCs w:val="16"/>
              </w:rPr>
              <w:t>pestré přírodní podmínky</w:t>
            </w:r>
          </w:p>
        </w:tc>
        <w:tc>
          <w:tcPr>
            <w:tcW w:w="507" w:type="pct"/>
            <w:tcBorders>
              <w:top w:val="single" w:sz="4" w:space="0" w:color="auto"/>
              <w:left w:val="single" w:sz="4" w:space="0" w:color="auto"/>
              <w:bottom w:val="single" w:sz="4" w:space="0" w:color="auto"/>
              <w:right w:val="single" w:sz="4" w:space="0" w:color="auto"/>
            </w:tcBorders>
            <w:shd w:val="clear" w:color="auto" w:fill="auto"/>
            <w:vAlign w:val="center"/>
          </w:tcPr>
          <w:p w14:paraId="13E612D2" w14:textId="7330002F" w:rsidR="00C61521" w:rsidRPr="00111F34" w:rsidRDefault="00C61521" w:rsidP="00C61521">
            <w:pPr>
              <w:pStyle w:val="Texttabulky"/>
              <w:jc w:val="center"/>
              <w:rPr>
                <w:rFonts w:cs="Arial"/>
                <w:color w:val="auto"/>
                <w:szCs w:val="16"/>
              </w:rPr>
            </w:pPr>
            <w:r w:rsidRPr="00111F34">
              <w:rPr>
                <w:rFonts w:asciiTheme="minorHAnsi" w:hAnsiTheme="minorHAnsi" w:cstheme="minorHAnsi"/>
                <w:szCs w:val="16"/>
              </w:rPr>
              <w:t>0</w:t>
            </w:r>
          </w:p>
        </w:tc>
        <w:tc>
          <w:tcPr>
            <w:tcW w:w="2210" w:type="pct"/>
            <w:tcBorders>
              <w:top w:val="single" w:sz="4" w:space="0" w:color="auto"/>
              <w:left w:val="single" w:sz="4" w:space="0" w:color="auto"/>
              <w:bottom w:val="single" w:sz="4" w:space="0" w:color="auto"/>
              <w:right w:val="single" w:sz="4" w:space="0" w:color="auto"/>
            </w:tcBorders>
            <w:shd w:val="clear" w:color="auto" w:fill="auto"/>
            <w:vAlign w:val="center"/>
          </w:tcPr>
          <w:p w14:paraId="7C6CB337" w14:textId="4CCB27DE" w:rsidR="00C61521" w:rsidRPr="00111F34" w:rsidRDefault="00C61521" w:rsidP="00433A80">
            <w:pPr>
              <w:pStyle w:val="Texttabulky"/>
              <w:jc w:val="center"/>
              <w:rPr>
                <w:rFonts w:cs="Arial"/>
                <w:b/>
                <w:color w:val="auto"/>
                <w:szCs w:val="16"/>
              </w:rPr>
            </w:pPr>
            <w:r w:rsidRPr="00111F34">
              <w:rPr>
                <w:rFonts w:cs="Arial"/>
                <w:szCs w:val="16"/>
              </w:rPr>
              <w:t xml:space="preserve">Z hlediska posuzované ÚPD bez přímé vazby. </w:t>
            </w:r>
          </w:p>
        </w:tc>
      </w:tr>
      <w:tr w:rsidR="007740DE" w:rsidRPr="00111F34" w14:paraId="0365B289" w14:textId="77777777" w:rsidTr="00433A80">
        <w:trPr>
          <w:trHeight w:val="127"/>
        </w:trPr>
        <w:tc>
          <w:tcPr>
            <w:tcW w:w="2283" w:type="pct"/>
            <w:tcBorders>
              <w:top w:val="nil"/>
              <w:left w:val="single" w:sz="4" w:space="0" w:color="auto"/>
              <w:bottom w:val="single" w:sz="4" w:space="0" w:color="auto"/>
              <w:right w:val="single" w:sz="4" w:space="0" w:color="auto"/>
            </w:tcBorders>
            <w:shd w:val="clear" w:color="auto" w:fill="auto"/>
            <w:noWrap/>
            <w:vAlign w:val="center"/>
            <w:hideMark/>
          </w:tcPr>
          <w:p w14:paraId="1542E77C" w14:textId="77777777" w:rsidR="007740DE" w:rsidRPr="00111F34" w:rsidRDefault="007740DE" w:rsidP="007740DE">
            <w:pPr>
              <w:pStyle w:val="Odrky1"/>
              <w:spacing w:before="0" w:after="0"/>
              <w:rPr>
                <w:sz w:val="16"/>
                <w:szCs w:val="16"/>
              </w:rPr>
            </w:pPr>
            <w:r w:rsidRPr="00111F34">
              <w:rPr>
                <w:sz w:val="16"/>
                <w:szCs w:val="16"/>
              </w:rPr>
              <w:t>národní přírodní památky</w:t>
            </w:r>
          </w:p>
        </w:tc>
        <w:tc>
          <w:tcPr>
            <w:tcW w:w="507" w:type="pct"/>
            <w:tcBorders>
              <w:top w:val="nil"/>
              <w:left w:val="nil"/>
              <w:bottom w:val="single" w:sz="4" w:space="0" w:color="auto"/>
              <w:right w:val="single" w:sz="4" w:space="0" w:color="auto"/>
            </w:tcBorders>
            <w:shd w:val="clear" w:color="auto" w:fill="auto"/>
            <w:noWrap/>
            <w:vAlign w:val="center"/>
            <w:hideMark/>
          </w:tcPr>
          <w:p w14:paraId="42B7419C" w14:textId="1EAC0BB1" w:rsidR="007740DE" w:rsidRPr="00111F34" w:rsidRDefault="007740DE" w:rsidP="007740DE">
            <w:pPr>
              <w:pStyle w:val="Texttabulky"/>
              <w:jc w:val="center"/>
              <w:rPr>
                <w:rFonts w:asciiTheme="minorHAnsi" w:hAnsiTheme="minorHAnsi" w:cstheme="minorHAnsi"/>
                <w:color w:val="auto"/>
                <w:szCs w:val="16"/>
              </w:rPr>
            </w:pPr>
            <w:r w:rsidRPr="00111F34">
              <w:rPr>
                <w:rFonts w:asciiTheme="minorHAnsi" w:hAnsiTheme="minorHAnsi" w:cstheme="minorHAnsi"/>
                <w:szCs w:val="16"/>
              </w:rPr>
              <w:t>0</w:t>
            </w:r>
          </w:p>
        </w:tc>
        <w:tc>
          <w:tcPr>
            <w:tcW w:w="2210" w:type="pct"/>
            <w:tcBorders>
              <w:top w:val="nil"/>
              <w:left w:val="nil"/>
              <w:bottom w:val="single" w:sz="4" w:space="0" w:color="auto"/>
              <w:right w:val="single" w:sz="4" w:space="0" w:color="auto"/>
            </w:tcBorders>
            <w:vAlign w:val="center"/>
          </w:tcPr>
          <w:p w14:paraId="0B5CD50B" w14:textId="1BC2FD0F" w:rsidR="007740DE" w:rsidRPr="00111F34" w:rsidRDefault="007740DE" w:rsidP="007740DE">
            <w:pPr>
              <w:pStyle w:val="Texttabulky"/>
              <w:jc w:val="center"/>
              <w:rPr>
                <w:rFonts w:cs="Arial"/>
                <w:color w:val="auto"/>
                <w:szCs w:val="16"/>
              </w:rPr>
            </w:pPr>
            <w:r w:rsidRPr="00111F34">
              <w:rPr>
                <w:rFonts w:cs="Arial"/>
                <w:szCs w:val="16"/>
              </w:rPr>
              <w:t xml:space="preserve">Z hlediska posuzované ÚPD bez přímé vazby. </w:t>
            </w:r>
          </w:p>
        </w:tc>
      </w:tr>
      <w:tr w:rsidR="00C61521" w:rsidRPr="00111F34" w14:paraId="7971ED50" w14:textId="77777777" w:rsidTr="00433A80">
        <w:trPr>
          <w:trHeight w:val="201"/>
        </w:trPr>
        <w:tc>
          <w:tcPr>
            <w:tcW w:w="2283" w:type="pct"/>
            <w:tcBorders>
              <w:top w:val="nil"/>
              <w:left w:val="single" w:sz="4" w:space="0" w:color="auto"/>
              <w:bottom w:val="single" w:sz="4" w:space="0" w:color="auto"/>
              <w:right w:val="single" w:sz="4" w:space="0" w:color="auto"/>
            </w:tcBorders>
            <w:shd w:val="clear" w:color="auto" w:fill="auto"/>
            <w:noWrap/>
            <w:vAlign w:val="center"/>
            <w:hideMark/>
          </w:tcPr>
          <w:p w14:paraId="6F7ED356" w14:textId="77777777" w:rsidR="00C61521" w:rsidRPr="00111F34" w:rsidRDefault="00C61521" w:rsidP="00433A80">
            <w:pPr>
              <w:pStyle w:val="Odrky1"/>
              <w:spacing w:before="0" w:after="0"/>
              <w:rPr>
                <w:sz w:val="16"/>
                <w:szCs w:val="16"/>
              </w:rPr>
            </w:pPr>
            <w:r w:rsidRPr="00111F34">
              <w:rPr>
                <w:sz w:val="16"/>
                <w:szCs w:val="16"/>
              </w:rPr>
              <w:t>hranice CHKO Český kras</w:t>
            </w:r>
          </w:p>
        </w:tc>
        <w:tc>
          <w:tcPr>
            <w:tcW w:w="507" w:type="pct"/>
            <w:tcBorders>
              <w:top w:val="nil"/>
              <w:left w:val="nil"/>
              <w:bottom w:val="single" w:sz="4" w:space="0" w:color="auto"/>
              <w:right w:val="single" w:sz="4" w:space="0" w:color="auto"/>
            </w:tcBorders>
            <w:shd w:val="clear" w:color="auto" w:fill="auto"/>
            <w:noWrap/>
            <w:vAlign w:val="center"/>
            <w:hideMark/>
          </w:tcPr>
          <w:p w14:paraId="6F7E7277" w14:textId="77777777" w:rsidR="00C61521" w:rsidRPr="00111F34" w:rsidRDefault="00C61521" w:rsidP="00433A80">
            <w:pPr>
              <w:pStyle w:val="Texttabulky"/>
              <w:jc w:val="center"/>
              <w:rPr>
                <w:rFonts w:asciiTheme="minorHAnsi" w:hAnsiTheme="minorHAnsi" w:cstheme="minorHAnsi"/>
                <w:color w:val="auto"/>
                <w:szCs w:val="16"/>
              </w:rPr>
            </w:pPr>
            <w:r w:rsidRPr="00111F34">
              <w:rPr>
                <w:rFonts w:asciiTheme="minorHAnsi" w:hAnsiTheme="minorHAnsi" w:cstheme="minorHAnsi"/>
                <w:szCs w:val="16"/>
              </w:rPr>
              <w:t>0</w:t>
            </w:r>
          </w:p>
        </w:tc>
        <w:tc>
          <w:tcPr>
            <w:tcW w:w="2210" w:type="pct"/>
            <w:tcBorders>
              <w:top w:val="nil"/>
              <w:left w:val="nil"/>
              <w:bottom w:val="single" w:sz="4" w:space="0" w:color="auto"/>
              <w:right w:val="single" w:sz="4" w:space="0" w:color="auto"/>
            </w:tcBorders>
            <w:vAlign w:val="center"/>
          </w:tcPr>
          <w:p w14:paraId="60FA328B" w14:textId="77777777" w:rsidR="00C61521" w:rsidRPr="00111F34" w:rsidRDefault="00C61521" w:rsidP="00433A80">
            <w:pPr>
              <w:pStyle w:val="Texttabulky"/>
              <w:jc w:val="center"/>
              <w:rPr>
                <w:rFonts w:cs="Arial"/>
                <w:color w:val="auto"/>
                <w:szCs w:val="16"/>
              </w:rPr>
            </w:pPr>
            <w:r w:rsidRPr="00111F34">
              <w:rPr>
                <w:rFonts w:cs="Arial"/>
                <w:szCs w:val="16"/>
              </w:rPr>
              <w:t xml:space="preserve">Z hlediska posuzované ÚPD bez přímé vazby. </w:t>
            </w:r>
          </w:p>
        </w:tc>
      </w:tr>
      <w:tr w:rsidR="007740DE" w:rsidRPr="00111F34" w14:paraId="19FC163B" w14:textId="77777777" w:rsidTr="00433A80">
        <w:trPr>
          <w:trHeight w:val="192"/>
        </w:trPr>
        <w:tc>
          <w:tcPr>
            <w:tcW w:w="2283" w:type="pct"/>
            <w:tcBorders>
              <w:top w:val="nil"/>
              <w:left w:val="single" w:sz="4" w:space="0" w:color="auto"/>
              <w:bottom w:val="single" w:sz="4" w:space="0" w:color="auto"/>
              <w:right w:val="single" w:sz="4" w:space="0" w:color="auto"/>
            </w:tcBorders>
            <w:shd w:val="clear" w:color="auto" w:fill="auto"/>
            <w:noWrap/>
            <w:vAlign w:val="center"/>
          </w:tcPr>
          <w:p w14:paraId="22AA08B4" w14:textId="77777777" w:rsidR="007740DE" w:rsidRPr="00111F34" w:rsidRDefault="007740DE" w:rsidP="007740DE">
            <w:pPr>
              <w:pStyle w:val="Odrky1"/>
              <w:spacing w:before="0" w:after="0"/>
              <w:rPr>
                <w:sz w:val="16"/>
                <w:szCs w:val="16"/>
              </w:rPr>
            </w:pPr>
            <w:r w:rsidRPr="00111F34">
              <w:rPr>
                <w:sz w:val="16"/>
                <w:szCs w:val="16"/>
              </w:rPr>
              <w:t>přírodní památky</w:t>
            </w:r>
          </w:p>
        </w:tc>
        <w:tc>
          <w:tcPr>
            <w:tcW w:w="507" w:type="pct"/>
            <w:tcBorders>
              <w:top w:val="nil"/>
              <w:left w:val="nil"/>
              <w:bottom w:val="single" w:sz="4" w:space="0" w:color="auto"/>
              <w:right w:val="single" w:sz="4" w:space="0" w:color="auto"/>
            </w:tcBorders>
            <w:shd w:val="clear" w:color="auto" w:fill="auto"/>
            <w:noWrap/>
            <w:vAlign w:val="center"/>
            <w:hideMark/>
          </w:tcPr>
          <w:p w14:paraId="701CB7C8" w14:textId="5BD474A4" w:rsidR="007740DE" w:rsidRPr="00111F34" w:rsidRDefault="007740DE" w:rsidP="007740DE">
            <w:pPr>
              <w:pStyle w:val="Texttabulky"/>
              <w:jc w:val="center"/>
              <w:rPr>
                <w:rFonts w:asciiTheme="minorHAnsi" w:hAnsiTheme="minorHAnsi" w:cstheme="minorHAnsi"/>
                <w:color w:val="auto"/>
                <w:szCs w:val="16"/>
              </w:rPr>
            </w:pPr>
            <w:r w:rsidRPr="00111F34">
              <w:rPr>
                <w:rFonts w:asciiTheme="minorHAnsi" w:hAnsiTheme="minorHAnsi" w:cstheme="minorHAnsi"/>
                <w:szCs w:val="16"/>
              </w:rPr>
              <w:t>0/-</w:t>
            </w:r>
          </w:p>
        </w:tc>
        <w:tc>
          <w:tcPr>
            <w:tcW w:w="2210" w:type="pct"/>
            <w:tcBorders>
              <w:top w:val="nil"/>
              <w:left w:val="nil"/>
              <w:bottom w:val="single" w:sz="4" w:space="0" w:color="auto"/>
              <w:right w:val="single" w:sz="4" w:space="0" w:color="auto"/>
            </w:tcBorders>
            <w:vAlign w:val="center"/>
          </w:tcPr>
          <w:p w14:paraId="18C35E0F" w14:textId="2DF4EDE7" w:rsidR="007740DE" w:rsidRPr="00111F34" w:rsidRDefault="007740DE" w:rsidP="007740DE">
            <w:pPr>
              <w:pStyle w:val="Texttabulky"/>
              <w:jc w:val="center"/>
              <w:rPr>
                <w:rFonts w:cs="Arial"/>
                <w:color w:val="auto"/>
                <w:szCs w:val="16"/>
              </w:rPr>
            </w:pPr>
            <w:r w:rsidRPr="00111F34">
              <w:rPr>
                <w:rFonts w:cs="Arial"/>
                <w:szCs w:val="16"/>
              </w:rPr>
              <w:t>Z hlediska posuzované ÚPD bez přímé vazby. Zlepšení prostupnosti území může mít zprostředkovaně potenciálně negativní vliv na zvýšení tlaku návštěvníků území horních partií Podbabských skal.</w:t>
            </w:r>
          </w:p>
        </w:tc>
      </w:tr>
      <w:tr w:rsidR="007740DE" w:rsidRPr="00111F34" w14:paraId="22B099C6" w14:textId="77777777" w:rsidTr="00433A80">
        <w:trPr>
          <w:trHeight w:val="141"/>
        </w:trPr>
        <w:tc>
          <w:tcPr>
            <w:tcW w:w="2283" w:type="pct"/>
            <w:tcBorders>
              <w:top w:val="nil"/>
              <w:left w:val="single" w:sz="4" w:space="0" w:color="auto"/>
              <w:bottom w:val="single" w:sz="4" w:space="0" w:color="auto"/>
              <w:right w:val="single" w:sz="4" w:space="0" w:color="auto"/>
            </w:tcBorders>
            <w:shd w:val="clear" w:color="auto" w:fill="auto"/>
            <w:noWrap/>
            <w:vAlign w:val="center"/>
          </w:tcPr>
          <w:p w14:paraId="76ED926C" w14:textId="77777777" w:rsidR="007740DE" w:rsidRPr="00111F34" w:rsidRDefault="007740DE" w:rsidP="007740DE">
            <w:pPr>
              <w:pStyle w:val="Odrky1"/>
              <w:spacing w:before="0" w:after="0"/>
              <w:rPr>
                <w:sz w:val="16"/>
                <w:szCs w:val="16"/>
              </w:rPr>
            </w:pPr>
            <w:r w:rsidRPr="00111F34">
              <w:rPr>
                <w:sz w:val="16"/>
                <w:szCs w:val="16"/>
              </w:rPr>
              <w:t>přírodní rezervace</w:t>
            </w:r>
          </w:p>
        </w:tc>
        <w:tc>
          <w:tcPr>
            <w:tcW w:w="507" w:type="pct"/>
            <w:tcBorders>
              <w:top w:val="nil"/>
              <w:left w:val="nil"/>
              <w:bottom w:val="single" w:sz="4" w:space="0" w:color="auto"/>
              <w:right w:val="single" w:sz="4" w:space="0" w:color="auto"/>
            </w:tcBorders>
            <w:shd w:val="clear" w:color="auto" w:fill="auto"/>
            <w:noWrap/>
            <w:vAlign w:val="center"/>
            <w:hideMark/>
          </w:tcPr>
          <w:p w14:paraId="131733E5" w14:textId="69C1F081" w:rsidR="007740DE" w:rsidRPr="00111F34" w:rsidRDefault="007740DE" w:rsidP="007740DE">
            <w:pPr>
              <w:pStyle w:val="Texttabulky"/>
              <w:jc w:val="center"/>
              <w:rPr>
                <w:rFonts w:asciiTheme="minorHAnsi" w:hAnsiTheme="minorHAnsi" w:cstheme="minorHAnsi"/>
                <w:color w:val="auto"/>
                <w:szCs w:val="16"/>
              </w:rPr>
            </w:pPr>
            <w:r w:rsidRPr="00111F34">
              <w:rPr>
                <w:rFonts w:asciiTheme="minorHAnsi" w:hAnsiTheme="minorHAnsi" w:cstheme="minorHAnsi"/>
                <w:szCs w:val="16"/>
              </w:rPr>
              <w:t>0</w:t>
            </w:r>
          </w:p>
        </w:tc>
        <w:tc>
          <w:tcPr>
            <w:tcW w:w="2210" w:type="pct"/>
            <w:tcBorders>
              <w:top w:val="nil"/>
              <w:left w:val="nil"/>
              <w:bottom w:val="single" w:sz="4" w:space="0" w:color="auto"/>
              <w:right w:val="single" w:sz="4" w:space="0" w:color="auto"/>
            </w:tcBorders>
            <w:vAlign w:val="center"/>
          </w:tcPr>
          <w:p w14:paraId="7C2E9900" w14:textId="0A128CA7" w:rsidR="007740DE" w:rsidRPr="00111F34" w:rsidRDefault="007740DE" w:rsidP="007740DE">
            <w:pPr>
              <w:pStyle w:val="Texttabulky"/>
              <w:jc w:val="center"/>
              <w:rPr>
                <w:rFonts w:cs="Arial"/>
                <w:color w:val="auto"/>
                <w:szCs w:val="16"/>
              </w:rPr>
            </w:pPr>
            <w:r w:rsidRPr="00111F34">
              <w:rPr>
                <w:rFonts w:cs="Arial"/>
                <w:szCs w:val="16"/>
              </w:rPr>
              <w:t xml:space="preserve">Z hlediska posuzované ÚPD bez přímé vazby. </w:t>
            </w:r>
          </w:p>
        </w:tc>
      </w:tr>
      <w:tr w:rsidR="007740DE" w:rsidRPr="00111F34" w14:paraId="33595BA9" w14:textId="77777777" w:rsidTr="00433A80">
        <w:trPr>
          <w:trHeight w:val="141"/>
        </w:trPr>
        <w:tc>
          <w:tcPr>
            <w:tcW w:w="2283" w:type="pct"/>
            <w:tcBorders>
              <w:top w:val="nil"/>
              <w:left w:val="single" w:sz="4" w:space="0" w:color="auto"/>
              <w:bottom w:val="single" w:sz="4" w:space="0" w:color="auto"/>
              <w:right w:val="single" w:sz="4" w:space="0" w:color="auto"/>
            </w:tcBorders>
            <w:shd w:val="clear" w:color="auto" w:fill="auto"/>
            <w:noWrap/>
            <w:vAlign w:val="center"/>
          </w:tcPr>
          <w:p w14:paraId="6C0815AC" w14:textId="77777777" w:rsidR="007740DE" w:rsidRPr="00111F34" w:rsidRDefault="007740DE" w:rsidP="007740DE">
            <w:pPr>
              <w:pStyle w:val="Odrky1"/>
              <w:spacing w:before="0" w:after="0"/>
              <w:rPr>
                <w:sz w:val="16"/>
                <w:szCs w:val="16"/>
              </w:rPr>
            </w:pPr>
            <w:r w:rsidRPr="00111F34">
              <w:rPr>
                <w:sz w:val="16"/>
                <w:szCs w:val="16"/>
              </w:rPr>
              <w:t>VKP registrované</w:t>
            </w:r>
          </w:p>
        </w:tc>
        <w:tc>
          <w:tcPr>
            <w:tcW w:w="507" w:type="pct"/>
            <w:tcBorders>
              <w:top w:val="nil"/>
              <w:left w:val="nil"/>
              <w:bottom w:val="single" w:sz="4" w:space="0" w:color="auto"/>
              <w:right w:val="single" w:sz="4" w:space="0" w:color="auto"/>
            </w:tcBorders>
            <w:shd w:val="clear" w:color="auto" w:fill="auto"/>
            <w:noWrap/>
            <w:vAlign w:val="center"/>
            <w:hideMark/>
          </w:tcPr>
          <w:p w14:paraId="0D345209" w14:textId="77777777" w:rsidR="007740DE" w:rsidRPr="00111F34" w:rsidRDefault="007740DE" w:rsidP="007740DE">
            <w:pPr>
              <w:pStyle w:val="Texttabulky"/>
              <w:jc w:val="center"/>
              <w:rPr>
                <w:rFonts w:asciiTheme="minorHAnsi" w:hAnsiTheme="minorHAnsi" w:cstheme="minorHAnsi"/>
                <w:color w:val="auto"/>
                <w:szCs w:val="16"/>
              </w:rPr>
            </w:pPr>
            <w:r w:rsidRPr="00111F34">
              <w:rPr>
                <w:rFonts w:asciiTheme="minorHAnsi" w:hAnsiTheme="minorHAnsi" w:cstheme="minorHAnsi"/>
                <w:szCs w:val="16"/>
              </w:rPr>
              <w:t>0</w:t>
            </w:r>
          </w:p>
        </w:tc>
        <w:tc>
          <w:tcPr>
            <w:tcW w:w="2210" w:type="pct"/>
            <w:tcBorders>
              <w:top w:val="nil"/>
              <w:left w:val="nil"/>
              <w:bottom w:val="single" w:sz="4" w:space="0" w:color="auto"/>
              <w:right w:val="single" w:sz="4" w:space="0" w:color="auto"/>
            </w:tcBorders>
            <w:vAlign w:val="center"/>
          </w:tcPr>
          <w:p w14:paraId="2B3BE1FC" w14:textId="77777777" w:rsidR="007740DE" w:rsidRPr="00111F34" w:rsidRDefault="007740DE" w:rsidP="007740DE">
            <w:pPr>
              <w:pStyle w:val="Texttabulky"/>
              <w:jc w:val="center"/>
              <w:rPr>
                <w:rFonts w:cs="Arial"/>
                <w:color w:val="auto"/>
                <w:szCs w:val="16"/>
              </w:rPr>
            </w:pPr>
            <w:r w:rsidRPr="00111F34">
              <w:rPr>
                <w:rFonts w:cs="Arial"/>
                <w:szCs w:val="16"/>
              </w:rPr>
              <w:t xml:space="preserve">Z hlediska posuzované ÚPD bez přímé vazby. </w:t>
            </w:r>
          </w:p>
        </w:tc>
      </w:tr>
      <w:tr w:rsidR="007740DE" w:rsidRPr="00111F34" w14:paraId="36333BCC" w14:textId="77777777" w:rsidTr="00760A82">
        <w:trPr>
          <w:trHeight w:val="194"/>
        </w:trPr>
        <w:tc>
          <w:tcPr>
            <w:tcW w:w="2283" w:type="pct"/>
            <w:tcBorders>
              <w:top w:val="nil"/>
              <w:left w:val="single" w:sz="4" w:space="0" w:color="auto"/>
              <w:bottom w:val="single" w:sz="4" w:space="0" w:color="auto"/>
              <w:right w:val="single" w:sz="4" w:space="0" w:color="auto"/>
            </w:tcBorders>
            <w:shd w:val="clear" w:color="auto" w:fill="auto"/>
            <w:noWrap/>
            <w:vAlign w:val="center"/>
          </w:tcPr>
          <w:p w14:paraId="061E3771" w14:textId="77777777" w:rsidR="007740DE" w:rsidRPr="00111F34" w:rsidRDefault="007740DE" w:rsidP="007740DE">
            <w:pPr>
              <w:pStyle w:val="Odrky1"/>
              <w:spacing w:before="0" w:after="0"/>
              <w:rPr>
                <w:sz w:val="16"/>
                <w:szCs w:val="16"/>
              </w:rPr>
            </w:pPr>
            <w:r w:rsidRPr="00111F34">
              <w:rPr>
                <w:sz w:val="16"/>
                <w:szCs w:val="16"/>
              </w:rPr>
              <w:t>Natura 2000</w:t>
            </w:r>
          </w:p>
        </w:tc>
        <w:tc>
          <w:tcPr>
            <w:tcW w:w="507" w:type="pct"/>
            <w:tcBorders>
              <w:top w:val="nil"/>
              <w:left w:val="nil"/>
              <w:bottom w:val="single" w:sz="4" w:space="0" w:color="auto"/>
              <w:right w:val="single" w:sz="4" w:space="0" w:color="auto"/>
            </w:tcBorders>
            <w:shd w:val="clear" w:color="auto" w:fill="auto"/>
            <w:noWrap/>
            <w:vAlign w:val="center"/>
            <w:hideMark/>
          </w:tcPr>
          <w:p w14:paraId="5041A3BF" w14:textId="3AED9621" w:rsidR="007740DE" w:rsidRPr="00111F34" w:rsidRDefault="007740DE" w:rsidP="007740DE">
            <w:pPr>
              <w:pStyle w:val="Texttabulky"/>
              <w:jc w:val="center"/>
              <w:rPr>
                <w:rFonts w:asciiTheme="minorHAnsi" w:hAnsiTheme="minorHAnsi" w:cstheme="minorHAnsi"/>
                <w:color w:val="auto"/>
                <w:szCs w:val="16"/>
              </w:rPr>
            </w:pPr>
            <w:r w:rsidRPr="00111F34">
              <w:rPr>
                <w:rFonts w:asciiTheme="minorHAnsi" w:hAnsiTheme="minorHAnsi" w:cstheme="minorHAnsi"/>
                <w:szCs w:val="16"/>
              </w:rPr>
              <w:t>0/-</w:t>
            </w:r>
          </w:p>
        </w:tc>
        <w:tc>
          <w:tcPr>
            <w:tcW w:w="2210" w:type="pct"/>
            <w:tcBorders>
              <w:top w:val="nil"/>
              <w:left w:val="nil"/>
              <w:bottom w:val="single" w:sz="4" w:space="0" w:color="auto"/>
              <w:right w:val="single" w:sz="4" w:space="0" w:color="auto"/>
            </w:tcBorders>
            <w:vAlign w:val="center"/>
          </w:tcPr>
          <w:p w14:paraId="0133AAFC" w14:textId="05DD79CE" w:rsidR="007740DE" w:rsidRPr="00111F34" w:rsidRDefault="007740DE" w:rsidP="002D6405">
            <w:pPr>
              <w:pStyle w:val="Texttabulky"/>
              <w:jc w:val="center"/>
              <w:rPr>
                <w:rFonts w:cs="Arial"/>
                <w:color w:val="auto"/>
                <w:szCs w:val="16"/>
              </w:rPr>
            </w:pPr>
            <w:r w:rsidRPr="00111F34">
              <w:rPr>
                <w:rFonts w:cs="Arial"/>
                <w:szCs w:val="16"/>
              </w:rPr>
              <w:t>Z hlediska posuzované ÚPD bez přímé vazby. Zlepšení prostupnosti území může mít zprostředkovaně potenciálně negativní vliv na zvýšení tlaku návštěvníků území horních partií Podbabských skal.</w:t>
            </w:r>
          </w:p>
        </w:tc>
      </w:tr>
      <w:tr w:rsidR="007740DE" w:rsidRPr="00111F34" w14:paraId="0D2BB086" w14:textId="77777777" w:rsidTr="00433A80">
        <w:trPr>
          <w:trHeight w:val="208"/>
        </w:trPr>
        <w:tc>
          <w:tcPr>
            <w:tcW w:w="2283" w:type="pct"/>
            <w:tcBorders>
              <w:top w:val="nil"/>
              <w:left w:val="single" w:sz="4" w:space="0" w:color="auto"/>
              <w:bottom w:val="single" w:sz="4" w:space="0" w:color="auto"/>
              <w:right w:val="single" w:sz="4" w:space="0" w:color="auto"/>
            </w:tcBorders>
            <w:shd w:val="clear" w:color="auto" w:fill="auto"/>
            <w:noWrap/>
            <w:vAlign w:val="center"/>
          </w:tcPr>
          <w:p w14:paraId="6689C811" w14:textId="77777777" w:rsidR="007740DE" w:rsidRPr="00111F34" w:rsidRDefault="007740DE" w:rsidP="007740DE">
            <w:pPr>
              <w:pStyle w:val="Odrky1"/>
              <w:spacing w:before="0" w:after="0"/>
              <w:rPr>
                <w:sz w:val="16"/>
                <w:szCs w:val="16"/>
              </w:rPr>
            </w:pPr>
            <w:r w:rsidRPr="00111F34">
              <w:rPr>
                <w:sz w:val="16"/>
                <w:szCs w:val="16"/>
              </w:rPr>
              <w:t>říční niva</w:t>
            </w:r>
          </w:p>
        </w:tc>
        <w:tc>
          <w:tcPr>
            <w:tcW w:w="507" w:type="pct"/>
            <w:tcBorders>
              <w:top w:val="nil"/>
              <w:left w:val="nil"/>
              <w:bottom w:val="single" w:sz="4" w:space="0" w:color="auto"/>
              <w:right w:val="single" w:sz="4" w:space="0" w:color="auto"/>
            </w:tcBorders>
            <w:shd w:val="clear" w:color="auto" w:fill="auto"/>
            <w:noWrap/>
            <w:vAlign w:val="center"/>
            <w:hideMark/>
          </w:tcPr>
          <w:p w14:paraId="4ECD1A01" w14:textId="77777777" w:rsidR="007740DE" w:rsidRPr="00111F34" w:rsidRDefault="007740DE" w:rsidP="007740DE">
            <w:pPr>
              <w:pStyle w:val="Texttabulky"/>
              <w:jc w:val="center"/>
              <w:rPr>
                <w:rFonts w:asciiTheme="minorHAnsi" w:hAnsiTheme="minorHAnsi" w:cstheme="minorHAnsi"/>
                <w:color w:val="auto"/>
                <w:szCs w:val="16"/>
              </w:rPr>
            </w:pPr>
            <w:r w:rsidRPr="00111F34">
              <w:rPr>
                <w:rFonts w:asciiTheme="minorHAnsi" w:hAnsiTheme="minorHAnsi" w:cstheme="minorHAnsi"/>
                <w:szCs w:val="16"/>
              </w:rPr>
              <w:t>0</w:t>
            </w:r>
          </w:p>
        </w:tc>
        <w:tc>
          <w:tcPr>
            <w:tcW w:w="2210" w:type="pct"/>
            <w:tcBorders>
              <w:top w:val="nil"/>
              <w:left w:val="nil"/>
              <w:bottom w:val="single" w:sz="4" w:space="0" w:color="auto"/>
              <w:right w:val="single" w:sz="4" w:space="0" w:color="auto"/>
            </w:tcBorders>
            <w:vAlign w:val="center"/>
          </w:tcPr>
          <w:p w14:paraId="2D6B6C6F" w14:textId="40AC63FE" w:rsidR="007740DE" w:rsidRPr="00111F34" w:rsidRDefault="007740DE" w:rsidP="007740DE">
            <w:pPr>
              <w:pStyle w:val="Texttabulky"/>
              <w:jc w:val="center"/>
              <w:rPr>
                <w:rFonts w:cs="Arial"/>
                <w:color w:val="auto"/>
                <w:szCs w:val="16"/>
              </w:rPr>
            </w:pPr>
            <w:r w:rsidRPr="00111F34">
              <w:rPr>
                <w:rFonts w:cs="Arial"/>
                <w:szCs w:val="16"/>
              </w:rPr>
              <w:t xml:space="preserve">Z hlediska posuzované ÚPD bez podstatného vlivu. </w:t>
            </w:r>
          </w:p>
        </w:tc>
      </w:tr>
      <w:tr w:rsidR="007740DE" w:rsidRPr="00111F34" w14:paraId="5E48BF59" w14:textId="77777777" w:rsidTr="00433A80">
        <w:trPr>
          <w:trHeight w:val="197"/>
        </w:trPr>
        <w:tc>
          <w:tcPr>
            <w:tcW w:w="2283" w:type="pct"/>
            <w:tcBorders>
              <w:top w:val="nil"/>
              <w:left w:val="single" w:sz="4" w:space="0" w:color="auto"/>
              <w:bottom w:val="single" w:sz="4" w:space="0" w:color="auto"/>
              <w:right w:val="single" w:sz="4" w:space="0" w:color="auto"/>
            </w:tcBorders>
            <w:shd w:val="clear" w:color="auto" w:fill="auto"/>
            <w:noWrap/>
            <w:vAlign w:val="center"/>
          </w:tcPr>
          <w:p w14:paraId="601FC21F" w14:textId="77777777" w:rsidR="007740DE" w:rsidRPr="00111F34" w:rsidRDefault="007740DE" w:rsidP="007740DE">
            <w:pPr>
              <w:pStyle w:val="Odrky1"/>
              <w:spacing w:before="0" w:after="0"/>
              <w:rPr>
                <w:sz w:val="16"/>
                <w:szCs w:val="16"/>
              </w:rPr>
            </w:pPr>
            <w:r w:rsidRPr="00111F34">
              <w:rPr>
                <w:sz w:val="16"/>
                <w:szCs w:val="16"/>
              </w:rPr>
              <w:t>vodní plochy</w:t>
            </w:r>
          </w:p>
        </w:tc>
        <w:tc>
          <w:tcPr>
            <w:tcW w:w="507" w:type="pct"/>
            <w:tcBorders>
              <w:top w:val="nil"/>
              <w:left w:val="nil"/>
              <w:bottom w:val="single" w:sz="4" w:space="0" w:color="auto"/>
              <w:right w:val="single" w:sz="4" w:space="0" w:color="auto"/>
            </w:tcBorders>
            <w:shd w:val="clear" w:color="auto" w:fill="auto"/>
            <w:noWrap/>
            <w:vAlign w:val="center"/>
            <w:hideMark/>
          </w:tcPr>
          <w:p w14:paraId="3D66F701" w14:textId="77777777" w:rsidR="007740DE" w:rsidRPr="00111F34" w:rsidRDefault="007740DE" w:rsidP="007740DE">
            <w:pPr>
              <w:pStyle w:val="Texttabulky"/>
              <w:jc w:val="center"/>
              <w:rPr>
                <w:rFonts w:asciiTheme="minorHAnsi" w:hAnsiTheme="minorHAnsi" w:cstheme="minorHAnsi"/>
                <w:color w:val="auto"/>
                <w:szCs w:val="16"/>
              </w:rPr>
            </w:pPr>
            <w:r w:rsidRPr="00111F34">
              <w:rPr>
                <w:rFonts w:asciiTheme="minorHAnsi" w:hAnsiTheme="minorHAnsi" w:cstheme="minorHAnsi"/>
                <w:szCs w:val="16"/>
              </w:rPr>
              <w:t>0</w:t>
            </w:r>
          </w:p>
        </w:tc>
        <w:tc>
          <w:tcPr>
            <w:tcW w:w="2210" w:type="pct"/>
            <w:tcBorders>
              <w:top w:val="nil"/>
              <w:left w:val="nil"/>
              <w:bottom w:val="single" w:sz="4" w:space="0" w:color="auto"/>
              <w:right w:val="single" w:sz="4" w:space="0" w:color="auto"/>
            </w:tcBorders>
            <w:vAlign w:val="center"/>
          </w:tcPr>
          <w:p w14:paraId="321EAFBD" w14:textId="77777777" w:rsidR="007740DE" w:rsidRPr="00111F34" w:rsidRDefault="007740DE" w:rsidP="007740DE">
            <w:pPr>
              <w:pStyle w:val="Texttabulky"/>
              <w:jc w:val="center"/>
              <w:rPr>
                <w:rFonts w:cs="Arial"/>
                <w:color w:val="auto"/>
                <w:szCs w:val="16"/>
              </w:rPr>
            </w:pPr>
            <w:r w:rsidRPr="00111F34">
              <w:rPr>
                <w:rFonts w:cs="Arial"/>
                <w:szCs w:val="16"/>
              </w:rPr>
              <w:t xml:space="preserve">Z hlediska posuzované ÚPD bez přímé vazby. </w:t>
            </w:r>
          </w:p>
        </w:tc>
      </w:tr>
      <w:tr w:rsidR="007740DE" w:rsidRPr="00111F34" w14:paraId="01837777" w14:textId="77777777" w:rsidTr="00433A80">
        <w:trPr>
          <w:trHeight w:val="230"/>
        </w:trPr>
        <w:tc>
          <w:tcPr>
            <w:tcW w:w="2283" w:type="pct"/>
            <w:tcBorders>
              <w:top w:val="nil"/>
              <w:left w:val="single" w:sz="4" w:space="0" w:color="auto"/>
              <w:bottom w:val="single" w:sz="4" w:space="0" w:color="auto"/>
              <w:right w:val="single" w:sz="4" w:space="0" w:color="auto"/>
            </w:tcBorders>
            <w:shd w:val="clear" w:color="auto" w:fill="auto"/>
            <w:noWrap/>
            <w:vAlign w:val="center"/>
          </w:tcPr>
          <w:p w14:paraId="27E1A36F" w14:textId="77777777" w:rsidR="007740DE" w:rsidRPr="00111F34" w:rsidRDefault="007740DE" w:rsidP="007740DE">
            <w:pPr>
              <w:pStyle w:val="Odrky1"/>
              <w:spacing w:before="0" w:after="0"/>
              <w:rPr>
                <w:sz w:val="16"/>
                <w:szCs w:val="16"/>
              </w:rPr>
            </w:pPr>
            <w:r w:rsidRPr="00111F34">
              <w:rPr>
                <w:sz w:val="16"/>
                <w:szCs w:val="16"/>
              </w:rPr>
              <w:t>vodní toky</w:t>
            </w:r>
          </w:p>
        </w:tc>
        <w:tc>
          <w:tcPr>
            <w:tcW w:w="507" w:type="pct"/>
            <w:tcBorders>
              <w:top w:val="nil"/>
              <w:left w:val="nil"/>
              <w:bottom w:val="single" w:sz="4" w:space="0" w:color="auto"/>
              <w:right w:val="single" w:sz="4" w:space="0" w:color="auto"/>
            </w:tcBorders>
            <w:shd w:val="clear" w:color="auto" w:fill="auto"/>
            <w:noWrap/>
            <w:vAlign w:val="center"/>
            <w:hideMark/>
          </w:tcPr>
          <w:p w14:paraId="16479498" w14:textId="3BE029E8" w:rsidR="007740DE" w:rsidRPr="00111F34" w:rsidRDefault="007740DE" w:rsidP="007740DE">
            <w:pPr>
              <w:pStyle w:val="Texttabulky"/>
              <w:jc w:val="center"/>
              <w:rPr>
                <w:rFonts w:asciiTheme="minorHAnsi" w:hAnsiTheme="minorHAnsi" w:cstheme="minorHAnsi"/>
                <w:color w:val="auto"/>
                <w:szCs w:val="16"/>
              </w:rPr>
            </w:pPr>
            <w:r w:rsidRPr="00111F34">
              <w:rPr>
                <w:rFonts w:asciiTheme="minorHAnsi" w:hAnsiTheme="minorHAnsi" w:cstheme="minorHAnsi"/>
                <w:szCs w:val="16"/>
              </w:rPr>
              <w:t>0</w:t>
            </w:r>
          </w:p>
        </w:tc>
        <w:tc>
          <w:tcPr>
            <w:tcW w:w="2210" w:type="pct"/>
            <w:tcBorders>
              <w:top w:val="nil"/>
              <w:left w:val="nil"/>
              <w:bottom w:val="single" w:sz="4" w:space="0" w:color="auto"/>
              <w:right w:val="single" w:sz="4" w:space="0" w:color="auto"/>
            </w:tcBorders>
            <w:vAlign w:val="center"/>
          </w:tcPr>
          <w:p w14:paraId="531C58B2" w14:textId="252E0CE7" w:rsidR="007740DE" w:rsidRPr="00111F34" w:rsidRDefault="007740DE" w:rsidP="007740DE">
            <w:pPr>
              <w:pStyle w:val="Texttabulky"/>
              <w:jc w:val="center"/>
              <w:rPr>
                <w:rFonts w:cs="Arial"/>
                <w:color w:val="auto"/>
                <w:szCs w:val="16"/>
              </w:rPr>
            </w:pPr>
            <w:r w:rsidRPr="00111F34">
              <w:rPr>
                <w:rFonts w:cs="Arial"/>
                <w:szCs w:val="16"/>
              </w:rPr>
              <w:t xml:space="preserve">Z hlediska posuzované ÚPD bez přímé vazby. </w:t>
            </w:r>
          </w:p>
        </w:tc>
      </w:tr>
      <w:tr w:rsidR="007740DE" w:rsidRPr="00111F34" w14:paraId="7FDEA479" w14:textId="77777777" w:rsidTr="00433A80">
        <w:trPr>
          <w:trHeight w:val="184"/>
        </w:trPr>
        <w:tc>
          <w:tcPr>
            <w:tcW w:w="2283" w:type="pct"/>
            <w:tcBorders>
              <w:top w:val="nil"/>
              <w:left w:val="single" w:sz="4" w:space="0" w:color="auto"/>
              <w:bottom w:val="single" w:sz="4" w:space="0" w:color="auto"/>
              <w:right w:val="single" w:sz="4" w:space="0" w:color="auto"/>
            </w:tcBorders>
            <w:shd w:val="clear" w:color="auto" w:fill="auto"/>
            <w:noWrap/>
            <w:vAlign w:val="center"/>
          </w:tcPr>
          <w:p w14:paraId="2B8AB8B1" w14:textId="77777777" w:rsidR="007740DE" w:rsidRPr="00111F34" w:rsidRDefault="007740DE" w:rsidP="007740DE">
            <w:pPr>
              <w:pStyle w:val="Odrky1"/>
              <w:numPr>
                <w:ilvl w:val="0"/>
                <w:numId w:val="0"/>
              </w:numPr>
              <w:spacing w:before="0" w:after="0"/>
              <w:rPr>
                <w:b/>
                <w:sz w:val="16"/>
                <w:szCs w:val="16"/>
              </w:rPr>
            </w:pPr>
            <w:r w:rsidRPr="00111F34">
              <w:rPr>
                <w:b/>
                <w:sz w:val="16"/>
                <w:szCs w:val="16"/>
              </w:rPr>
              <w:t>rozsáhlá lesnatá území</w:t>
            </w:r>
          </w:p>
        </w:tc>
        <w:tc>
          <w:tcPr>
            <w:tcW w:w="507" w:type="pct"/>
            <w:tcBorders>
              <w:top w:val="nil"/>
              <w:left w:val="nil"/>
              <w:bottom w:val="single" w:sz="4" w:space="0" w:color="auto"/>
              <w:right w:val="single" w:sz="4" w:space="0" w:color="auto"/>
            </w:tcBorders>
            <w:shd w:val="clear" w:color="auto" w:fill="auto"/>
            <w:noWrap/>
            <w:vAlign w:val="center"/>
            <w:hideMark/>
          </w:tcPr>
          <w:p w14:paraId="03DC3B71" w14:textId="3132E756" w:rsidR="007740DE" w:rsidRPr="00111F34" w:rsidRDefault="007740DE" w:rsidP="007740DE">
            <w:pPr>
              <w:pStyle w:val="Texttabulky"/>
              <w:jc w:val="center"/>
              <w:rPr>
                <w:rFonts w:asciiTheme="minorHAnsi" w:hAnsiTheme="minorHAnsi" w:cstheme="minorHAnsi"/>
                <w:color w:val="auto"/>
                <w:szCs w:val="16"/>
              </w:rPr>
            </w:pPr>
            <w:r w:rsidRPr="00111F34">
              <w:rPr>
                <w:rFonts w:asciiTheme="minorHAnsi" w:hAnsiTheme="minorHAnsi" w:cstheme="minorHAnsi"/>
                <w:szCs w:val="16"/>
              </w:rPr>
              <w:t>0</w:t>
            </w:r>
          </w:p>
        </w:tc>
        <w:tc>
          <w:tcPr>
            <w:tcW w:w="2210" w:type="pct"/>
            <w:tcBorders>
              <w:top w:val="nil"/>
              <w:left w:val="nil"/>
              <w:bottom w:val="single" w:sz="4" w:space="0" w:color="auto"/>
              <w:right w:val="single" w:sz="4" w:space="0" w:color="auto"/>
            </w:tcBorders>
            <w:vAlign w:val="center"/>
          </w:tcPr>
          <w:p w14:paraId="32E11490" w14:textId="5090269D" w:rsidR="007740DE" w:rsidRPr="00111F34" w:rsidRDefault="007740DE" w:rsidP="007740DE">
            <w:pPr>
              <w:pStyle w:val="Texttabulky"/>
              <w:jc w:val="center"/>
              <w:rPr>
                <w:rFonts w:cs="Arial"/>
                <w:color w:val="auto"/>
                <w:szCs w:val="16"/>
              </w:rPr>
            </w:pPr>
            <w:r w:rsidRPr="00111F34">
              <w:rPr>
                <w:rFonts w:cs="Arial"/>
                <w:szCs w:val="16"/>
              </w:rPr>
              <w:t xml:space="preserve">Z hlediska posuzované ÚPD bez přímé vazby. </w:t>
            </w:r>
          </w:p>
        </w:tc>
      </w:tr>
      <w:tr w:rsidR="007740DE" w:rsidRPr="00111F34" w14:paraId="1CAB1DA5" w14:textId="77777777" w:rsidTr="00433A80">
        <w:trPr>
          <w:trHeight w:val="99"/>
        </w:trPr>
        <w:tc>
          <w:tcPr>
            <w:tcW w:w="2283" w:type="pct"/>
            <w:tcBorders>
              <w:top w:val="nil"/>
              <w:left w:val="single" w:sz="4" w:space="0" w:color="auto"/>
              <w:bottom w:val="single" w:sz="4" w:space="0" w:color="auto"/>
              <w:right w:val="single" w:sz="4" w:space="0" w:color="auto"/>
            </w:tcBorders>
            <w:shd w:val="clear" w:color="auto" w:fill="auto"/>
            <w:noWrap/>
            <w:vAlign w:val="center"/>
          </w:tcPr>
          <w:p w14:paraId="1B58BB72" w14:textId="7A043DB6" w:rsidR="007740DE" w:rsidRPr="00111F34" w:rsidRDefault="007740DE" w:rsidP="007740DE">
            <w:pPr>
              <w:pStyle w:val="Odrky1"/>
              <w:spacing w:before="0" w:after="0"/>
              <w:rPr>
                <w:sz w:val="16"/>
                <w:szCs w:val="16"/>
              </w:rPr>
            </w:pPr>
            <w:r w:rsidRPr="00111F34">
              <w:rPr>
                <w:sz w:val="16"/>
                <w:szCs w:val="16"/>
              </w:rPr>
              <w:t>VKP ze zákona – lesy</w:t>
            </w:r>
          </w:p>
        </w:tc>
        <w:tc>
          <w:tcPr>
            <w:tcW w:w="507" w:type="pct"/>
            <w:tcBorders>
              <w:top w:val="nil"/>
              <w:left w:val="nil"/>
              <w:bottom w:val="single" w:sz="4" w:space="0" w:color="auto"/>
              <w:right w:val="single" w:sz="4" w:space="0" w:color="auto"/>
            </w:tcBorders>
            <w:shd w:val="clear" w:color="auto" w:fill="auto"/>
            <w:noWrap/>
            <w:vAlign w:val="center"/>
            <w:hideMark/>
          </w:tcPr>
          <w:p w14:paraId="361BBB7D" w14:textId="6895AE5E" w:rsidR="007740DE" w:rsidRPr="00111F34" w:rsidRDefault="007740DE" w:rsidP="007740DE">
            <w:pPr>
              <w:pStyle w:val="Texttabulky"/>
              <w:jc w:val="center"/>
              <w:rPr>
                <w:rFonts w:asciiTheme="minorHAnsi" w:hAnsiTheme="minorHAnsi" w:cstheme="minorHAnsi"/>
                <w:color w:val="auto"/>
                <w:szCs w:val="16"/>
              </w:rPr>
            </w:pPr>
            <w:r w:rsidRPr="00111F34">
              <w:rPr>
                <w:rFonts w:asciiTheme="minorHAnsi" w:hAnsiTheme="minorHAnsi" w:cstheme="minorHAnsi"/>
                <w:szCs w:val="16"/>
              </w:rPr>
              <w:t>0</w:t>
            </w:r>
          </w:p>
        </w:tc>
        <w:tc>
          <w:tcPr>
            <w:tcW w:w="2210" w:type="pct"/>
            <w:tcBorders>
              <w:top w:val="nil"/>
              <w:left w:val="nil"/>
              <w:bottom w:val="single" w:sz="4" w:space="0" w:color="auto"/>
              <w:right w:val="single" w:sz="4" w:space="0" w:color="auto"/>
            </w:tcBorders>
            <w:vAlign w:val="center"/>
          </w:tcPr>
          <w:p w14:paraId="60F4714A" w14:textId="678A88E3" w:rsidR="007740DE" w:rsidRPr="00111F34" w:rsidRDefault="007740DE" w:rsidP="007740DE">
            <w:pPr>
              <w:pStyle w:val="Texttabulky"/>
              <w:jc w:val="center"/>
              <w:rPr>
                <w:rFonts w:cs="Arial"/>
                <w:color w:val="auto"/>
                <w:szCs w:val="16"/>
              </w:rPr>
            </w:pPr>
            <w:r w:rsidRPr="00111F34">
              <w:rPr>
                <w:rFonts w:cs="Arial"/>
                <w:szCs w:val="16"/>
              </w:rPr>
              <w:t xml:space="preserve">Z hlediska posuzované ÚPD bez přímé vazby. </w:t>
            </w:r>
          </w:p>
        </w:tc>
      </w:tr>
      <w:tr w:rsidR="007740DE" w:rsidRPr="00111F34" w14:paraId="474C24CC" w14:textId="77777777" w:rsidTr="00433A80">
        <w:trPr>
          <w:trHeight w:val="246"/>
        </w:trPr>
        <w:tc>
          <w:tcPr>
            <w:tcW w:w="2283" w:type="pct"/>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B9CFCC9" w14:textId="77777777" w:rsidR="007740DE" w:rsidRPr="00111F34" w:rsidRDefault="007740DE" w:rsidP="007740DE">
            <w:pPr>
              <w:pStyle w:val="Texttabulky"/>
              <w:rPr>
                <w:rFonts w:cs="Arial"/>
                <w:b/>
                <w:color w:val="auto"/>
                <w:szCs w:val="16"/>
              </w:rPr>
            </w:pPr>
            <w:r w:rsidRPr="00111F34">
              <w:rPr>
                <w:rFonts w:cs="Arial"/>
                <w:b/>
                <w:color w:val="auto"/>
                <w:szCs w:val="16"/>
              </w:rPr>
              <w:t>kvalitní zemědělská půda v otevřené krajině</w:t>
            </w:r>
          </w:p>
        </w:tc>
        <w:tc>
          <w:tcPr>
            <w:tcW w:w="507" w:type="pct"/>
            <w:tcBorders>
              <w:top w:val="single" w:sz="4" w:space="0" w:color="auto"/>
              <w:left w:val="single" w:sz="4" w:space="0" w:color="auto"/>
              <w:bottom w:val="single" w:sz="4" w:space="0" w:color="auto"/>
              <w:right w:val="single" w:sz="4" w:space="0" w:color="000000"/>
            </w:tcBorders>
            <w:shd w:val="clear" w:color="auto" w:fill="auto"/>
            <w:vAlign w:val="center"/>
          </w:tcPr>
          <w:p w14:paraId="009A8D8E" w14:textId="7C341980" w:rsidR="007740DE" w:rsidRPr="00111F34" w:rsidRDefault="007740DE" w:rsidP="007740DE">
            <w:pPr>
              <w:pStyle w:val="Texttabulky"/>
              <w:jc w:val="center"/>
              <w:rPr>
                <w:rFonts w:cs="Arial"/>
                <w:b/>
                <w:color w:val="auto"/>
                <w:szCs w:val="16"/>
              </w:rPr>
            </w:pPr>
            <w:r w:rsidRPr="00111F34">
              <w:rPr>
                <w:rFonts w:asciiTheme="minorHAnsi" w:hAnsiTheme="minorHAnsi" w:cstheme="minorHAnsi"/>
                <w:szCs w:val="16"/>
              </w:rPr>
              <w:t>0</w:t>
            </w:r>
          </w:p>
        </w:tc>
        <w:tc>
          <w:tcPr>
            <w:tcW w:w="2210" w:type="pct"/>
            <w:tcBorders>
              <w:top w:val="single" w:sz="4" w:space="0" w:color="auto"/>
              <w:left w:val="single" w:sz="4" w:space="0" w:color="auto"/>
              <w:bottom w:val="single" w:sz="4" w:space="0" w:color="auto"/>
              <w:right w:val="single" w:sz="4" w:space="0" w:color="000000"/>
            </w:tcBorders>
            <w:shd w:val="clear" w:color="auto" w:fill="auto"/>
            <w:vAlign w:val="center"/>
          </w:tcPr>
          <w:p w14:paraId="44352EAB" w14:textId="60BE0E7A" w:rsidR="007740DE" w:rsidRPr="00111F34" w:rsidRDefault="007740DE" w:rsidP="007740DE">
            <w:pPr>
              <w:pStyle w:val="Texttabulky"/>
              <w:jc w:val="center"/>
              <w:rPr>
                <w:rFonts w:cs="Arial"/>
                <w:b/>
                <w:color w:val="auto"/>
                <w:szCs w:val="16"/>
              </w:rPr>
            </w:pPr>
            <w:r w:rsidRPr="00111F34">
              <w:rPr>
                <w:rFonts w:cs="Arial"/>
                <w:szCs w:val="16"/>
              </w:rPr>
              <w:t xml:space="preserve">Z hlediska posuzované ÚPD bez přímé vazby. </w:t>
            </w:r>
          </w:p>
        </w:tc>
      </w:tr>
      <w:tr w:rsidR="007740DE" w:rsidRPr="00111F34" w14:paraId="23920594" w14:textId="77777777" w:rsidTr="00433A80">
        <w:trPr>
          <w:trHeight w:val="65"/>
        </w:trPr>
        <w:tc>
          <w:tcPr>
            <w:tcW w:w="2283" w:type="pct"/>
            <w:tcBorders>
              <w:top w:val="nil"/>
              <w:left w:val="single" w:sz="4" w:space="0" w:color="auto"/>
              <w:bottom w:val="single" w:sz="4" w:space="0" w:color="auto"/>
              <w:right w:val="single" w:sz="4" w:space="0" w:color="auto"/>
            </w:tcBorders>
            <w:shd w:val="clear" w:color="auto" w:fill="auto"/>
            <w:noWrap/>
            <w:vAlign w:val="center"/>
          </w:tcPr>
          <w:p w14:paraId="4F2C80C6" w14:textId="77777777" w:rsidR="007740DE" w:rsidRPr="00111F34" w:rsidRDefault="007740DE" w:rsidP="007740DE">
            <w:pPr>
              <w:pStyle w:val="Odrky1"/>
              <w:spacing w:before="0" w:after="0"/>
              <w:rPr>
                <w:sz w:val="16"/>
                <w:szCs w:val="16"/>
              </w:rPr>
            </w:pPr>
            <w:r w:rsidRPr="00111F34">
              <w:rPr>
                <w:sz w:val="16"/>
                <w:szCs w:val="16"/>
              </w:rPr>
              <w:t>ZPF I. a II. třídy ochrany v otevřené krajině</w:t>
            </w:r>
          </w:p>
        </w:tc>
        <w:tc>
          <w:tcPr>
            <w:tcW w:w="507" w:type="pct"/>
            <w:tcBorders>
              <w:top w:val="nil"/>
              <w:left w:val="nil"/>
              <w:bottom w:val="single" w:sz="4" w:space="0" w:color="auto"/>
              <w:right w:val="single" w:sz="4" w:space="0" w:color="auto"/>
            </w:tcBorders>
            <w:shd w:val="clear" w:color="auto" w:fill="auto"/>
            <w:noWrap/>
            <w:vAlign w:val="center"/>
            <w:hideMark/>
          </w:tcPr>
          <w:p w14:paraId="7954FD86" w14:textId="5322D8A4" w:rsidR="007740DE" w:rsidRPr="00111F34" w:rsidRDefault="007740DE" w:rsidP="007740DE">
            <w:pPr>
              <w:pStyle w:val="Texttabulky"/>
              <w:jc w:val="center"/>
              <w:rPr>
                <w:rFonts w:asciiTheme="minorHAnsi" w:hAnsiTheme="minorHAnsi" w:cstheme="minorHAnsi"/>
                <w:color w:val="auto"/>
                <w:szCs w:val="16"/>
              </w:rPr>
            </w:pPr>
            <w:r w:rsidRPr="00111F34">
              <w:rPr>
                <w:rFonts w:asciiTheme="minorHAnsi" w:hAnsiTheme="minorHAnsi" w:cstheme="minorHAnsi"/>
                <w:szCs w:val="16"/>
              </w:rPr>
              <w:t>-</w:t>
            </w:r>
          </w:p>
        </w:tc>
        <w:tc>
          <w:tcPr>
            <w:tcW w:w="2210" w:type="pct"/>
            <w:tcBorders>
              <w:top w:val="nil"/>
              <w:left w:val="nil"/>
              <w:bottom w:val="single" w:sz="4" w:space="0" w:color="auto"/>
              <w:right w:val="single" w:sz="4" w:space="0" w:color="auto"/>
            </w:tcBorders>
            <w:vAlign w:val="center"/>
          </w:tcPr>
          <w:p w14:paraId="4C8EF677" w14:textId="3C9F470B" w:rsidR="007740DE" w:rsidRPr="00111F34" w:rsidRDefault="007740DE" w:rsidP="007740DE">
            <w:pPr>
              <w:pStyle w:val="Texttabulky"/>
              <w:jc w:val="center"/>
              <w:rPr>
                <w:rFonts w:cs="Arial"/>
                <w:color w:val="auto"/>
                <w:szCs w:val="16"/>
              </w:rPr>
            </w:pPr>
            <w:r w:rsidRPr="00111F34">
              <w:rPr>
                <w:rFonts w:cs="Arial"/>
                <w:szCs w:val="16"/>
              </w:rPr>
              <w:t xml:space="preserve">Změna generuje nové zábor ZPF. </w:t>
            </w:r>
          </w:p>
        </w:tc>
      </w:tr>
      <w:tr w:rsidR="007740DE" w:rsidRPr="00111F34" w14:paraId="323F177F" w14:textId="77777777" w:rsidTr="00433A80">
        <w:trPr>
          <w:trHeight w:val="126"/>
        </w:trPr>
        <w:tc>
          <w:tcPr>
            <w:tcW w:w="2283" w:type="pct"/>
            <w:tcBorders>
              <w:top w:val="nil"/>
              <w:left w:val="single" w:sz="4" w:space="0" w:color="auto"/>
              <w:bottom w:val="single" w:sz="4" w:space="0" w:color="auto"/>
              <w:right w:val="single" w:sz="4" w:space="0" w:color="auto"/>
            </w:tcBorders>
            <w:shd w:val="clear" w:color="auto" w:fill="auto"/>
            <w:noWrap/>
            <w:vAlign w:val="center"/>
          </w:tcPr>
          <w:p w14:paraId="33ECCA25" w14:textId="77777777" w:rsidR="007740DE" w:rsidRPr="00111F34" w:rsidRDefault="007740DE" w:rsidP="007740DE">
            <w:pPr>
              <w:pStyle w:val="Odrky1"/>
              <w:numPr>
                <w:ilvl w:val="0"/>
                <w:numId w:val="0"/>
              </w:numPr>
              <w:spacing w:before="0" w:after="0"/>
              <w:rPr>
                <w:b/>
                <w:sz w:val="16"/>
                <w:szCs w:val="16"/>
              </w:rPr>
            </w:pPr>
            <w:r w:rsidRPr="00111F34">
              <w:rPr>
                <w:b/>
                <w:sz w:val="16"/>
                <w:szCs w:val="16"/>
              </w:rPr>
              <w:t>kvalitní a rozmanité parky</w:t>
            </w:r>
          </w:p>
        </w:tc>
        <w:tc>
          <w:tcPr>
            <w:tcW w:w="507" w:type="pct"/>
            <w:tcBorders>
              <w:top w:val="nil"/>
              <w:left w:val="nil"/>
              <w:bottom w:val="single" w:sz="4" w:space="0" w:color="auto"/>
              <w:right w:val="single" w:sz="4" w:space="0" w:color="auto"/>
            </w:tcBorders>
            <w:shd w:val="clear" w:color="auto" w:fill="auto"/>
            <w:noWrap/>
            <w:vAlign w:val="center"/>
            <w:hideMark/>
          </w:tcPr>
          <w:p w14:paraId="1E13BCF1" w14:textId="01AD0D64" w:rsidR="007740DE" w:rsidRPr="00111F34" w:rsidRDefault="007740DE" w:rsidP="007740DE">
            <w:pPr>
              <w:pStyle w:val="Texttabulky"/>
              <w:jc w:val="center"/>
              <w:rPr>
                <w:rFonts w:asciiTheme="minorHAnsi" w:hAnsiTheme="minorHAnsi" w:cstheme="minorHAnsi"/>
                <w:color w:val="auto"/>
                <w:szCs w:val="16"/>
              </w:rPr>
            </w:pPr>
            <w:r w:rsidRPr="00111F34">
              <w:rPr>
                <w:rFonts w:asciiTheme="minorHAnsi" w:hAnsiTheme="minorHAnsi" w:cstheme="minorHAnsi"/>
                <w:szCs w:val="16"/>
              </w:rPr>
              <w:t>+</w:t>
            </w:r>
          </w:p>
        </w:tc>
        <w:tc>
          <w:tcPr>
            <w:tcW w:w="2210" w:type="pct"/>
            <w:tcBorders>
              <w:top w:val="nil"/>
              <w:left w:val="nil"/>
              <w:bottom w:val="single" w:sz="4" w:space="0" w:color="auto"/>
              <w:right w:val="single" w:sz="4" w:space="0" w:color="auto"/>
            </w:tcBorders>
            <w:vAlign w:val="center"/>
          </w:tcPr>
          <w:p w14:paraId="764438AC" w14:textId="2B22F2DD" w:rsidR="007740DE" w:rsidRPr="00111F34" w:rsidRDefault="007740DE" w:rsidP="007740DE">
            <w:pPr>
              <w:pStyle w:val="Texttabulky"/>
              <w:jc w:val="center"/>
              <w:rPr>
                <w:rFonts w:cs="Arial"/>
                <w:color w:val="auto"/>
                <w:szCs w:val="16"/>
              </w:rPr>
            </w:pPr>
            <w:r w:rsidRPr="00111F34">
              <w:rPr>
                <w:rFonts w:cs="Arial"/>
                <w:szCs w:val="16"/>
              </w:rPr>
              <w:t>Vymezeny plochy ZP a ZMK.</w:t>
            </w:r>
          </w:p>
        </w:tc>
      </w:tr>
      <w:tr w:rsidR="007740DE" w:rsidRPr="00111F34" w14:paraId="4030B92A" w14:textId="77777777" w:rsidTr="00433A80">
        <w:trPr>
          <w:trHeight w:val="179"/>
        </w:trPr>
        <w:tc>
          <w:tcPr>
            <w:tcW w:w="2283" w:type="pct"/>
            <w:tcBorders>
              <w:top w:val="nil"/>
              <w:left w:val="single" w:sz="4" w:space="0" w:color="auto"/>
              <w:bottom w:val="single" w:sz="4" w:space="0" w:color="auto"/>
              <w:right w:val="single" w:sz="4" w:space="0" w:color="auto"/>
            </w:tcBorders>
            <w:shd w:val="clear" w:color="auto" w:fill="auto"/>
            <w:noWrap/>
            <w:vAlign w:val="center"/>
          </w:tcPr>
          <w:p w14:paraId="3975241A" w14:textId="77777777" w:rsidR="007740DE" w:rsidRPr="00111F34" w:rsidRDefault="007740DE" w:rsidP="007740DE">
            <w:pPr>
              <w:pStyle w:val="Odrky1"/>
              <w:spacing w:before="0" w:after="0"/>
              <w:rPr>
                <w:sz w:val="16"/>
                <w:szCs w:val="16"/>
              </w:rPr>
            </w:pPr>
            <w:r w:rsidRPr="00111F34">
              <w:rPr>
                <w:sz w:val="16"/>
                <w:szCs w:val="16"/>
              </w:rPr>
              <w:t>metropolitní park</w:t>
            </w:r>
          </w:p>
        </w:tc>
        <w:tc>
          <w:tcPr>
            <w:tcW w:w="507" w:type="pct"/>
            <w:tcBorders>
              <w:top w:val="nil"/>
              <w:left w:val="nil"/>
              <w:bottom w:val="single" w:sz="4" w:space="0" w:color="auto"/>
              <w:right w:val="single" w:sz="4" w:space="0" w:color="auto"/>
            </w:tcBorders>
            <w:shd w:val="clear" w:color="auto" w:fill="auto"/>
            <w:noWrap/>
            <w:vAlign w:val="center"/>
            <w:hideMark/>
          </w:tcPr>
          <w:p w14:paraId="5DF6BF6D" w14:textId="1F3EA58B" w:rsidR="007740DE" w:rsidRPr="00111F34" w:rsidRDefault="007740DE" w:rsidP="007740DE">
            <w:pPr>
              <w:pStyle w:val="Texttabulky"/>
              <w:jc w:val="center"/>
              <w:rPr>
                <w:rFonts w:asciiTheme="minorHAnsi" w:hAnsiTheme="minorHAnsi" w:cstheme="minorHAnsi"/>
                <w:color w:val="auto"/>
                <w:szCs w:val="16"/>
              </w:rPr>
            </w:pPr>
            <w:r w:rsidRPr="00111F34">
              <w:rPr>
                <w:rFonts w:asciiTheme="minorHAnsi" w:hAnsiTheme="minorHAnsi" w:cstheme="minorHAnsi"/>
                <w:szCs w:val="16"/>
              </w:rPr>
              <w:t>0</w:t>
            </w:r>
          </w:p>
        </w:tc>
        <w:tc>
          <w:tcPr>
            <w:tcW w:w="2210" w:type="pct"/>
            <w:tcBorders>
              <w:top w:val="nil"/>
              <w:left w:val="nil"/>
              <w:bottom w:val="single" w:sz="4" w:space="0" w:color="auto"/>
              <w:right w:val="single" w:sz="4" w:space="0" w:color="auto"/>
            </w:tcBorders>
            <w:vAlign w:val="center"/>
          </w:tcPr>
          <w:p w14:paraId="5E1AAB76" w14:textId="5689D62D" w:rsidR="007740DE" w:rsidRPr="00111F34" w:rsidRDefault="007740DE" w:rsidP="007740DE">
            <w:pPr>
              <w:pStyle w:val="Texttabulky"/>
              <w:jc w:val="center"/>
              <w:rPr>
                <w:rFonts w:cs="Arial"/>
                <w:color w:val="auto"/>
                <w:szCs w:val="16"/>
              </w:rPr>
            </w:pPr>
            <w:r w:rsidRPr="00111F34">
              <w:rPr>
                <w:rFonts w:cs="Arial"/>
                <w:szCs w:val="16"/>
              </w:rPr>
              <w:t xml:space="preserve">Z hlediska posuzované ÚPD bez přímé vazby. </w:t>
            </w:r>
          </w:p>
        </w:tc>
      </w:tr>
      <w:tr w:rsidR="007740DE" w:rsidRPr="00111F34" w14:paraId="6D0B1171" w14:textId="77777777" w:rsidTr="00433A80">
        <w:trPr>
          <w:trHeight w:val="184"/>
        </w:trPr>
        <w:tc>
          <w:tcPr>
            <w:tcW w:w="2283" w:type="pct"/>
            <w:tcBorders>
              <w:top w:val="nil"/>
              <w:left w:val="single" w:sz="4" w:space="0" w:color="auto"/>
              <w:bottom w:val="single" w:sz="4" w:space="0" w:color="auto"/>
              <w:right w:val="single" w:sz="4" w:space="0" w:color="auto"/>
            </w:tcBorders>
            <w:shd w:val="clear" w:color="auto" w:fill="auto"/>
            <w:noWrap/>
            <w:vAlign w:val="center"/>
          </w:tcPr>
          <w:p w14:paraId="283C5E4B" w14:textId="77777777" w:rsidR="007740DE" w:rsidRPr="00111F34" w:rsidRDefault="007740DE" w:rsidP="007740DE">
            <w:pPr>
              <w:pStyle w:val="Odrky1"/>
              <w:spacing w:before="0" w:after="0"/>
              <w:rPr>
                <w:sz w:val="16"/>
                <w:szCs w:val="16"/>
              </w:rPr>
            </w:pPr>
            <w:r w:rsidRPr="00111F34">
              <w:rPr>
                <w:sz w:val="16"/>
                <w:szCs w:val="16"/>
              </w:rPr>
              <w:t>čtvrťový park</w:t>
            </w:r>
          </w:p>
        </w:tc>
        <w:tc>
          <w:tcPr>
            <w:tcW w:w="507" w:type="pct"/>
            <w:tcBorders>
              <w:top w:val="nil"/>
              <w:left w:val="nil"/>
              <w:bottom w:val="single" w:sz="4" w:space="0" w:color="auto"/>
              <w:right w:val="single" w:sz="4" w:space="0" w:color="auto"/>
            </w:tcBorders>
            <w:shd w:val="clear" w:color="auto" w:fill="auto"/>
            <w:noWrap/>
            <w:vAlign w:val="center"/>
            <w:hideMark/>
          </w:tcPr>
          <w:p w14:paraId="2EFA3B83" w14:textId="06C2F8E9" w:rsidR="007740DE" w:rsidRPr="00111F34" w:rsidRDefault="007740DE" w:rsidP="007740DE">
            <w:pPr>
              <w:pStyle w:val="Texttabulky"/>
              <w:jc w:val="center"/>
              <w:rPr>
                <w:rFonts w:asciiTheme="minorHAnsi" w:hAnsiTheme="minorHAnsi" w:cstheme="minorHAnsi"/>
                <w:color w:val="auto"/>
                <w:szCs w:val="16"/>
              </w:rPr>
            </w:pPr>
            <w:r w:rsidRPr="00111F34">
              <w:rPr>
                <w:rFonts w:asciiTheme="minorHAnsi" w:hAnsiTheme="minorHAnsi" w:cstheme="minorHAnsi"/>
                <w:szCs w:val="16"/>
              </w:rPr>
              <w:t>+</w:t>
            </w:r>
          </w:p>
        </w:tc>
        <w:tc>
          <w:tcPr>
            <w:tcW w:w="2210" w:type="pct"/>
            <w:tcBorders>
              <w:top w:val="nil"/>
              <w:left w:val="nil"/>
              <w:bottom w:val="single" w:sz="4" w:space="0" w:color="auto"/>
              <w:right w:val="single" w:sz="4" w:space="0" w:color="auto"/>
            </w:tcBorders>
            <w:vAlign w:val="center"/>
          </w:tcPr>
          <w:p w14:paraId="50C9E961" w14:textId="54241EC3" w:rsidR="007740DE" w:rsidRPr="00111F34" w:rsidRDefault="007740DE" w:rsidP="007740DE">
            <w:pPr>
              <w:pStyle w:val="Texttabulky"/>
              <w:jc w:val="center"/>
              <w:rPr>
                <w:rFonts w:cs="Arial"/>
                <w:color w:val="auto"/>
                <w:szCs w:val="16"/>
              </w:rPr>
            </w:pPr>
            <w:r w:rsidRPr="00111F34">
              <w:rPr>
                <w:rFonts w:cs="Arial"/>
                <w:szCs w:val="16"/>
              </w:rPr>
              <w:t>Vymezeny plochy ZP a ZMK.</w:t>
            </w:r>
          </w:p>
        </w:tc>
      </w:tr>
      <w:tr w:rsidR="007740DE" w:rsidRPr="00111F34" w14:paraId="2DE5860B" w14:textId="77777777" w:rsidTr="00433A80">
        <w:trPr>
          <w:trHeight w:val="187"/>
        </w:trPr>
        <w:tc>
          <w:tcPr>
            <w:tcW w:w="2283" w:type="pct"/>
            <w:tcBorders>
              <w:top w:val="nil"/>
              <w:left w:val="single" w:sz="4" w:space="0" w:color="auto"/>
              <w:bottom w:val="single" w:sz="4" w:space="0" w:color="auto"/>
              <w:right w:val="single" w:sz="4" w:space="0" w:color="auto"/>
            </w:tcBorders>
            <w:shd w:val="clear" w:color="auto" w:fill="auto"/>
            <w:noWrap/>
            <w:vAlign w:val="center"/>
          </w:tcPr>
          <w:p w14:paraId="5CA908C5" w14:textId="77777777" w:rsidR="007740DE" w:rsidRPr="00111F34" w:rsidRDefault="007740DE" w:rsidP="007740DE">
            <w:pPr>
              <w:pStyle w:val="Odrky1"/>
              <w:spacing w:before="0" w:after="0"/>
              <w:rPr>
                <w:sz w:val="16"/>
                <w:szCs w:val="16"/>
              </w:rPr>
            </w:pPr>
            <w:r w:rsidRPr="00111F34">
              <w:rPr>
                <w:sz w:val="16"/>
                <w:szCs w:val="16"/>
              </w:rPr>
              <w:t>lokalitní park</w:t>
            </w:r>
          </w:p>
        </w:tc>
        <w:tc>
          <w:tcPr>
            <w:tcW w:w="507" w:type="pct"/>
            <w:tcBorders>
              <w:top w:val="nil"/>
              <w:left w:val="nil"/>
              <w:bottom w:val="single" w:sz="4" w:space="0" w:color="auto"/>
              <w:right w:val="single" w:sz="4" w:space="0" w:color="auto"/>
            </w:tcBorders>
            <w:shd w:val="clear" w:color="auto" w:fill="auto"/>
            <w:noWrap/>
            <w:vAlign w:val="center"/>
            <w:hideMark/>
          </w:tcPr>
          <w:p w14:paraId="5BC25CFC" w14:textId="490CE8CF" w:rsidR="007740DE" w:rsidRPr="00111F34" w:rsidRDefault="007740DE" w:rsidP="007740DE">
            <w:pPr>
              <w:pStyle w:val="Texttabulky"/>
              <w:jc w:val="center"/>
              <w:rPr>
                <w:rFonts w:asciiTheme="minorHAnsi" w:hAnsiTheme="minorHAnsi" w:cstheme="minorHAnsi"/>
                <w:color w:val="auto"/>
                <w:szCs w:val="16"/>
              </w:rPr>
            </w:pPr>
            <w:r w:rsidRPr="00111F34">
              <w:rPr>
                <w:rFonts w:asciiTheme="minorHAnsi" w:hAnsiTheme="minorHAnsi" w:cstheme="minorHAnsi"/>
                <w:szCs w:val="16"/>
              </w:rPr>
              <w:t>+</w:t>
            </w:r>
          </w:p>
        </w:tc>
        <w:tc>
          <w:tcPr>
            <w:tcW w:w="2210" w:type="pct"/>
            <w:tcBorders>
              <w:top w:val="nil"/>
              <w:left w:val="nil"/>
              <w:bottom w:val="single" w:sz="4" w:space="0" w:color="auto"/>
              <w:right w:val="single" w:sz="4" w:space="0" w:color="auto"/>
            </w:tcBorders>
            <w:vAlign w:val="center"/>
          </w:tcPr>
          <w:p w14:paraId="4A760D35" w14:textId="74F8D988" w:rsidR="007740DE" w:rsidRPr="00111F34" w:rsidRDefault="007740DE" w:rsidP="007740DE">
            <w:pPr>
              <w:pStyle w:val="Texttabulky"/>
              <w:jc w:val="center"/>
              <w:rPr>
                <w:rFonts w:cs="Arial"/>
                <w:color w:val="auto"/>
                <w:szCs w:val="16"/>
              </w:rPr>
            </w:pPr>
            <w:r w:rsidRPr="00111F34">
              <w:rPr>
                <w:rFonts w:cs="Arial"/>
                <w:szCs w:val="16"/>
              </w:rPr>
              <w:t>Vymezeny plochy ZP a ZMK.</w:t>
            </w:r>
          </w:p>
        </w:tc>
      </w:tr>
      <w:tr w:rsidR="007740DE" w:rsidRPr="00111F34" w14:paraId="6C30ADE2" w14:textId="77777777" w:rsidTr="00433A80">
        <w:trPr>
          <w:trHeight w:val="277"/>
        </w:trPr>
        <w:tc>
          <w:tcPr>
            <w:tcW w:w="2283" w:type="pct"/>
            <w:tcBorders>
              <w:top w:val="nil"/>
              <w:left w:val="single" w:sz="4" w:space="0" w:color="auto"/>
              <w:bottom w:val="single" w:sz="4" w:space="0" w:color="auto"/>
              <w:right w:val="single" w:sz="4" w:space="0" w:color="auto"/>
            </w:tcBorders>
            <w:shd w:val="clear" w:color="auto" w:fill="auto"/>
            <w:noWrap/>
            <w:vAlign w:val="center"/>
          </w:tcPr>
          <w:p w14:paraId="59541B07" w14:textId="77777777" w:rsidR="007740DE" w:rsidRPr="00111F34" w:rsidRDefault="007740DE" w:rsidP="007740DE">
            <w:pPr>
              <w:pStyle w:val="Odrky1"/>
              <w:spacing w:before="0" w:after="0"/>
              <w:rPr>
                <w:sz w:val="16"/>
                <w:szCs w:val="16"/>
              </w:rPr>
            </w:pPr>
            <w:r w:rsidRPr="00111F34">
              <w:rPr>
                <w:sz w:val="16"/>
                <w:szCs w:val="16"/>
              </w:rPr>
              <w:t>místní park</w:t>
            </w:r>
          </w:p>
        </w:tc>
        <w:tc>
          <w:tcPr>
            <w:tcW w:w="507" w:type="pct"/>
            <w:tcBorders>
              <w:top w:val="nil"/>
              <w:left w:val="nil"/>
              <w:bottom w:val="single" w:sz="4" w:space="0" w:color="auto"/>
              <w:right w:val="single" w:sz="4" w:space="0" w:color="auto"/>
            </w:tcBorders>
            <w:shd w:val="clear" w:color="auto" w:fill="auto"/>
            <w:noWrap/>
            <w:vAlign w:val="center"/>
            <w:hideMark/>
          </w:tcPr>
          <w:p w14:paraId="0A9DBCE1" w14:textId="5D09010B" w:rsidR="007740DE" w:rsidRPr="00111F34" w:rsidRDefault="007740DE" w:rsidP="007740DE">
            <w:pPr>
              <w:pStyle w:val="Texttabulky"/>
              <w:jc w:val="center"/>
              <w:rPr>
                <w:rFonts w:asciiTheme="minorHAnsi" w:hAnsiTheme="minorHAnsi" w:cstheme="minorHAnsi"/>
                <w:color w:val="auto"/>
                <w:szCs w:val="16"/>
              </w:rPr>
            </w:pPr>
            <w:r w:rsidRPr="00111F34">
              <w:rPr>
                <w:rFonts w:asciiTheme="minorHAnsi" w:hAnsiTheme="minorHAnsi" w:cstheme="minorHAnsi"/>
                <w:szCs w:val="16"/>
              </w:rPr>
              <w:t>+</w:t>
            </w:r>
          </w:p>
        </w:tc>
        <w:tc>
          <w:tcPr>
            <w:tcW w:w="2210" w:type="pct"/>
            <w:tcBorders>
              <w:top w:val="nil"/>
              <w:left w:val="nil"/>
              <w:bottom w:val="single" w:sz="4" w:space="0" w:color="auto"/>
              <w:right w:val="single" w:sz="4" w:space="0" w:color="auto"/>
            </w:tcBorders>
            <w:vAlign w:val="center"/>
          </w:tcPr>
          <w:p w14:paraId="6063B557" w14:textId="0A52CA4D" w:rsidR="007740DE" w:rsidRPr="00111F34" w:rsidRDefault="007740DE" w:rsidP="007740DE">
            <w:pPr>
              <w:pStyle w:val="Texttabulky"/>
              <w:jc w:val="center"/>
              <w:rPr>
                <w:rFonts w:cs="Arial"/>
                <w:color w:val="auto"/>
                <w:szCs w:val="16"/>
              </w:rPr>
            </w:pPr>
            <w:r w:rsidRPr="00111F34">
              <w:rPr>
                <w:rFonts w:cs="Arial"/>
                <w:szCs w:val="16"/>
              </w:rPr>
              <w:t>Vymezeny plochy ZP a ZMK.</w:t>
            </w:r>
          </w:p>
        </w:tc>
      </w:tr>
      <w:tr w:rsidR="007740DE" w:rsidRPr="00111F34" w14:paraId="409E6E43" w14:textId="77777777" w:rsidTr="00433A80">
        <w:trPr>
          <w:trHeight w:val="181"/>
        </w:trPr>
        <w:tc>
          <w:tcPr>
            <w:tcW w:w="2283" w:type="pct"/>
            <w:tcBorders>
              <w:top w:val="nil"/>
              <w:left w:val="single" w:sz="4" w:space="0" w:color="auto"/>
              <w:bottom w:val="single" w:sz="4" w:space="0" w:color="auto"/>
              <w:right w:val="single" w:sz="4" w:space="0" w:color="auto"/>
            </w:tcBorders>
            <w:shd w:val="clear" w:color="auto" w:fill="auto"/>
            <w:noWrap/>
            <w:vAlign w:val="center"/>
          </w:tcPr>
          <w:p w14:paraId="228BAACB" w14:textId="77777777" w:rsidR="007740DE" w:rsidRPr="00111F34" w:rsidRDefault="007740DE" w:rsidP="007740DE">
            <w:pPr>
              <w:pStyle w:val="Odrky1"/>
              <w:numPr>
                <w:ilvl w:val="0"/>
                <w:numId w:val="0"/>
              </w:numPr>
              <w:spacing w:before="0" w:after="0"/>
              <w:rPr>
                <w:b/>
                <w:sz w:val="16"/>
                <w:szCs w:val="16"/>
              </w:rPr>
            </w:pPr>
            <w:r w:rsidRPr="00111F34">
              <w:rPr>
                <w:b/>
                <w:sz w:val="16"/>
                <w:szCs w:val="16"/>
              </w:rPr>
              <w:t>synergie kompozice historické městské krajiny a přírodního rámce</w:t>
            </w:r>
          </w:p>
        </w:tc>
        <w:tc>
          <w:tcPr>
            <w:tcW w:w="507" w:type="pct"/>
            <w:tcBorders>
              <w:top w:val="nil"/>
              <w:left w:val="nil"/>
              <w:bottom w:val="single" w:sz="4" w:space="0" w:color="auto"/>
              <w:right w:val="single" w:sz="4" w:space="0" w:color="auto"/>
            </w:tcBorders>
            <w:shd w:val="clear" w:color="auto" w:fill="auto"/>
            <w:noWrap/>
            <w:vAlign w:val="center"/>
            <w:hideMark/>
          </w:tcPr>
          <w:p w14:paraId="6323F29A" w14:textId="77777777" w:rsidR="007740DE" w:rsidRPr="00111F34" w:rsidRDefault="007740DE" w:rsidP="007740DE">
            <w:pPr>
              <w:pStyle w:val="Texttabulky"/>
              <w:jc w:val="center"/>
              <w:rPr>
                <w:rFonts w:asciiTheme="minorHAnsi" w:hAnsiTheme="minorHAnsi" w:cstheme="minorHAnsi"/>
                <w:color w:val="auto"/>
                <w:szCs w:val="16"/>
              </w:rPr>
            </w:pPr>
            <w:r w:rsidRPr="00111F34">
              <w:rPr>
                <w:rFonts w:asciiTheme="minorHAnsi" w:hAnsiTheme="minorHAnsi" w:cstheme="minorHAnsi"/>
                <w:szCs w:val="16"/>
              </w:rPr>
              <w:t>0</w:t>
            </w:r>
          </w:p>
        </w:tc>
        <w:tc>
          <w:tcPr>
            <w:tcW w:w="2210" w:type="pct"/>
            <w:tcBorders>
              <w:top w:val="nil"/>
              <w:left w:val="nil"/>
              <w:bottom w:val="single" w:sz="4" w:space="0" w:color="auto"/>
              <w:right w:val="single" w:sz="4" w:space="0" w:color="auto"/>
            </w:tcBorders>
            <w:vAlign w:val="center"/>
          </w:tcPr>
          <w:p w14:paraId="751EFB5F" w14:textId="77777777" w:rsidR="007740DE" w:rsidRPr="00111F34" w:rsidRDefault="007740DE" w:rsidP="007740DE">
            <w:pPr>
              <w:pStyle w:val="Texttabulky"/>
              <w:jc w:val="center"/>
              <w:rPr>
                <w:rFonts w:cs="Arial"/>
                <w:color w:val="auto"/>
                <w:szCs w:val="16"/>
              </w:rPr>
            </w:pPr>
            <w:r w:rsidRPr="00111F34">
              <w:rPr>
                <w:rFonts w:cs="Arial"/>
                <w:szCs w:val="16"/>
              </w:rPr>
              <w:t xml:space="preserve">Z hlediska posuzované ÚPD bez přímé vazby. </w:t>
            </w:r>
          </w:p>
        </w:tc>
      </w:tr>
      <w:tr w:rsidR="007740DE" w:rsidRPr="00111F34" w14:paraId="7E09CAD8" w14:textId="77777777" w:rsidTr="00433A80">
        <w:trPr>
          <w:trHeight w:val="199"/>
        </w:trPr>
        <w:tc>
          <w:tcPr>
            <w:tcW w:w="2283" w:type="pct"/>
            <w:tcBorders>
              <w:top w:val="nil"/>
              <w:left w:val="single" w:sz="4" w:space="0" w:color="auto"/>
              <w:bottom w:val="single" w:sz="4" w:space="0" w:color="auto"/>
              <w:right w:val="single" w:sz="4" w:space="0" w:color="auto"/>
            </w:tcBorders>
            <w:shd w:val="clear" w:color="auto" w:fill="auto"/>
            <w:noWrap/>
            <w:vAlign w:val="center"/>
          </w:tcPr>
          <w:p w14:paraId="18F8D8D5" w14:textId="77777777" w:rsidR="007740DE" w:rsidRPr="00111F34" w:rsidRDefault="007740DE" w:rsidP="007740DE">
            <w:pPr>
              <w:pStyle w:val="Odrky1"/>
              <w:spacing w:before="0" w:after="0"/>
              <w:rPr>
                <w:sz w:val="16"/>
                <w:szCs w:val="16"/>
              </w:rPr>
            </w:pPr>
            <w:r w:rsidRPr="00111F34">
              <w:rPr>
                <w:sz w:val="16"/>
                <w:szCs w:val="16"/>
              </w:rPr>
              <w:t>trojúhelník historických hodnot</w:t>
            </w:r>
          </w:p>
        </w:tc>
        <w:tc>
          <w:tcPr>
            <w:tcW w:w="507" w:type="pct"/>
            <w:tcBorders>
              <w:top w:val="nil"/>
              <w:left w:val="nil"/>
              <w:bottom w:val="single" w:sz="4" w:space="0" w:color="auto"/>
              <w:right w:val="single" w:sz="4" w:space="0" w:color="auto"/>
            </w:tcBorders>
            <w:shd w:val="clear" w:color="auto" w:fill="auto"/>
            <w:noWrap/>
            <w:vAlign w:val="center"/>
            <w:hideMark/>
          </w:tcPr>
          <w:p w14:paraId="1DA32AB7" w14:textId="77777777" w:rsidR="007740DE" w:rsidRPr="00111F34" w:rsidRDefault="007740DE" w:rsidP="007740DE">
            <w:pPr>
              <w:pStyle w:val="Texttabulky"/>
              <w:jc w:val="center"/>
              <w:rPr>
                <w:rFonts w:asciiTheme="minorHAnsi" w:hAnsiTheme="minorHAnsi" w:cstheme="minorHAnsi"/>
                <w:color w:val="auto"/>
                <w:szCs w:val="16"/>
              </w:rPr>
            </w:pPr>
            <w:r w:rsidRPr="00111F34">
              <w:rPr>
                <w:rFonts w:asciiTheme="minorHAnsi" w:hAnsiTheme="minorHAnsi" w:cstheme="minorHAnsi"/>
                <w:szCs w:val="16"/>
              </w:rPr>
              <w:t>0</w:t>
            </w:r>
          </w:p>
        </w:tc>
        <w:tc>
          <w:tcPr>
            <w:tcW w:w="2210" w:type="pct"/>
            <w:tcBorders>
              <w:top w:val="nil"/>
              <w:left w:val="nil"/>
              <w:bottom w:val="single" w:sz="4" w:space="0" w:color="auto"/>
              <w:right w:val="single" w:sz="4" w:space="0" w:color="auto"/>
            </w:tcBorders>
            <w:vAlign w:val="center"/>
          </w:tcPr>
          <w:p w14:paraId="17AA5EF6" w14:textId="77777777" w:rsidR="007740DE" w:rsidRPr="00111F34" w:rsidRDefault="007740DE" w:rsidP="007740DE">
            <w:pPr>
              <w:pStyle w:val="Texttabulky"/>
              <w:jc w:val="center"/>
              <w:rPr>
                <w:rFonts w:cs="Arial"/>
                <w:color w:val="auto"/>
                <w:szCs w:val="16"/>
              </w:rPr>
            </w:pPr>
            <w:r w:rsidRPr="00111F34">
              <w:rPr>
                <w:rFonts w:cs="Arial"/>
                <w:szCs w:val="16"/>
              </w:rPr>
              <w:t xml:space="preserve">Z hlediska posuzované ÚPD bez přímé vazby. </w:t>
            </w:r>
          </w:p>
        </w:tc>
      </w:tr>
      <w:tr w:rsidR="007740DE" w:rsidRPr="00111F34" w14:paraId="4DDA8674" w14:textId="77777777" w:rsidTr="00433A80">
        <w:trPr>
          <w:trHeight w:val="109"/>
        </w:trPr>
        <w:tc>
          <w:tcPr>
            <w:tcW w:w="2283" w:type="pct"/>
            <w:tcBorders>
              <w:top w:val="nil"/>
              <w:left w:val="single" w:sz="4" w:space="0" w:color="auto"/>
              <w:bottom w:val="single" w:sz="4" w:space="0" w:color="auto"/>
              <w:right w:val="single" w:sz="4" w:space="0" w:color="auto"/>
            </w:tcBorders>
            <w:shd w:val="clear" w:color="auto" w:fill="auto"/>
            <w:noWrap/>
            <w:vAlign w:val="center"/>
          </w:tcPr>
          <w:p w14:paraId="58B7CB9C" w14:textId="77777777" w:rsidR="007740DE" w:rsidRPr="00111F34" w:rsidRDefault="007740DE" w:rsidP="007740DE">
            <w:pPr>
              <w:pStyle w:val="Odrky1"/>
              <w:spacing w:before="0" w:after="0"/>
              <w:rPr>
                <w:sz w:val="16"/>
                <w:szCs w:val="16"/>
              </w:rPr>
            </w:pPr>
            <w:r w:rsidRPr="00111F34">
              <w:rPr>
                <w:sz w:val="16"/>
                <w:szCs w:val="16"/>
              </w:rPr>
              <w:t>Pražský hrad, Vyšehrad, Vítkov</w:t>
            </w:r>
          </w:p>
        </w:tc>
        <w:tc>
          <w:tcPr>
            <w:tcW w:w="507" w:type="pct"/>
            <w:tcBorders>
              <w:top w:val="nil"/>
              <w:left w:val="nil"/>
              <w:bottom w:val="single" w:sz="4" w:space="0" w:color="auto"/>
              <w:right w:val="single" w:sz="4" w:space="0" w:color="auto"/>
            </w:tcBorders>
            <w:shd w:val="clear" w:color="auto" w:fill="auto"/>
            <w:noWrap/>
            <w:vAlign w:val="center"/>
            <w:hideMark/>
          </w:tcPr>
          <w:p w14:paraId="1E0B055A" w14:textId="77777777" w:rsidR="007740DE" w:rsidRPr="00111F34" w:rsidRDefault="007740DE" w:rsidP="007740DE">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0</w:t>
            </w:r>
          </w:p>
        </w:tc>
        <w:tc>
          <w:tcPr>
            <w:tcW w:w="2210" w:type="pct"/>
            <w:tcBorders>
              <w:top w:val="nil"/>
              <w:left w:val="nil"/>
              <w:bottom w:val="single" w:sz="4" w:space="0" w:color="auto"/>
              <w:right w:val="single" w:sz="4" w:space="0" w:color="auto"/>
            </w:tcBorders>
          </w:tcPr>
          <w:p w14:paraId="27D913D4" w14:textId="77777777" w:rsidR="007740DE" w:rsidRPr="00111F34" w:rsidRDefault="007740DE" w:rsidP="007740DE">
            <w:pPr>
              <w:pStyle w:val="Texttabulky"/>
              <w:jc w:val="center"/>
              <w:rPr>
                <w:rFonts w:cs="Arial"/>
                <w:color w:val="auto"/>
                <w:szCs w:val="16"/>
              </w:rPr>
            </w:pPr>
            <w:r w:rsidRPr="00111F34">
              <w:rPr>
                <w:rFonts w:cs="Arial"/>
                <w:szCs w:val="16"/>
              </w:rPr>
              <w:t>Z hlediska posuzované ÚPD bez přímé vazby.</w:t>
            </w:r>
          </w:p>
        </w:tc>
      </w:tr>
      <w:tr w:rsidR="007740DE" w:rsidRPr="00111F34" w14:paraId="017D6E72" w14:textId="77777777" w:rsidTr="00433A80">
        <w:trPr>
          <w:trHeight w:val="155"/>
        </w:trPr>
        <w:tc>
          <w:tcPr>
            <w:tcW w:w="2283" w:type="pct"/>
            <w:tcBorders>
              <w:top w:val="nil"/>
              <w:left w:val="single" w:sz="4" w:space="0" w:color="auto"/>
              <w:bottom w:val="single" w:sz="4" w:space="0" w:color="auto"/>
              <w:right w:val="single" w:sz="4" w:space="0" w:color="auto"/>
            </w:tcBorders>
            <w:shd w:val="clear" w:color="auto" w:fill="auto"/>
            <w:noWrap/>
            <w:vAlign w:val="center"/>
          </w:tcPr>
          <w:p w14:paraId="5364F332" w14:textId="77777777" w:rsidR="007740DE" w:rsidRPr="00111F34" w:rsidRDefault="007740DE" w:rsidP="007740DE">
            <w:pPr>
              <w:pStyle w:val="Odrky1"/>
              <w:spacing w:before="0" w:after="0"/>
              <w:rPr>
                <w:sz w:val="16"/>
                <w:szCs w:val="16"/>
              </w:rPr>
            </w:pPr>
            <w:r w:rsidRPr="00111F34">
              <w:rPr>
                <w:sz w:val="16"/>
                <w:szCs w:val="16"/>
              </w:rPr>
              <w:t>vybrané vyhlídkové body</w:t>
            </w:r>
          </w:p>
        </w:tc>
        <w:tc>
          <w:tcPr>
            <w:tcW w:w="507" w:type="pct"/>
            <w:tcBorders>
              <w:top w:val="nil"/>
              <w:left w:val="nil"/>
              <w:bottom w:val="single" w:sz="4" w:space="0" w:color="auto"/>
              <w:right w:val="single" w:sz="4" w:space="0" w:color="auto"/>
            </w:tcBorders>
            <w:shd w:val="clear" w:color="auto" w:fill="auto"/>
            <w:noWrap/>
            <w:vAlign w:val="center"/>
            <w:hideMark/>
          </w:tcPr>
          <w:p w14:paraId="62D2A3F2" w14:textId="77777777" w:rsidR="007740DE" w:rsidRPr="00111F34" w:rsidRDefault="007740DE" w:rsidP="007740DE">
            <w:pPr>
              <w:pStyle w:val="Texttabulky"/>
              <w:jc w:val="center"/>
              <w:rPr>
                <w:rFonts w:asciiTheme="minorHAnsi" w:hAnsiTheme="minorHAnsi" w:cstheme="minorHAnsi"/>
                <w:color w:val="auto"/>
                <w:szCs w:val="16"/>
              </w:rPr>
            </w:pPr>
            <w:r w:rsidRPr="00111F34">
              <w:rPr>
                <w:rFonts w:asciiTheme="minorHAnsi" w:hAnsiTheme="minorHAnsi" w:cstheme="minorHAnsi"/>
                <w:szCs w:val="16"/>
              </w:rPr>
              <w:t>0</w:t>
            </w:r>
          </w:p>
        </w:tc>
        <w:tc>
          <w:tcPr>
            <w:tcW w:w="2210" w:type="pct"/>
            <w:tcBorders>
              <w:top w:val="nil"/>
              <w:left w:val="nil"/>
              <w:bottom w:val="single" w:sz="4" w:space="0" w:color="auto"/>
              <w:right w:val="single" w:sz="4" w:space="0" w:color="auto"/>
            </w:tcBorders>
            <w:vAlign w:val="center"/>
          </w:tcPr>
          <w:p w14:paraId="45E87280" w14:textId="77777777" w:rsidR="007740DE" w:rsidRPr="00111F34" w:rsidRDefault="007740DE" w:rsidP="007740DE">
            <w:pPr>
              <w:pStyle w:val="Texttabulky"/>
              <w:jc w:val="center"/>
              <w:rPr>
                <w:rFonts w:cs="Arial"/>
                <w:color w:val="auto"/>
                <w:szCs w:val="16"/>
              </w:rPr>
            </w:pPr>
            <w:r w:rsidRPr="00111F34">
              <w:rPr>
                <w:rFonts w:cs="Arial"/>
                <w:szCs w:val="16"/>
              </w:rPr>
              <w:t xml:space="preserve">Z hlediska posuzované ÚPD bez přímé vazby. </w:t>
            </w:r>
          </w:p>
        </w:tc>
      </w:tr>
      <w:tr w:rsidR="007740DE" w:rsidRPr="00111F34" w14:paraId="182BB5C1" w14:textId="77777777" w:rsidTr="00433A80">
        <w:trPr>
          <w:trHeight w:val="160"/>
        </w:trPr>
        <w:tc>
          <w:tcPr>
            <w:tcW w:w="2283" w:type="pct"/>
            <w:tcBorders>
              <w:top w:val="nil"/>
              <w:left w:val="single" w:sz="4" w:space="0" w:color="auto"/>
              <w:bottom w:val="single" w:sz="4" w:space="0" w:color="auto"/>
              <w:right w:val="single" w:sz="4" w:space="0" w:color="auto"/>
            </w:tcBorders>
            <w:shd w:val="clear" w:color="auto" w:fill="auto"/>
            <w:noWrap/>
            <w:vAlign w:val="center"/>
          </w:tcPr>
          <w:p w14:paraId="4402CC01" w14:textId="77777777" w:rsidR="007740DE" w:rsidRPr="00111F34" w:rsidRDefault="007740DE" w:rsidP="007740DE">
            <w:pPr>
              <w:pStyle w:val="Odrky1"/>
              <w:spacing w:before="0" w:after="0"/>
              <w:rPr>
                <w:sz w:val="16"/>
                <w:szCs w:val="16"/>
              </w:rPr>
            </w:pPr>
            <w:r w:rsidRPr="00111F34">
              <w:rPr>
                <w:sz w:val="16"/>
                <w:szCs w:val="16"/>
              </w:rPr>
              <w:t>výseče vybraných vyhlídkových bodů</w:t>
            </w:r>
          </w:p>
        </w:tc>
        <w:tc>
          <w:tcPr>
            <w:tcW w:w="507" w:type="pct"/>
            <w:tcBorders>
              <w:top w:val="nil"/>
              <w:left w:val="nil"/>
              <w:bottom w:val="single" w:sz="4" w:space="0" w:color="auto"/>
              <w:right w:val="single" w:sz="4" w:space="0" w:color="auto"/>
            </w:tcBorders>
            <w:shd w:val="clear" w:color="auto" w:fill="auto"/>
            <w:noWrap/>
            <w:vAlign w:val="center"/>
            <w:hideMark/>
          </w:tcPr>
          <w:p w14:paraId="3A590BDF" w14:textId="77777777" w:rsidR="007740DE" w:rsidRPr="00111F34" w:rsidRDefault="007740DE" w:rsidP="007740DE">
            <w:pPr>
              <w:pStyle w:val="Texttabulky"/>
              <w:jc w:val="center"/>
              <w:rPr>
                <w:rFonts w:asciiTheme="minorHAnsi" w:hAnsiTheme="minorHAnsi" w:cstheme="minorHAnsi"/>
                <w:color w:val="auto"/>
                <w:szCs w:val="16"/>
              </w:rPr>
            </w:pPr>
            <w:r w:rsidRPr="00111F34">
              <w:rPr>
                <w:rFonts w:asciiTheme="minorHAnsi" w:hAnsiTheme="minorHAnsi" w:cstheme="minorHAnsi"/>
                <w:szCs w:val="16"/>
              </w:rPr>
              <w:t>0</w:t>
            </w:r>
          </w:p>
        </w:tc>
        <w:tc>
          <w:tcPr>
            <w:tcW w:w="2210" w:type="pct"/>
            <w:tcBorders>
              <w:top w:val="nil"/>
              <w:left w:val="nil"/>
              <w:bottom w:val="single" w:sz="4" w:space="0" w:color="auto"/>
              <w:right w:val="single" w:sz="4" w:space="0" w:color="auto"/>
            </w:tcBorders>
            <w:vAlign w:val="center"/>
          </w:tcPr>
          <w:p w14:paraId="05293039" w14:textId="77777777" w:rsidR="007740DE" w:rsidRPr="00111F34" w:rsidRDefault="007740DE" w:rsidP="007740DE">
            <w:pPr>
              <w:pStyle w:val="Texttabulky"/>
              <w:jc w:val="center"/>
              <w:rPr>
                <w:rFonts w:cs="Arial"/>
                <w:color w:val="auto"/>
                <w:szCs w:val="16"/>
              </w:rPr>
            </w:pPr>
            <w:r w:rsidRPr="00111F34">
              <w:rPr>
                <w:rFonts w:cs="Arial"/>
                <w:szCs w:val="16"/>
              </w:rPr>
              <w:t xml:space="preserve">Z hlediska posuzované ÚPD bez přímé vazby. </w:t>
            </w:r>
          </w:p>
        </w:tc>
      </w:tr>
      <w:tr w:rsidR="007740DE" w:rsidRPr="00111F34" w14:paraId="51E76469" w14:textId="77777777" w:rsidTr="00433A80">
        <w:trPr>
          <w:trHeight w:val="135"/>
        </w:trPr>
        <w:tc>
          <w:tcPr>
            <w:tcW w:w="2283" w:type="pct"/>
            <w:tcBorders>
              <w:top w:val="nil"/>
              <w:left w:val="single" w:sz="4" w:space="0" w:color="auto"/>
              <w:bottom w:val="single" w:sz="4" w:space="0" w:color="auto"/>
              <w:right w:val="single" w:sz="4" w:space="0" w:color="auto"/>
            </w:tcBorders>
            <w:shd w:val="clear" w:color="auto" w:fill="auto"/>
            <w:noWrap/>
            <w:vAlign w:val="center"/>
          </w:tcPr>
          <w:p w14:paraId="5FE865AF" w14:textId="77777777" w:rsidR="007740DE" w:rsidRPr="00111F34" w:rsidRDefault="007740DE" w:rsidP="007740DE">
            <w:pPr>
              <w:pStyle w:val="Odrky1"/>
              <w:spacing w:before="0" w:after="0"/>
              <w:rPr>
                <w:sz w:val="16"/>
                <w:szCs w:val="16"/>
              </w:rPr>
            </w:pPr>
            <w:r w:rsidRPr="00111F34">
              <w:rPr>
                <w:sz w:val="16"/>
                <w:szCs w:val="16"/>
              </w:rPr>
              <w:t>práh vzdálenosti 2 km</w:t>
            </w:r>
          </w:p>
        </w:tc>
        <w:tc>
          <w:tcPr>
            <w:tcW w:w="507" w:type="pct"/>
            <w:tcBorders>
              <w:top w:val="nil"/>
              <w:left w:val="nil"/>
              <w:bottom w:val="single" w:sz="4" w:space="0" w:color="auto"/>
              <w:right w:val="single" w:sz="4" w:space="0" w:color="auto"/>
            </w:tcBorders>
            <w:shd w:val="clear" w:color="auto" w:fill="auto"/>
            <w:noWrap/>
            <w:vAlign w:val="center"/>
            <w:hideMark/>
          </w:tcPr>
          <w:p w14:paraId="7191C9BB" w14:textId="77777777" w:rsidR="007740DE" w:rsidRPr="00111F34" w:rsidRDefault="007740DE" w:rsidP="007740DE">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0</w:t>
            </w:r>
          </w:p>
        </w:tc>
        <w:tc>
          <w:tcPr>
            <w:tcW w:w="2210" w:type="pct"/>
            <w:tcBorders>
              <w:top w:val="nil"/>
              <w:left w:val="nil"/>
              <w:bottom w:val="single" w:sz="4" w:space="0" w:color="auto"/>
              <w:right w:val="single" w:sz="4" w:space="0" w:color="auto"/>
            </w:tcBorders>
          </w:tcPr>
          <w:p w14:paraId="00F4FF00" w14:textId="77777777" w:rsidR="007740DE" w:rsidRPr="00111F34" w:rsidRDefault="007740DE" w:rsidP="007740DE">
            <w:pPr>
              <w:pStyle w:val="Texttabulky"/>
              <w:jc w:val="center"/>
              <w:rPr>
                <w:rFonts w:cs="Arial"/>
                <w:color w:val="auto"/>
                <w:szCs w:val="16"/>
              </w:rPr>
            </w:pPr>
            <w:r w:rsidRPr="00111F34">
              <w:rPr>
                <w:rFonts w:cs="Arial"/>
                <w:szCs w:val="16"/>
              </w:rPr>
              <w:t>Z hlediska posuzované ÚPD bez přímé vazby.</w:t>
            </w:r>
          </w:p>
        </w:tc>
      </w:tr>
      <w:tr w:rsidR="007740DE" w:rsidRPr="00111F34" w14:paraId="472EC247" w14:textId="77777777" w:rsidTr="00433A80">
        <w:trPr>
          <w:trHeight w:val="182"/>
        </w:trPr>
        <w:tc>
          <w:tcPr>
            <w:tcW w:w="2283" w:type="pct"/>
            <w:tcBorders>
              <w:top w:val="nil"/>
              <w:left w:val="single" w:sz="4" w:space="0" w:color="auto"/>
              <w:bottom w:val="single" w:sz="4" w:space="0" w:color="auto"/>
              <w:right w:val="single" w:sz="4" w:space="0" w:color="auto"/>
            </w:tcBorders>
            <w:shd w:val="clear" w:color="auto" w:fill="auto"/>
            <w:noWrap/>
            <w:vAlign w:val="center"/>
          </w:tcPr>
          <w:p w14:paraId="3503FFF1" w14:textId="77777777" w:rsidR="007740DE" w:rsidRPr="00111F34" w:rsidRDefault="007740DE" w:rsidP="007740DE">
            <w:pPr>
              <w:pStyle w:val="Odrky1"/>
              <w:spacing w:before="0" w:after="0"/>
              <w:rPr>
                <w:sz w:val="16"/>
                <w:szCs w:val="16"/>
              </w:rPr>
            </w:pPr>
            <w:r w:rsidRPr="00111F34">
              <w:rPr>
                <w:sz w:val="16"/>
                <w:szCs w:val="16"/>
              </w:rPr>
              <w:t>práh vzdálenosti 3 km</w:t>
            </w:r>
          </w:p>
        </w:tc>
        <w:tc>
          <w:tcPr>
            <w:tcW w:w="507" w:type="pct"/>
            <w:tcBorders>
              <w:top w:val="nil"/>
              <w:left w:val="nil"/>
              <w:bottom w:val="single" w:sz="4" w:space="0" w:color="auto"/>
              <w:right w:val="single" w:sz="4" w:space="0" w:color="auto"/>
            </w:tcBorders>
            <w:shd w:val="clear" w:color="auto" w:fill="auto"/>
            <w:noWrap/>
            <w:vAlign w:val="center"/>
            <w:hideMark/>
          </w:tcPr>
          <w:p w14:paraId="757E7FCA" w14:textId="77777777" w:rsidR="007740DE" w:rsidRPr="00111F34" w:rsidRDefault="007740DE" w:rsidP="007740DE">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0</w:t>
            </w:r>
          </w:p>
        </w:tc>
        <w:tc>
          <w:tcPr>
            <w:tcW w:w="2210" w:type="pct"/>
            <w:tcBorders>
              <w:top w:val="nil"/>
              <w:left w:val="nil"/>
              <w:bottom w:val="single" w:sz="4" w:space="0" w:color="auto"/>
              <w:right w:val="single" w:sz="4" w:space="0" w:color="auto"/>
            </w:tcBorders>
          </w:tcPr>
          <w:p w14:paraId="10F94DEA" w14:textId="77777777" w:rsidR="007740DE" w:rsidRPr="00111F34" w:rsidRDefault="007740DE" w:rsidP="007740DE">
            <w:pPr>
              <w:pStyle w:val="Texttabulky"/>
              <w:jc w:val="center"/>
              <w:rPr>
                <w:rFonts w:cs="Arial"/>
                <w:color w:val="auto"/>
                <w:szCs w:val="16"/>
              </w:rPr>
            </w:pPr>
            <w:r w:rsidRPr="00111F34">
              <w:rPr>
                <w:rFonts w:cs="Arial"/>
                <w:szCs w:val="16"/>
              </w:rPr>
              <w:t xml:space="preserve">Z hlediska posuzované ÚPD bez přímé vazby. </w:t>
            </w:r>
          </w:p>
        </w:tc>
      </w:tr>
      <w:tr w:rsidR="007740DE" w:rsidRPr="00111F34" w14:paraId="416FBC8C" w14:textId="77777777" w:rsidTr="00433A80">
        <w:trPr>
          <w:trHeight w:val="175"/>
        </w:trPr>
        <w:tc>
          <w:tcPr>
            <w:tcW w:w="2283" w:type="pct"/>
            <w:tcBorders>
              <w:top w:val="nil"/>
              <w:left w:val="single" w:sz="4" w:space="0" w:color="auto"/>
              <w:bottom w:val="single" w:sz="4" w:space="0" w:color="auto"/>
              <w:right w:val="single" w:sz="4" w:space="0" w:color="auto"/>
            </w:tcBorders>
            <w:shd w:val="clear" w:color="auto" w:fill="auto"/>
            <w:noWrap/>
            <w:vAlign w:val="center"/>
          </w:tcPr>
          <w:p w14:paraId="67E00771" w14:textId="77777777" w:rsidR="007740DE" w:rsidRPr="00111F34" w:rsidRDefault="007740DE" w:rsidP="007740DE">
            <w:pPr>
              <w:pStyle w:val="Odrky1"/>
              <w:spacing w:before="0" w:after="0"/>
              <w:rPr>
                <w:sz w:val="16"/>
                <w:szCs w:val="16"/>
              </w:rPr>
            </w:pPr>
            <w:r w:rsidRPr="00111F34">
              <w:rPr>
                <w:sz w:val="16"/>
                <w:szCs w:val="16"/>
              </w:rPr>
              <w:t>práh vzdálenosti 4 km</w:t>
            </w:r>
          </w:p>
        </w:tc>
        <w:tc>
          <w:tcPr>
            <w:tcW w:w="507" w:type="pct"/>
            <w:tcBorders>
              <w:top w:val="nil"/>
              <w:left w:val="nil"/>
              <w:bottom w:val="single" w:sz="4" w:space="0" w:color="auto"/>
              <w:right w:val="single" w:sz="4" w:space="0" w:color="auto"/>
            </w:tcBorders>
            <w:shd w:val="clear" w:color="auto" w:fill="auto"/>
            <w:noWrap/>
            <w:vAlign w:val="center"/>
            <w:hideMark/>
          </w:tcPr>
          <w:p w14:paraId="188A583D" w14:textId="6FE3472F" w:rsidR="007740DE" w:rsidRPr="00111F34" w:rsidRDefault="007740DE" w:rsidP="007740DE">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w:t>
            </w:r>
          </w:p>
        </w:tc>
        <w:tc>
          <w:tcPr>
            <w:tcW w:w="2210" w:type="pct"/>
            <w:tcBorders>
              <w:top w:val="nil"/>
              <w:left w:val="nil"/>
              <w:bottom w:val="single" w:sz="4" w:space="0" w:color="auto"/>
              <w:right w:val="single" w:sz="4" w:space="0" w:color="auto"/>
            </w:tcBorders>
            <w:vAlign w:val="center"/>
          </w:tcPr>
          <w:p w14:paraId="0E67DC01" w14:textId="064171C0" w:rsidR="007740DE" w:rsidRPr="00111F34" w:rsidRDefault="007740DE" w:rsidP="007740DE">
            <w:pPr>
              <w:pStyle w:val="Texttabulky"/>
              <w:jc w:val="center"/>
              <w:rPr>
                <w:rFonts w:cs="Arial"/>
                <w:color w:val="auto"/>
                <w:szCs w:val="16"/>
              </w:rPr>
            </w:pPr>
            <w:r w:rsidRPr="00111F34">
              <w:rPr>
                <w:rFonts w:cs="Arial"/>
                <w:szCs w:val="16"/>
              </w:rPr>
              <w:t xml:space="preserve">Vliv změny na urbanistický ráz území bude záviset na architektonickém a hmotovém pojetí zástavby. </w:t>
            </w:r>
            <w:r w:rsidRPr="00111F34">
              <w:rPr>
                <w:rFonts w:cs="Arial"/>
                <w:color w:val="auto"/>
                <w:szCs w:val="16"/>
              </w:rPr>
              <w:t>Jsou vytvářeny územní předpoklady pro zlepšení estetických kvalit území a transformaci brownfields. Vytvořeny územní předpoklady pro vznik nových ploch veřejné zeleně.</w:t>
            </w:r>
          </w:p>
        </w:tc>
      </w:tr>
      <w:tr w:rsidR="007740DE" w:rsidRPr="00111F34" w14:paraId="1DA8E258" w14:textId="77777777" w:rsidTr="00433A80">
        <w:trPr>
          <w:trHeight w:val="106"/>
        </w:trPr>
        <w:tc>
          <w:tcPr>
            <w:tcW w:w="2283" w:type="pct"/>
            <w:tcBorders>
              <w:top w:val="nil"/>
              <w:left w:val="single" w:sz="4" w:space="0" w:color="auto"/>
              <w:bottom w:val="single" w:sz="4" w:space="0" w:color="auto"/>
              <w:right w:val="single" w:sz="4" w:space="0" w:color="auto"/>
            </w:tcBorders>
            <w:shd w:val="clear" w:color="auto" w:fill="auto"/>
            <w:noWrap/>
            <w:vAlign w:val="center"/>
          </w:tcPr>
          <w:p w14:paraId="76A12AD0" w14:textId="77777777" w:rsidR="007740DE" w:rsidRPr="00111F34" w:rsidRDefault="007740DE" w:rsidP="007740DE">
            <w:pPr>
              <w:pStyle w:val="Odrky1"/>
              <w:spacing w:before="0" w:after="0"/>
              <w:rPr>
                <w:sz w:val="16"/>
                <w:szCs w:val="16"/>
              </w:rPr>
            </w:pPr>
            <w:r w:rsidRPr="00111F34">
              <w:rPr>
                <w:sz w:val="16"/>
                <w:szCs w:val="16"/>
              </w:rPr>
              <w:t>hlavní svahy</w:t>
            </w:r>
          </w:p>
        </w:tc>
        <w:tc>
          <w:tcPr>
            <w:tcW w:w="507" w:type="pct"/>
            <w:tcBorders>
              <w:top w:val="nil"/>
              <w:left w:val="nil"/>
              <w:bottom w:val="single" w:sz="4" w:space="0" w:color="auto"/>
              <w:right w:val="single" w:sz="4" w:space="0" w:color="auto"/>
            </w:tcBorders>
            <w:shd w:val="clear" w:color="auto" w:fill="auto"/>
            <w:noWrap/>
            <w:vAlign w:val="center"/>
            <w:hideMark/>
          </w:tcPr>
          <w:p w14:paraId="1FF4533E" w14:textId="77777777" w:rsidR="007740DE" w:rsidRPr="00111F34" w:rsidRDefault="007740DE" w:rsidP="007740DE">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0</w:t>
            </w:r>
          </w:p>
        </w:tc>
        <w:tc>
          <w:tcPr>
            <w:tcW w:w="2210" w:type="pct"/>
            <w:tcBorders>
              <w:top w:val="nil"/>
              <w:left w:val="nil"/>
              <w:bottom w:val="single" w:sz="4" w:space="0" w:color="auto"/>
              <w:right w:val="single" w:sz="4" w:space="0" w:color="auto"/>
            </w:tcBorders>
          </w:tcPr>
          <w:p w14:paraId="7B2A37BA" w14:textId="77777777" w:rsidR="007740DE" w:rsidRPr="00111F34" w:rsidRDefault="007740DE" w:rsidP="007740DE">
            <w:pPr>
              <w:pStyle w:val="Texttabulky"/>
              <w:jc w:val="center"/>
              <w:rPr>
                <w:rFonts w:cs="Arial"/>
                <w:color w:val="auto"/>
                <w:szCs w:val="16"/>
              </w:rPr>
            </w:pPr>
            <w:r w:rsidRPr="00111F34">
              <w:rPr>
                <w:rFonts w:cs="Arial"/>
                <w:szCs w:val="16"/>
              </w:rPr>
              <w:t xml:space="preserve">Z hlediska posuzované ÚPD bez přímé vazby. </w:t>
            </w:r>
          </w:p>
        </w:tc>
      </w:tr>
      <w:tr w:rsidR="007740DE" w:rsidRPr="00111F34" w14:paraId="30698C9E" w14:textId="77777777" w:rsidTr="00433A80">
        <w:trPr>
          <w:trHeight w:val="180"/>
        </w:trPr>
        <w:tc>
          <w:tcPr>
            <w:tcW w:w="2283" w:type="pct"/>
            <w:tcBorders>
              <w:top w:val="nil"/>
              <w:left w:val="single" w:sz="4" w:space="0" w:color="auto"/>
              <w:bottom w:val="single" w:sz="4" w:space="0" w:color="auto"/>
              <w:right w:val="single" w:sz="4" w:space="0" w:color="auto"/>
            </w:tcBorders>
            <w:shd w:val="clear" w:color="auto" w:fill="auto"/>
            <w:noWrap/>
            <w:vAlign w:val="center"/>
          </w:tcPr>
          <w:p w14:paraId="73000289" w14:textId="77777777" w:rsidR="007740DE" w:rsidRPr="00111F34" w:rsidRDefault="007740DE" w:rsidP="007740DE">
            <w:pPr>
              <w:pStyle w:val="Odrky1"/>
              <w:spacing w:before="0" w:after="0"/>
              <w:rPr>
                <w:sz w:val="16"/>
                <w:szCs w:val="16"/>
              </w:rPr>
            </w:pPr>
            <w:r w:rsidRPr="00111F34">
              <w:rPr>
                <w:sz w:val="16"/>
                <w:szCs w:val="16"/>
              </w:rPr>
              <w:t>vedlejší svahy</w:t>
            </w:r>
          </w:p>
        </w:tc>
        <w:tc>
          <w:tcPr>
            <w:tcW w:w="507" w:type="pct"/>
            <w:tcBorders>
              <w:top w:val="nil"/>
              <w:left w:val="nil"/>
              <w:bottom w:val="single" w:sz="4" w:space="0" w:color="auto"/>
              <w:right w:val="single" w:sz="4" w:space="0" w:color="auto"/>
            </w:tcBorders>
            <w:shd w:val="clear" w:color="auto" w:fill="auto"/>
            <w:noWrap/>
            <w:vAlign w:val="center"/>
            <w:hideMark/>
          </w:tcPr>
          <w:p w14:paraId="626E474A" w14:textId="77777777" w:rsidR="007740DE" w:rsidRPr="00111F34" w:rsidRDefault="007740DE" w:rsidP="007740DE">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0</w:t>
            </w:r>
          </w:p>
        </w:tc>
        <w:tc>
          <w:tcPr>
            <w:tcW w:w="2210" w:type="pct"/>
            <w:tcBorders>
              <w:top w:val="nil"/>
              <w:left w:val="nil"/>
              <w:bottom w:val="single" w:sz="4" w:space="0" w:color="auto"/>
              <w:right w:val="single" w:sz="4" w:space="0" w:color="auto"/>
            </w:tcBorders>
          </w:tcPr>
          <w:p w14:paraId="3BB1D5F3" w14:textId="77777777" w:rsidR="007740DE" w:rsidRPr="00111F34" w:rsidRDefault="007740DE" w:rsidP="007740DE">
            <w:pPr>
              <w:pStyle w:val="Texttabulky"/>
              <w:jc w:val="center"/>
              <w:rPr>
                <w:rFonts w:cs="Arial"/>
                <w:color w:val="auto"/>
                <w:szCs w:val="16"/>
              </w:rPr>
            </w:pPr>
            <w:r w:rsidRPr="00111F34">
              <w:rPr>
                <w:rFonts w:cs="Arial"/>
                <w:szCs w:val="16"/>
              </w:rPr>
              <w:t xml:space="preserve">Z hlediska posuzované ÚPD bez přímé vazby. </w:t>
            </w:r>
          </w:p>
        </w:tc>
      </w:tr>
      <w:tr w:rsidR="007740DE" w:rsidRPr="00111F34" w14:paraId="33501488" w14:textId="77777777" w:rsidTr="00433A80">
        <w:trPr>
          <w:trHeight w:val="98"/>
        </w:trPr>
        <w:tc>
          <w:tcPr>
            <w:tcW w:w="2283" w:type="pct"/>
            <w:tcBorders>
              <w:top w:val="nil"/>
              <w:left w:val="single" w:sz="4" w:space="0" w:color="auto"/>
              <w:bottom w:val="single" w:sz="4" w:space="0" w:color="auto"/>
              <w:right w:val="single" w:sz="4" w:space="0" w:color="auto"/>
            </w:tcBorders>
            <w:shd w:val="clear" w:color="auto" w:fill="auto"/>
            <w:noWrap/>
            <w:vAlign w:val="center"/>
          </w:tcPr>
          <w:p w14:paraId="5C444BDC" w14:textId="77777777" w:rsidR="007740DE" w:rsidRPr="00111F34" w:rsidRDefault="007740DE" w:rsidP="007740DE">
            <w:pPr>
              <w:pStyle w:val="Odrky1"/>
              <w:spacing w:before="0" w:after="0"/>
              <w:rPr>
                <w:sz w:val="16"/>
                <w:szCs w:val="16"/>
              </w:rPr>
            </w:pPr>
            <w:r w:rsidRPr="00111F34">
              <w:rPr>
                <w:sz w:val="16"/>
                <w:szCs w:val="16"/>
              </w:rPr>
              <w:t>osa hřebene</w:t>
            </w:r>
          </w:p>
        </w:tc>
        <w:tc>
          <w:tcPr>
            <w:tcW w:w="507" w:type="pct"/>
            <w:tcBorders>
              <w:top w:val="nil"/>
              <w:left w:val="nil"/>
              <w:bottom w:val="single" w:sz="4" w:space="0" w:color="auto"/>
              <w:right w:val="single" w:sz="4" w:space="0" w:color="auto"/>
            </w:tcBorders>
            <w:shd w:val="clear" w:color="auto" w:fill="auto"/>
            <w:noWrap/>
            <w:vAlign w:val="center"/>
            <w:hideMark/>
          </w:tcPr>
          <w:p w14:paraId="431F152F" w14:textId="77777777" w:rsidR="007740DE" w:rsidRPr="00111F34" w:rsidRDefault="007740DE" w:rsidP="007740DE">
            <w:pPr>
              <w:pStyle w:val="Texttabulky"/>
              <w:jc w:val="center"/>
              <w:rPr>
                <w:rFonts w:asciiTheme="minorHAnsi" w:hAnsiTheme="minorHAnsi" w:cstheme="minorHAnsi"/>
                <w:color w:val="auto"/>
                <w:szCs w:val="16"/>
              </w:rPr>
            </w:pPr>
            <w:r w:rsidRPr="00111F34">
              <w:rPr>
                <w:rFonts w:asciiTheme="minorHAnsi" w:hAnsiTheme="minorHAnsi" w:cstheme="minorHAnsi"/>
                <w:szCs w:val="16"/>
              </w:rPr>
              <w:t>0</w:t>
            </w:r>
          </w:p>
        </w:tc>
        <w:tc>
          <w:tcPr>
            <w:tcW w:w="2210" w:type="pct"/>
            <w:tcBorders>
              <w:top w:val="nil"/>
              <w:left w:val="nil"/>
              <w:bottom w:val="single" w:sz="4" w:space="0" w:color="auto"/>
              <w:right w:val="single" w:sz="4" w:space="0" w:color="auto"/>
            </w:tcBorders>
            <w:vAlign w:val="center"/>
          </w:tcPr>
          <w:p w14:paraId="1A7C72E2" w14:textId="77777777" w:rsidR="007740DE" w:rsidRPr="00111F34" w:rsidRDefault="007740DE" w:rsidP="007740DE">
            <w:pPr>
              <w:pStyle w:val="Texttabulky"/>
              <w:jc w:val="center"/>
              <w:rPr>
                <w:rFonts w:cs="Arial"/>
                <w:color w:val="auto"/>
                <w:szCs w:val="16"/>
              </w:rPr>
            </w:pPr>
            <w:r w:rsidRPr="00111F34">
              <w:rPr>
                <w:rFonts w:cs="Arial"/>
                <w:szCs w:val="16"/>
              </w:rPr>
              <w:t xml:space="preserve">Z hlediska posuzované ÚPD bez přímé vazby. </w:t>
            </w:r>
          </w:p>
        </w:tc>
      </w:tr>
      <w:tr w:rsidR="007740DE" w:rsidRPr="00111F34" w14:paraId="6E916466" w14:textId="77777777" w:rsidTr="00433A80">
        <w:trPr>
          <w:trHeight w:val="56"/>
        </w:trPr>
        <w:tc>
          <w:tcPr>
            <w:tcW w:w="2283" w:type="pct"/>
            <w:tcBorders>
              <w:top w:val="nil"/>
              <w:left w:val="single" w:sz="4" w:space="0" w:color="auto"/>
              <w:bottom w:val="single" w:sz="4" w:space="0" w:color="auto"/>
              <w:right w:val="single" w:sz="4" w:space="0" w:color="auto"/>
            </w:tcBorders>
            <w:shd w:val="clear" w:color="auto" w:fill="auto"/>
            <w:noWrap/>
            <w:vAlign w:val="center"/>
          </w:tcPr>
          <w:p w14:paraId="22306360" w14:textId="77777777" w:rsidR="007740DE" w:rsidRPr="00111F34" w:rsidRDefault="007740DE" w:rsidP="007740DE">
            <w:pPr>
              <w:pStyle w:val="Odrky1"/>
              <w:spacing w:before="0" w:after="0"/>
              <w:rPr>
                <w:sz w:val="16"/>
                <w:szCs w:val="16"/>
              </w:rPr>
            </w:pPr>
            <w:r w:rsidRPr="00111F34">
              <w:rPr>
                <w:sz w:val="16"/>
                <w:szCs w:val="16"/>
              </w:rPr>
              <w:t>osa údolí</w:t>
            </w:r>
          </w:p>
        </w:tc>
        <w:tc>
          <w:tcPr>
            <w:tcW w:w="507" w:type="pct"/>
            <w:tcBorders>
              <w:top w:val="nil"/>
              <w:left w:val="nil"/>
              <w:bottom w:val="single" w:sz="4" w:space="0" w:color="auto"/>
              <w:right w:val="single" w:sz="4" w:space="0" w:color="auto"/>
            </w:tcBorders>
            <w:shd w:val="clear" w:color="auto" w:fill="auto"/>
            <w:noWrap/>
            <w:vAlign w:val="center"/>
            <w:hideMark/>
          </w:tcPr>
          <w:p w14:paraId="356115AB" w14:textId="77777777" w:rsidR="007740DE" w:rsidRPr="00111F34" w:rsidRDefault="007740DE" w:rsidP="007740DE">
            <w:pPr>
              <w:pStyle w:val="Texttabulky"/>
              <w:jc w:val="center"/>
              <w:rPr>
                <w:rFonts w:asciiTheme="minorHAnsi" w:hAnsiTheme="minorHAnsi" w:cstheme="minorHAnsi"/>
                <w:color w:val="auto"/>
                <w:szCs w:val="16"/>
              </w:rPr>
            </w:pPr>
            <w:r w:rsidRPr="00111F34">
              <w:rPr>
                <w:rFonts w:asciiTheme="minorHAnsi" w:hAnsiTheme="minorHAnsi" w:cstheme="minorHAnsi"/>
                <w:szCs w:val="16"/>
              </w:rPr>
              <w:t>0</w:t>
            </w:r>
          </w:p>
        </w:tc>
        <w:tc>
          <w:tcPr>
            <w:tcW w:w="2210" w:type="pct"/>
            <w:tcBorders>
              <w:top w:val="nil"/>
              <w:left w:val="nil"/>
              <w:bottom w:val="single" w:sz="4" w:space="0" w:color="auto"/>
              <w:right w:val="single" w:sz="4" w:space="0" w:color="auto"/>
            </w:tcBorders>
            <w:vAlign w:val="center"/>
          </w:tcPr>
          <w:p w14:paraId="68891903" w14:textId="77777777" w:rsidR="007740DE" w:rsidRPr="00111F34" w:rsidRDefault="007740DE" w:rsidP="007740DE">
            <w:pPr>
              <w:pStyle w:val="Texttabulky"/>
              <w:jc w:val="center"/>
              <w:rPr>
                <w:rFonts w:cs="Arial"/>
                <w:color w:val="auto"/>
                <w:szCs w:val="16"/>
              </w:rPr>
            </w:pPr>
            <w:r w:rsidRPr="00111F34">
              <w:rPr>
                <w:rFonts w:cs="Arial"/>
                <w:szCs w:val="16"/>
              </w:rPr>
              <w:t xml:space="preserve">Z hlediska posuzované ÚPD bez přímé vazby. </w:t>
            </w:r>
          </w:p>
        </w:tc>
      </w:tr>
      <w:tr w:rsidR="007740DE" w:rsidRPr="00111F34" w14:paraId="68ECCD35" w14:textId="77777777" w:rsidTr="00433A80">
        <w:trPr>
          <w:trHeight w:val="104"/>
        </w:trPr>
        <w:tc>
          <w:tcPr>
            <w:tcW w:w="5000" w:type="pct"/>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AC594DD" w14:textId="77777777" w:rsidR="007740DE" w:rsidRPr="00111F34" w:rsidRDefault="007740DE" w:rsidP="007740DE">
            <w:pPr>
              <w:pStyle w:val="Texttabulky"/>
              <w:rPr>
                <w:rFonts w:cs="Arial"/>
                <w:b/>
                <w:color w:val="auto"/>
                <w:szCs w:val="16"/>
              </w:rPr>
            </w:pPr>
            <w:r w:rsidRPr="00111F34">
              <w:rPr>
                <w:rFonts w:cs="Arial"/>
                <w:b/>
                <w:color w:val="auto"/>
                <w:szCs w:val="16"/>
              </w:rPr>
              <w:t>03 VYVÁŽENÉ PROSTOROVÉ USPOŘÁDÁNÍ MĚSTA</w:t>
            </w:r>
          </w:p>
        </w:tc>
      </w:tr>
      <w:tr w:rsidR="007740DE" w:rsidRPr="00111F34" w14:paraId="048A94F5" w14:textId="77777777" w:rsidTr="00433A80">
        <w:trPr>
          <w:trHeight w:val="191"/>
        </w:trPr>
        <w:tc>
          <w:tcPr>
            <w:tcW w:w="2283" w:type="pct"/>
            <w:tcBorders>
              <w:top w:val="nil"/>
              <w:left w:val="single" w:sz="4" w:space="0" w:color="auto"/>
              <w:bottom w:val="single" w:sz="4" w:space="0" w:color="auto"/>
              <w:right w:val="single" w:sz="4" w:space="0" w:color="auto"/>
            </w:tcBorders>
            <w:shd w:val="clear" w:color="auto" w:fill="auto"/>
            <w:noWrap/>
            <w:vAlign w:val="center"/>
            <w:hideMark/>
          </w:tcPr>
          <w:p w14:paraId="5F894BCF" w14:textId="77777777" w:rsidR="007740DE" w:rsidRPr="00111F34" w:rsidRDefault="007740DE" w:rsidP="007740DE">
            <w:pPr>
              <w:pStyle w:val="Odrky1"/>
              <w:numPr>
                <w:ilvl w:val="0"/>
                <w:numId w:val="0"/>
              </w:numPr>
              <w:spacing w:before="0" w:after="0"/>
              <w:ind w:left="360" w:hanging="360"/>
              <w:rPr>
                <w:b/>
                <w:sz w:val="16"/>
                <w:szCs w:val="16"/>
              </w:rPr>
            </w:pPr>
            <w:r w:rsidRPr="00111F34">
              <w:rPr>
                <w:b/>
                <w:sz w:val="16"/>
                <w:szCs w:val="16"/>
              </w:rPr>
              <w:t>kvalitně založená síť veřejných prostranství</w:t>
            </w:r>
          </w:p>
        </w:tc>
        <w:tc>
          <w:tcPr>
            <w:tcW w:w="507" w:type="pct"/>
            <w:tcBorders>
              <w:top w:val="nil"/>
              <w:left w:val="nil"/>
              <w:bottom w:val="single" w:sz="4" w:space="0" w:color="auto"/>
              <w:right w:val="single" w:sz="4" w:space="0" w:color="auto"/>
            </w:tcBorders>
            <w:shd w:val="clear" w:color="auto" w:fill="auto"/>
            <w:noWrap/>
            <w:vAlign w:val="center"/>
            <w:hideMark/>
          </w:tcPr>
          <w:p w14:paraId="312E3112" w14:textId="046C9C53" w:rsidR="007740DE" w:rsidRPr="00111F34" w:rsidRDefault="007740DE" w:rsidP="007740DE">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w:t>
            </w:r>
          </w:p>
        </w:tc>
        <w:tc>
          <w:tcPr>
            <w:tcW w:w="2210" w:type="pct"/>
            <w:tcBorders>
              <w:top w:val="nil"/>
              <w:left w:val="nil"/>
              <w:bottom w:val="single" w:sz="4" w:space="0" w:color="auto"/>
              <w:right w:val="single" w:sz="4" w:space="0" w:color="auto"/>
            </w:tcBorders>
            <w:vAlign w:val="center"/>
          </w:tcPr>
          <w:p w14:paraId="541D5674" w14:textId="3BBCFBB8" w:rsidR="007740DE" w:rsidRPr="00111F34" w:rsidRDefault="007740DE" w:rsidP="007740DE">
            <w:pPr>
              <w:pStyle w:val="Texttabulky"/>
              <w:jc w:val="center"/>
              <w:rPr>
                <w:rFonts w:cs="Arial"/>
                <w:color w:val="auto"/>
                <w:szCs w:val="16"/>
              </w:rPr>
            </w:pPr>
            <w:r w:rsidRPr="00111F34">
              <w:rPr>
                <w:rFonts w:cs="Arial"/>
                <w:szCs w:val="16"/>
              </w:rPr>
              <w:t xml:space="preserve">Z hlediska posuzované ÚPD bez významného vlivu. Při realizaci stavby a související infrastruktury dojde ke vzniku a úpravám stávajících veřejných prostranství. </w:t>
            </w:r>
          </w:p>
        </w:tc>
      </w:tr>
      <w:tr w:rsidR="007740DE" w:rsidRPr="00111F34" w14:paraId="2384BE75" w14:textId="77777777" w:rsidTr="00433A80">
        <w:trPr>
          <w:trHeight w:val="137"/>
        </w:trPr>
        <w:tc>
          <w:tcPr>
            <w:tcW w:w="2283" w:type="pct"/>
            <w:tcBorders>
              <w:top w:val="nil"/>
              <w:left w:val="single" w:sz="4" w:space="0" w:color="auto"/>
              <w:bottom w:val="single" w:sz="4" w:space="0" w:color="auto"/>
              <w:right w:val="single" w:sz="4" w:space="0" w:color="auto"/>
            </w:tcBorders>
            <w:shd w:val="clear" w:color="auto" w:fill="auto"/>
            <w:noWrap/>
            <w:vAlign w:val="center"/>
            <w:hideMark/>
          </w:tcPr>
          <w:p w14:paraId="5381354C" w14:textId="77777777" w:rsidR="007740DE" w:rsidRPr="00111F34" w:rsidRDefault="007740DE" w:rsidP="007740DE">
            <w:pPr>
              <w:pStyle w:val="Odrky1"/>
              <w:spacing w:before="0" w:after="0"/>
              <w:rPr>
                <w:sz w:val="16"/>
                <w:szCs w:val="16"/>
              </w:rPr>
            </w:pPr>
            <w:r w:rsidRPr="00111F34">
              <w:rPr>
                <w:sz w:val="16"/>
                <w:szCs w:val="16"/>
              </w:rPr>
              <w:t>uliční prostranství</w:t>
            </w:r>
          </w:p>
        </w:tc>
        <w:tc>
          <w:tcPr>
            <w:tcW w:w="507" w:type="pct"/>
            <w:tcBorders>
              <w:top w:val="nil"/>
              <w:left w:val="nil"/>
              <w:bottom w:val="single" w:sz="4" w:space="0" w:color="auto"/>
              <w:right w:val="single" w:sz="4" w:space="0" w:color="auto"/>
            </w:tcBorders>
            <w:shd w:val="clear" w:color="auto" w:fill="auto"/>
            <w:noWrap/>
            <w:vAlign w:val="center"/>
            <w:hideMark/>
          </w:tcPr>
          <w:p w14:paraId="1EE68A97" w14:textId="1D7979FA" w:rsidR="007740DE" w:rsidRPr="00111F34" w:rsidRDefault="007740DE" w:rsidP="007740DE">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w:t>
            </w:r>
          </w:p>
        </w:tc>
        <w:tc>
          <w:tcPr>
            <w:tcW w:w="2210" w:type="pct"/>
            <w:tcBorders>
              <w:top w:val="nil"/>
              <w:left w:val="nil"/>
              <w:bottom w:val="single" w:sz="4" w:space="0" w:color="auto"/>
              <w:right w:val="single" w:sz="4" w:space="0" w:color="auto"/>
            </w:tcBorders>
            <w:vAlign w:val="center"/>
          </w:tcPr>
          <w:p w14:paraId="0D5F7E80" w14:textId="03169EBF" w:rsidR="007740DE" w:rsidRPr="00111F34" w:rsidRDefault="007740DE" w:rsidP="007740DE">
            <w:pPr>
              <w:pStyle w:val="Texttabulky"/>
              <w:jc w:val="center"/>
              <w:rPr>
                <w:rFonts w:cs="Arial"/>
                <w:color w:val="auto"/>
                <w:szCs w:val="16"/>
              </w:rPr>
            </w:pPr>
            <w:r w:rsidRPr="00111F34">
              <w:rPr>
                <w:rFonts w:cs="Arial"/>
                <w:szCs w:val="16"/>
              </w:rPr>
              <w:t xml:space="preserve">Z hlediska posuzované ÚPD bez významného vlivu. Při realizaci stavby a související infrastruktury dojde ke vzniku a úpravám stávajících veřejných prostranství. </w:t>
            </w:r>
          </w:p>
        </w:tc>
      </w:tr>
      <w:tr w:rsidR="007740DE" w:rsidRPr="00111F34" w14:paraId="2FF36A80" w14:textId="77777777" w:rsidTr="00433A80">
        <w:trPr>
          <w:trHeight w:val="198"/>
        </w:trPr>
        <w:tc>
          <w:tcPr>
            <w:tcW w:w="2283" w:type="pct"/>
            <w:tcBorders>
              <w:top w:val="nil"/>
              <w:left w:val="single" w:sz="4" w:space="0" w:color="auto"/>
              <w:bottom w:val="single" w:sz="4" w:space="0" w:color="auto"/>
              <w:right w:val="single" w:sz="4" w:space="0" w:color="auto"/>
            </w:tcBorders>
            <w:shd w:val="clear" w:color="auto" w:fill="auto"/>
            <w:noWrap/>
            <w:vAlign w:val="center"/>
            <w:hideMark/>
          </w:tcPr>
          <w:p w14:paraId="368B4CB2" w14:textId="77777777" w:rsidR="007740DE" w:rsidRPr="00111F34" w:rsidRDefault="007740DE" w:rsidP="007740DE">
            <w:pPr>
              <w:pStyle w:val="Odrky1"/>
              <w:spacing w:before="0" w:after="0"/>
              <w:rPr>
                <w:sz w:val="16"/>
                <w:szCs w:val="16"/>
              </w:rPr>
            </w:pPr>
            <w:r w:rsidRPr="00111F34">
              <w:rPr>
                <w:sz w:val="16"/>
                <w:szCs w:val="16"/>
              </w:rPr>
              <w:t>cesty v otevřené krajině</w:t>
            </w:r>
          </w:p>
        </w:tc>
        <w:tc>
          <w:tcPr>
            <w:tcW w:w="507" w:type="pct"/>
            <w:tcBorders>
              <w:top w:val="nil"/>
              <w:left w:val="nil"/>
              <w:bottom w:val="single" w:sz="4" w:space="0" w:color="auto"/>
              <w:right w:val="single" w:sz="4" w:space="0" w:color="auto"/>
            </w:tcBorders>
            <w:shd w:val="clear" w:color="auto" w:fill="auto"/>
            <w:noWrap/>
            <w:vAlign w:val="center"/>
            <w:hideMark/>
          </w:tcPr>
          <w:p w14:paraId="190A195D" w14:textId="2B65F08C" w:rsidR="007740DE" w:rsidRPr="00111F34" w:rsidRDefault="007740DE" w:rsidP="007740DE">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w:t>
            </w:r>
          </w:p>
        </w:tc>
        <w:tc>
          <w:tcPr>
            <w:tcW w:w="2210" w:type="pct"/>
            <w:tcBorders>
              <w:top w:val="nil"/>
              <w:left w:val="nil"/>
              <w:bottom w:val="single" w:sz="4" w:space="0" w:color="auto"/>
              <w:right w:val="single" w:sz="4" w:space="0" w:color="auto"/>
            </w:tcBorders>
          </w:tcPr>
          <w:p w14:paraId="337BD050" w14:textId="6B80A54B" w:rsidR="007740DE" w:rsidRPr="00111F34" w:rsidRDefault="007740DE" w:rsidP="007740DE">
            <w:pPr>
              <w:pStyle w:val="Texttabulky"/>
              <w:jc w:val="center"/>
              <w:rPr>
                <w:rFonts w:cs="Arial"/>
                <w:color w:val="auto"/>
                <w:szCs w:val="16"/>
              </w:rPr>
            </w:pPr>
            <w:r w:rsidRPr="00111F34">
              <w:rPr>
                <w:rFonts w:cs="Arial"/>
                <w:szCs w:val="16"/>
              </w:rPr>
              <w:t>Vytvářeny územní předpoklady pro zlepšení prostupnosti území a návaznosti na okolní krajiny.</w:t>
            </w:r>
          </w:p>
        </w:tc>
      </w:tr>
      <w:tr w:rsidR="007740DE" w:rsidRPr="00111F34" w14:paraId="6AFAA3FF" w14:textId="77777777" w:rsidTr="00433A80">
        <w:trPr>
          <w:trHeight w:val="170"/>
        </w:trPr>
        <w:tc>
          <w:tcPr>
            <w:tcW w:w="2283" w:type="pct"/>
            <w:tcBorders>
              <w:top w:val="nil"/>
              <w:left w:val="single" w:sz="4" w:space="0" w:color="auto"/>
              <w:bottom w:val="single" w:sz="4" w:space="0" w:color="auto"/>
              <w:right w:val="single" w:sz="4" w:space="0" w:color="auto"/>
            </w:tcBorders>
            <w:shd w:val="clear" w:color="auto" w:fill="auto"/>
            <w:noWrap/>
            <w:vAlign w:val="center"/>
            <w:hideMark/>
          </w:tcPr>
          <w:p w14:paraId="28497762" w14:textId="77777777" w:rsidR="007740DE" w:rsidRPr="00111F34" w:rsidRDefault="007740DE" w:rsidP="007740DE">
            <w:pPr>
              <w:pStyle w:val="Odrky1"/>
              <w:spacing w:before="0" w:after="0"/>
              <w:rPr>
                <w:sz w:val="16"/>
                <w:szCs w:val="16"/>
              </w:rPr>
            </w:pPr>
            <w:r w:rsidRPr="00111F34">
              <w:rPr>
                <w:sz w:val="16"/>
                <w:szCs w:val="16"/>
              </w:rPr>
              <w:t>trasy císařských silnic v roce 1842</w:t>
            </w:r>
          </w:p>
        </w:tc>
        <w:tc>
          <w:tcPr>
            <w:tcW w:w="507" w:type="pct"/>
            <w:tcBorders>
              <w:top w:val="nil"/>
              <w:left w:val="nil"/>
              <w:bottom w:val="single" w:sz="4" w:space="0" w:color="auto"/>
              <w:right w:val="single" w:sz="4" w:space="0" w:color="auto"/>
            </w:tcBorders>
            <w:shd w:val="clear" w:color="auto" w:fill="auto"/>
            <w:noWrap/>
            <w:vAlign w:val="center"/>
            <w:hideMark/>
          </w:tcPr>
          <w:p w14:paraId="2575BE00" w14:textId="77777777" w:rsidR="007740DE" w:rsidRPr="00111F34" w:rsidRDefault="007740DE" w:rsidP="007740DE">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0</w:t>
            </w:r>
          </w:p>
        </w:tc>
        <w:tc>
          <w:tcPr>
            <w:tcW w:w="2210" w:type="pct"/>
            <w:tcBorders>
              <w:top w:val="nil"/>
              <w:left w:val="nil"/>
              <w:bottom w:val="single" w:sz="4" w:space="0" w:color="auto"/>
              <w:right w:val="single" w:sz="4" w:space="0" w:color="auto"/>
            </w:tcBorders>
          </w:tcPr>
          <w:p w14:paraId="3106BFD9" w14:textId="77777777" w:rsidR="007740DE" w:rsidRPr="00111F34" w:rsidRDefault="007740DE" w:rsidP="007740DE">
            <w:pPr>
              <w:pStyle w:val="Texttabulky"/>
              <w:jc w:val="center"/>
              <w:rPr>
                <w:rFonts w:cs="Arial"/>
                <w:color w:val="auto"/>
                <w:szCs w:val="16"/>
              </w:rPr>
            </w:pPr>
            <w:r w:rsidRPr="00111F34">
              <w:rPr>
                <w:rFonts w:cs="Arial"/>
                <w:szCs w:val="16"/>
              </w:rPr>
              <w:t>Z hlediska posuzované ÚPD bez přímé vazby.</w:t>
            </w:r>
          </w:p>
        </w:tc>
      </w:tr>
      <w:tr w:rsidR="007740DE" w:rsidRPr="00111F34" w14:paraId="3C1ACC38" w14:textId="77777777" w:rsidTr="00433A80">
        <w:trPr>
          <w:trHeight w:val="97"/>
        </w:trPr>
        <w:tc>
          <w:tcPr>
            <w:tcW w:w="5000" w:type="pct"/>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C72685F" w14:textId="77777777" w:rsidR="007740DE" w:rsidRPr="00111F34" w:rsidRDefault="007740DE" w:rsidP="007740DE">
            <w:pPr>
              <w:pStyle w:val="Texttabulky"/>
              <w:rPr>
                <w:rFonts w:asciiTheme="minorHAnsi" w:hAnsiTheme="minorHAnsi" w:cstheme="minorHAnsi"/>
                <w:b/>
                <w:color w:val="auto"/>
                <w:szCs w:val="16"/>
              </w:rPr>
            </w:pPr>
            <w:r w:rsidRPr="00111F34">
              <w:rPr>
                <w:rFonts w:cs="Arial"/>
                <w:b/>
                <w:color w:val="auto"/>
                <w:szCs w:val="16"/>
              </w:rPr>
              <w:t>04 VYVÁŽENÝ ROZVOJ KULTURNÍCH A URBÁNNÍCH HODNOT</w:t>
            </w:r>
          </w:p>
        </w:tc>
      </w:tr>
      <w:tr w:rsidR="007740DE" w:rsidRPr="00111F34" w14:paraId="25F154C0" w14:textId="77777777" w:rsidTr="00433A80">
        <w:trPr>
          <w:trHeight w:val="300"/>
        </w:trPr>
        <w:tc>
          <w:tcPr>
            <w:tcW w:w="2283" w:type="pct"/>
            <w:tcBorders>
              <w:top w:val="nil"/>
              <w:left w:val="single" w:sz="4" w:space="0" w:color="auto"/>
              <w:bottom w:val="single" w:sz="4" w:space="0" w:color="auto"/>
              <w:right w:val="single" w:sz="4" w:space="0" w:color="auto"/>
            </w:tcBorders>
            <w:shd w:val="clear" w:color="auto" w:fill="auto"/>
            <w:noWrap/>
            <w:vAlign w:val="center"/>
            <w:hideMark/>
          </w:tcPr>
          <w:p w14:paraId="6B1953A9" w14:textId="77777777" w:rsidR="007740DE" w:rsidRPr="00111F34" w:rsidRDefault="007740DE" w:rsidP="007740DE">
            <w:pPr>
              <w:pStyle w:val="Odrky1"/>
              <w:numPr>
                <w:ilvl w:val="0"/>
                <w:numId w:val="0"/>
              </w:numPr>
              <w:spacing w:before="0" w:after="0"/>
              <w:rPr>
                <w:b/>
                <w:sz w:val="16"/>
                <w:szCs w:val="16"/>
              </w:rPr>
            </w:pPr>
            <w:r w:rsidRPr="00111F34">
              <w:rPr>
                <w:b/>
                <w:sz w:val="16"/>
                <w:szCs w:val="16"/>
              </w:rPr>
              <w:lastRenderedPageBreak/>
              <w:t>vysoká koncentrace kulturního a architektonického dědictví</w:t>
            </w:r>
          </w:p>
        </w:tc>
        <w:tc>
          <w:tcPr>
            <w:tcW w:w="507" w:type="pct"/>
            <w:tcBorders>
              <w:top w:val="nil"/>
              <w:left w:val="nil"/>
              <w:bottom w:val="single" w:sz="4" w:space="0" w:color="auto"/>
              <w:right w:val="single" w:sz="4" w:space="0" w:color="auto"/>
            </w:tcBorders>
            <w:shd w:val="clear" w:color="auto" w:fill="auto"/>
            <w:noWrap/>
            <w:vAlign w:val="center"/>
            <w:hideMark/>
          </w:tcPr>
          <w:p w14:paraId="45AB79FF" w14:textId="77777777" w:rsidR="007740DE" w:rsidRPr="00111F34" w:rsidRDefault="007740DE" w:rsidP="007740DE">
            <w:pPr>
              <w:pStyle w:val="Texttabulky"/>
              <w:jc w:val="center"/>
              <w:rPr>
                <w:rFonts w:asciiTheme="minorHAnsi" w:hAnsiTheme="minorHAnsi" w:cstheme="minorHAnsi"/>
                <w:color w:val="auto"/>
                <w:szCs w:val="16"/>
              </w:rPr>
            </w:pPr>
            <w:r w:rsidRPr="00111F34">
              <w:rPr>
                <w:rFonts w:asciiTheme="minorHAnsi" w:hAnsiTheme="minorHAnsi" w:cstheme="minorHAnsi"/>
                <w:szCs w:val="16"/>
              </w:rPr>
              <w:t>0</w:t>
            </w:r>
          </w:p>
        </w:tc>
        <w:tc>
          <w:tcPr>
            <w:tcW w:w="2210" w:type="pct"/>
            <w:tcBorders>
              <w:top w:val="nil"/>
              <w:left w:val="nil"/>
              <w:bottom w:val="single" w:sz="4" w:space="0" w:color="auto"/>
              <w:right w:val="single" w:sz="4" w:space="0" w:color="auto"/>
            </w:tcBorders>
            <w:vAlign w:val="center"/>
          </w:tcPr>
          <w:p w14:paraId="5E74125D" w14:textId="77777777" w:rsidR="007740DE" w:rsidRPr="00111F34" w:rsidRDefault="007740DE" w:rsidP="007740DE">
            <w:pPr>
              <w:pStyle w:val="Texttabulky"/>
              <w:jc w:val="center"/>
              <w:rPr>
                <w:rFonts w:cs="Arial"/>
                <w:color w:val="auto"/>
                <w:szCs w:val="16"/>
              </w:rPr>
            </w:pPr>
            <w:r w:rsidRPr="00111F34">
              <w:rPr>
                <w:rFonts w:cs="Arial"/>
                <w:szCs w:val="16"/>
              </w:rPr>
              <w:t>Z hlediska posuzované ÚPD bez přímé vazby.</w:t>
            </w:r>
          </w:p>
        </w:tc>
      </w:tr>
      <w:tr w:rsidR="007740DE" w:rsidRPr="00111F34" w14:paraId="5A6B92DB" w14:textId="77777777" w:rsidTr="00433A80">
        <w:trPr>
          <w:trHeight w:val="233"/>
        </w:trPr>
        <w:tc>
          <w:tcPr>
            <w:tcW w:w="2283" w:type="pct"/>
            <w:tcBorders>
              <w:top w:val="nil"/>
              <w:left w:val="single" w:sz="4" w:space="0" w:color="auto"/>
              <w:bottom w:val="single" w:sz="4" w:space="0" w:color="auto"/>
              <w:right w:val="single" w:sz="4" w:space="0" w:color="auto"/>
            </w:tcBorders>
            <w:shd w:val="clear" w:color="auto" w:fill="auto"/>
            <w:noWrap/>
            <w:vAlign w:val="center"/>
            <w:hideMark/>
          </w:tcPr>
          <w:p w14:paraId="364D10DC" w14:textId="77777777" w:rsidR="007740DE" w:rsidRPr="00111F34" w:rsidRDefault="007740DE" w:rsidP="007740DE">
            <w:pPr>
              <w:pStyle w:val="Odrky1"/>
              <w:spacing w:before="0" w:after="0"/>
              <w:rPr>
                <w:sz w:val="16"/>
                <w:szCs w:val="16"/>
              </w:rPr>
            </w:pPr>
            <w:r w:rsidRPr="00111F34">
              <w:rPr>
                <w:sz w:val="16"/>
                <w:szCs w:val="16"/>
              </w:rPr>
              <w:t>koncentrace architektonických a stavebních dominant</w:t>
            </w:r>
          </w:p>
        </w:tc>
        <w:tc>
          <w:tcPr>
            <w:tcW w:w="507" w:type="pct"/>
            <w:tcBorders>
              <w:top w:val="nil"/>
              <w:left w:val="nil"/>
              <w:bottom w:val="single" w:sz="4" w:space="0" w:color="auto"/>
              <w:right w:val="single" w:sz="4" w:space="0" w:color="auto"/>
            </w:tcBorders>
            <w:shd w:val="clear" w:color="auto" w:fill="auto"/>
            <w:noWrap/>
            <w:vAlign w:val="center"/>
            <w:hideMark/>
          </w:tcPr>
          <w:p w14:paraId="458C89DC" w14:textId="77777777" w:rsidR="007740DE" w:rsidRPr="00111F34" w:rsidRDefault="007740DE" w:rsidP="007740DE">
            <w:pPr>
              <w:pStyle w:val="Texttabulky"/>
              <w:jc w:val="center"/>
              <w:rPr>
                <w:rFonts w:asciiTheme="minorHAnsi" w:hAnsiTheme="minorHAnsi" w:cstheme="minorHAnsi"/>
                <w:color w:val="auto"/>
                <w:szCs w:val="16"/>
              </w:rPr>
            </w:pPr>
            <w:r w:rsidRPr="00111F34">
              <w:rPr>
                <w:rFonts w:asciiTheme="minorHAnsi" w:hAnsiTheme="minorHAnsi" w:cstheme="minorHAnsi"/>
                <w:szCs w:val="16"/>
              </w:rPr>
              <w:t>0</w:t>
            </w:r>
          </w:p>
        </w:tc>
        <w:tc>
          <w:tcPr>
            <w:tcW w:w="2210" w:type="pct"/>
            <w:tcBorders>
              <w:top w:val="nil"/>
              <w:left w:val="nil"/>
              <w:bottom w:val="single" w:sz="4" w:space="0" w:color="auto"/>
              <w:right w:val="single" w:sz="4" w:space="0" w:color="auto"/>
            </w:tcBorders>
            <w:vAlign w:val="center"/>
          </w:tcPr>
          <w:p w14:paraId="3B9190C4" w14:textId="77777777" w:rsidR="007740DE" w:rsidRPr="00111F34" w:rsidRDefault="007740DE" w:rsidP="007740DE">
            <w:pPr>
              <w:pStyle w:val="Texttabulky"/>
              <w:jc w:val="center"/>
              <w:rPr>
                <w:rFonts w:cs="Arial"/>
                <w:color w:val="auto"/>
                <w:szCs w:val="16"/>
              </w:rPr>
            </w:pPr>
            <w:r w:rsidRPr="00111F34">
              <w:rPr>
                <w:rFonts w:cs="Arial"/>
                <w:szCs w:val="16"/>
              </w:rPr>
              <w:t xml:space="preserve">Z hlediska posuzované ÚPD bez přímé vazby. </w:t>
            </w:r>
          </w:p>
        </w:tc>
      </w:tr>
      <w:tr w:rsidR="007740DE" w:rsidRPr="00111F34" w14:paraId="4970D304" w14:textId="77777777" w:rsidTr="00433A80">
        <w:trPr>
          <w:trHeight w:val="281"/>
        </w:trPr>
        <w:tc>
          <w:tcPr>
            <w:tcW w:w="2283" w:type="pct"/>
            <w:tcBorders>
              <w:top w:val="nil"/>
              <w:left w:val="single" w:sz="4" w:space="0" w:color="auto"/>
              <w:bottom w:val="single" w:sz="4" w:space="0" w:color="auto"/>
              <w:right w:val="single" w:sz="4" w:space="0" w:color="auto"/>
            </w:tcBorders>
            <w:shd w:val="clear" w:color="auto" w:fill="auto"/>
            <w:noWrap/>
            <w:vAlign w:val="center"/>
            <w:hideMark/>
          </w:tcPr>
          <w:p w14:paraId="6BEDCBB9" w14:textId="77777777" w:rsidR="007740DE" w:rsidRPr="00111F34" w:rsidRDefault="007740DE" w:rsidP="007740DE">
            <w:pPr>
              <w:pStyle w:val="Odrky1"/>
              <w:spacing w:before="0" w:after="0"/>
              <w:rPr>
                <w:sz w:val="16"/>
                <w:szCs w:val="16"/>
              </w:rPr>
            </w:pPr>
            <w:r w:rsidRPr="00111F34">
              <w:rPr>
                <w:sz w:val="16"/>
                <w:szCs w:val="16"/>
              </w:rPr>
              <w:t>nemovité národní kulturní památky</w:t>
            </w:r>
          </w:p>
        </w:tc>
        <w:tc>
          <w:tcPr>
            <w:tcW w:w="507" w:type="pct"/>
            <w:tcBorders>
              <w:top w:val="nil"/>
              <w:left w:val="nil"/>
              <w:bottom w:val="single" w:sz="4" w:space="0" w:color="auto"/>
              <w:right w:val="single" w:sz="4" w:space="0" w:color="auto"/>
            </w:tcBorders>
            <w:shd w:val="clear" w:color="auto" w:fill="auto"/>
            <w:noWrap/>
            <w:vAlign w:val="center"/>
            <w:hideMark/>
          </w:tcPr>
          <w:p w14:paraId="1CAD7531" w14:textId="77777777" w:rsidR="007740DE" w:rsidRPr="00111F34" w:rsidRDefault="007740DE" w:rsidP="007740DE">
            <w:pPr>
              <w:pStyle w:val="Texttabulky"/>
              <w:jc w:val="center"/>
              <w:rPr>
                <w:rFonts w:asciiTheme="minorHAnsi" w:hAnsiTheme="minorHAnsi" w:cstheme="minorHAnsi"/>
                <w:color w:val="auto"/>
                <w:szCs w:val="16"/>
              </w:rPr>
            </w:pPr>
            <w:r w:rsidRPr="00111F34">
              <w:rPr>
                <w:rFonts w:asciiTheme="minorHAnsi" w:hAnsiTheme="minorHAnsi" w:cstheme="minorHAnsi"/>
                <w:szCs w:val="16"/>
              </w:rPr>
              <w:t>0</w:t>
            </w:r>
          </w:p>
        </w:tc>
        <w:tc>
          <w:tcPr>
            <w:tcW w:w="2210" w:type="pct"/>
            <w:tcBorders>
              <w:top w:val="nil"/>
              <w:left w:val="nil"/>
              <w:bottom w:val="single" w:sz="4" w:space="0" w:color="auto"/>
              <w:right w:val="single" w:sz="4" w:space="0" w:color="auto"/>
            </w:tcBorders>
            <w:vAlign w:val="center"/>
          </w:tcPr>
          <w:p w14:paraId="45758B61" w14:textId="77777777" w:rsidR="007740DE" w:rsidRPr="00111F34" w:rsidRDefault="007740DE" w:rsidP="007740DE">
            <w:pPr>
              <w:pStyle w:val="Texttabulky"/>
              <w:jc w:val="center"/>
              <w:rPr>
                <w:rFonts w:cs="Arial"/>
                <w:color w:val="auto"/>
                <w:szCs w:val="16"/>
              </w:rPr>
            </w:pPr>
            <w:r w:rsidRPr="00111F34">
              <w:rPr>
                <w:rFonts w:cs="Arial"/>
                <w:szCs w:val="16"/>
              </w:rPr>
              <w:t xml:space="preserve">Z hlediska posuzované ÚPD bez přímé vazby. </w:t>
            </w:r>
          </w:p>
        </w:tc>
      </w:tr>
      <w:tr w:rsidR="007740DE" w:rsidRPr="00111F34" w14:paraId="78A9D3DB" w14:textId="77777777" w:rsidTr="00433A80">
        <w:trPr>
          <w:trHeight w:val="187"/>
        </w:trPr>
        <w:tc>
          <w:tcPr>
            <w:tcW w:w="2283" w:type="pct"/>
            <w:tcBorders>
              <w:top w:val="nil"/>
              <w:left w:val="single" w:sz="4" w:space="0" w:color="auto"/>
              <w:bottom w:val="single" w:sz="4" w:space="0" w:color="auto"/>
              <w:right w:val="single" w:sz="4" w:space="0" w:color="auto"/>
            </w:tcBorders>
            <w:shd w:val="clear" w:color="auto" w:fill="auto"/>
            <w:noWrap/>
            <w:vAlign w:val="center"/>
            <w:hideMark/>
          </w:tcPr>
          <w:p w14:paraId="085C24F0" w14:textId="77777777" w:rsidR="007740DE" w:rsidRPr="00111F34" w:rsidRDefault="007740DE" w:rsidP="007740DE">
            <w:pPr>
              <w:pStyle w:val="Odrky1"/>
              <w:spacing w:before="0" w:after="0"/>
              <w:rPr>
                <w:sz w:val="16"/>
                <w:szCs w:val="16"/>
              </w:rPr>
            </w:pPr>
            <w:r w:rsidRPr="00111F34">
              <w:rPr>
                <w:sz w:val="16"/>
                <w:szCs w:val="16"/>
              </w:rPr>
              <w:t>nemovité kulturní památky</w:t>
            </w:r>
          </w:p>
        </w:tc>
        <w:tc>
          <w:tcPr>
            <w:tcW w:w="507" w:type="pct"/>
            <w:tcBorders>
              <w:top w:val="nil"/>
              <w:left w:val="nil"/>
              <w:bottom w:val="single" w:sz="4" w:space="0" w:color="auto"/>
              <w:right w:val="single" w:sz="4" w:space="0" w:color="auto"/>
            </w:tcBorders>
            <w:shd w:val="clear" w:color="auto" w:fill="auto"/>
            <w:noWrap/>
            <w:vAlign w:val="center"/>
            <w:hideMark/>
          </w:tcPr>
          <w:p w14:paraId="5201AE8E" w14:textId="4882CCD3" w:rsidR="007740DE" w:rsidRPr="00111F34" w:rsidRDefault="007740DE" w:rsidP="007740DE">
            <w:pPr>
              <w:pStyle w:val="Texttabulky"/>
              <w:jc w:val="center"/>
              <w:rPr>
                <w:rFonts w:asciiTheme="minorHAnsi" w:hAnsiTheme="minorHAnsi" w:cstheme="minorHAnsi"/>
                <w:color w:val="auto"/>
                <w:szCs w:val="16"/>
              </w:rPr>
            </w:pPr>
            <w:r w:rsidRPr="00111F34">
              <w:rPr>
                <w:rFonts w:asciiTheme="minorHAnsi" w:hAnsiTheme="minorHAnsi" w:cstheme="minorHAnsi"/>
                <w:color w:val="auto"/>
                <w:szCs w:val="16"/>
              </w:rPr>
              <w:t>-</w:t>
            </w:r>
          </w:p>
        </w:tc>
        <w:tc>
          <w:tcPr>
            <w:tcW w:w="2210" w:type="pct"/>
            <w:tcBorders>
              <w:top w:val="nil"/>
              <w:left w:val="nil"/>
              <w:bottom w:val="single" w:sz="4" w:space="0" w:color="auto"/>
              <w:right w:val="single" w:sz="4" w:space="0" w:color="auto"/>
            </w:tcBorders>
            <w:vAlign w:val="center"/>
          </w:tcPr>
          <w:p w14:paraId="25924D3D" w14:textId="4526914F" w:rsidR="007740DE" w:rsidRPr="00111F34" w:rsidRDefault="007740DE" w:rsidP="007740DE">
            <w:pPr>
              <w:pStyle w:val="Texttabulky"/>
              <w:jc w:val="center"/>
              <w:rPr>
                <w:rFonts w:cs="Arial"/>
                <w:color w:val="auto"/>
                <w:szCs w:val="16"/>
              </w:rPr>
            </w:pPr>
            <w:r w:rsidRPr="00111F34">
              <w:rPr>
                <w:rFonts w:cs="Arial"/>
                <w:color w:val="auto"/>
                <w:szCs w:val="16"/>
              </w:rPr>
              <w:t>Z hlediska posuzované ÚPD bez přímé vazby, jsou dávány územní předpoklady pro umístění tramvajové trati ve vizuálním kontextu s Viaduktem drážďanské dráhy v ulici V Podbabě, tomu je třeba přizpůsobit technické řešení stavby.</w:t>
            </w:r>
          </w:p>
        </w:tc>
      </w:tr>
      <w:tr w:rsidR="007740DE" w:rsidRPr="00111F34" w14:paraId="2F13CF88" w14:textId="77777777" w:rsidTr="00433A80">
        <w:trPr>
          <w:trHeight w:val="247"/>
        </w:trPr>
        <w:tc>
          <w:tcPr>
            <w:tcW w:w="2283" w:type="pct"/>
            <w:tcBorders>
              <w:top w:val="nil"/>
              <w:left w:val="single" w:sz="4" w:space="0" w:color="auto"/>
              <w:bottom w:val="single" w:sz="4" w:space="0" w:color="auto"/>
              <w:right w:val="single" w:sz="4" w:space="0" w:color="auto"/>
            </w:tcBorders>
            <w:shd w:val="clear" w:color="auto" w:fill="auto"/>
            <w:noWrap/>
            <w:vAlign w:val="center"/>
            <w:hideMark/>
          </w:tcPr>
          <w:p w14:paraId="26316954" w14:textId="61901029" w:rsidR="007740DE" w:rsidRPr="00111F34" w:rsidRDefault="007740DE" w:rsidP="007740DE">
            <w:pPr>
              <w:pStyle w:val="Odrky1"/>
              <w:spacing w:before="0" w:after="0"/>
              <w:rPr>
                <w:sz w:val="16"/>
                <w:szCs w:val="16"/>
              </w:rPr>
            </w:pPr>
            <w:r w:rsidRPr="00111F34">
              <w:rPr>
                <w:sz w:val="16"/>
                <w:szCs w:val="16"/>
              </w:rPr>
              <w:t>kulturní památky archeologické povahy – plochy</w:t>
            </w:r>
          </w:p>
        </w:tc>
        <w:tc>
          <w:tcPr>
            <w:tcW w:w="507" w:type="pct"/>
            <w:tcBorders>
              <w:top w:val="nil"/>
              <w:left w:val="nil"/>
              <w:bottom w:val="single" w:sz="4" w:space="0" w:color="auto"/>
              <w:right w:val="single" w:sz="4" w:space="0" w:color="auto"/>
            </w:tcBorders>
            <w:shd w:val="clear" w:color="auto" w:fill="auto"/>
            <w:noWrap/>
            <w:vAlign w:val="center"/>
            <w:hideMark/>
          </w:tcPr>
          <w:p w14:paraId="50A27D3A" w14:textId="77777777" w:rsidR="007740DE" w:rsidRPr="00111F34" w:rsidRDefault="007740DE" w:rsidP="007740DE">
            <w:pPr>
              <w:pStyle w:val="Texttabulky"/>
              <w:jc w:val="center"/>
              <w:rPr>
                <w:rFonts w:asciiTheme="minorHAnsi" w:hAnsiTheme="minorHAnsi" w:cstheme="minorHAnsi"/>
                <w:color w:val="auto"/>
                <w:szCs w:val="16"/>
              </w:rPr>
            </w:pPr>
            <w:r w:rsidRPr="00111F34">
              <w:rPr>
                <w:rFonts w:asciiTheme="minorHAnsi" w:hAnsiTheme="minorHAnsi" w:cstheme="minorHAnsi"/>
                <w:szCs w:val="16"/>
              </w:rPr>
              <w:t>0</w:t>
            </w:r>
          </w:p>
        </w:tc>
        <w:tc>
          <w:tcPr>
            <w:tcW w:w="2210" w:type="pct"/>
            <w:tcBorders>
              <w:top w:val="nil"/>
              <w:left w:val="nil"/>
              <w:bottom w:val="single" w:sz="4" w:space="0" w:color="auto"/>
              <w:right w:val="single" w:sz="4" w:space="0" w:color="auto"/>
            </w:tcBorders>
            <w:vAlign w:val="center"/>
          </w:tcPr>
          <w:p w14:paraId="04AAFF61" w14:textId="77777777" w:rsidR="007740DE" w:rsidRPr="00111F34" w:rsidRDefault="007740DE" w:rsidP="007740DE">
            <w:pPr>
              <w:pStyle w:val="Texttabulky"/>
              <w:jc w:val="center"/>
              <w:rPr>
                <w:rFonts w:cs="Arial"/>
                <w:color w:val="auto"/>
                <w:szCs w:val="16"/>
              </w:rPr>
            </w:pPr>
            <w:r w:rsidRPr="00111F34">
              <w:rPr>
                <w:rFonts w:cs="Arial"/>
                <w:szCs w:val="16"/>
              </w:rPr>
              <w:t xml:space="preserve">Z hlediska posuzované ÚPD bez přímé vazby. </w:t>
            </w:r>
          </w:p>
        </w:tc>
      </w:tr>
      <w:tr w:rsidR="007740DE" w:rsidRPr="00111F34" w14:paraId="713ADC65" w14:textId="77777777" w:rsidTr="00433A80">
        <w:trPr>
          <w:trHeight w:val="90"/>
        </w:trPr>
        <w:tc>
          <w:tcPr>
            <w:tcW w:w="2283" w:type="pct"/>
            <w:tcBorders>
              <w:top w:val="nil"/>
              <w:left w:val="single" w:sz="4" w:space="0" w:color="auto"/>
              <w:bottom w:val="single" w:sz="4" w:space="0" w:color="auto"/>
              <w:right w:val="single" w:sz="4" w:space="0" w:color="auto"/>
            </w:tcBorders>
            <w:shd w:val="clear" w:color="auto" w:fill="auto"/>
            <w:noWrap/>
            <w:vAlign w:val="center"/>
            <w:hideMark/>
          </w:tcPr>
          <w:p w14:paraId="260D5D17" w14:textId="29426D60" w:rsidR="007740DE" w:rsidRPr="00111F34" w:rsidRDefault="007740DE" w:rsidP="007740DE">
            <w:pPr>
              <w:pStyle w:val="Odrky1"/>
              <w:spacing w:before="0" w:after="0"/>
              <w:rPr>
                <w:sz w:val="16"/>
                <w:szCs w:val="16"/>
              </w:rPr>
            </w:pPr>
            <w:r w:rsidRPr="00111F34">
              <w:rPr>
                <w:sz w:val="16"/>
                <w:szCs w:val="16"/>
              </w:rPr>
              <w:t>kulturní památky archeologické povahy – body</w:t>
            </w:r>
          </w:p>
        </w:tc>
        <w:tc>
          <w:tcPr>
            <w:tcW w:w="507" w:type="pct"/>
            <w:tcBorders>
              <w:top w:val="nil"/>
              <w:left w:val="nil"/>
              <w:bottom w:val="single" w:sz="4" w:space="0" w:color="auto"/>
              <w:right w:val="single" w:sz="4" w:space="0" w:color="auto"/>
            </w:tcBorders>
            <w:shd w:val="clear" w:color="auto" w:fill="auto"/>
            <w:noWrap/>
            <w:vAlign w:val="center"/>
            <w:hideMark/>
          </w:tcPr>
          <w:p w14:paraId="69B8F62C" w14:textId="77777777" w:rsidR="007740DE" w:rsidRPr="00111F34" w:rsidRDefault="007740DE" w:rsidP="007740DE">
            <w:pPr>
              <w:pStyle w:val="Texttabulky"/>
              <w:jc w:val="center"/>
              <w:rPr>
                <w:rFonts w:asciiTheme="minorHAnsi" w:hAnsiTheme="minorHAnsi" w:cstheme="minorHAnsi"/>
                <w:color w:val="auto"/>
                <w:szCs w:val="16"/>
              </w:rPr>
            </w:pPr>
            <w:r w:rsidRPr="00111F34">
              <w:rPr>
                <w:rFonts w:asciiTheme="minorHAnsi" w:hAnsiTheme="minorHAnsi" w:cstheme="minorHAnsi"/>
                <w:szCs w:val="16"/>
              </w:rPr>
              <w:t>0</w:t>
            </w:r>
          </w:p>
        </w:tc>
        <w:tc>
          <w:tcPr>
            <w:tcW w:w="2210" w:type="pct"/>
            <w:tcBorders>
              <w:top w:val="nil"/>
              <w:left w:val="nil"/>
              <w:bottom w:val="single" w:sz="4" w:space="0" w:color="auto"/>
              <w:right w:val="single" w:sz="4" w:space="0" w:color="auto"/>
            </w:tcBorders>
            <w:vAlign w:val="center"/>
          </w:tcPr>
          <w:p w14:paraId="77C8E660" w14:textId="77777777" w:rsidR="007740DE" w:rsidRPr="00111F34" w:rsidRDefault="007740DE" w:rsidP="007740DE">
            <w:pPr>
              <w:pStyle w:val="Texttabulky"/>
              <w:jc w:val="center"/>
              <w:rPr>
                <w:rFonts w:cs="Arial"/>
                <w:color w:val="auto"/>
                <w:szCs w:val="16"/>
              </w:rPr>
            </w:pPr>
            <w:r w:rsidRPr="00111F34">
              <w:rPr>
                <w:rFonts w:cs="Arial"/>
                <w:szCs w:val="16"/>
              </w:rPr>
              <w:t xml:space="preserve">Z hlediska posuzované ÚPD bez přímé vazby. </w:t>
            </w:r>
          </w:p>
        </w:tc>
      </w:tr>
    </w:tbl>
    <w:p w14:paraId="3C2B6531" w14:textId="77777777" w:rsidR="00A8264D" w:rsidRPr="00111F34" w:rsidRDefault="00A8264D">
      <w:pPr>
        <w:spacing w:before="0"/>
        <w:jc w:val="left"/>
        <w:rPr>
          <w:noProof/>
        </w:rPr>
        <w:sectPr w:rsidR="00A8264D" w:rsidRPr="00111F34" w:rsidSect="00D718EF">
          <w:headerReference w:type="default" r:id="rId133"/>
          <w:footerReference w:type="default" r:id="rId134"/>
          <w:footerReference w:type="first" r:id="rId135"/>
          <w:pgSz w:w="11906" w:h="16838" w:code="9"/>
          <w:pgMar w:top="1418" w:right="1134" w:bottom="1134" w:left="1134" w:header="709" w:footer="567" w:gutter="0"/>
          <w:cols w:space="227"/>
          <w:docGrid w:linePitch="360"/>
        </w:sectPr>
      </w:pPr>
    </w:p>
    <w:p w14:paraId="0E45BAAF" w14:textId="68C81809" w:rsidR="00A14217" w:rsidRPr="00111F34" w:rsidRDefault="00A8264D" w:rsidP="00603FDE">
      <w:pPr>
        <w:rPr>
          <w:noProof/>
        </w:rPr>
      </w:pPr>
      <w:r w:rsidRPr="00111F34">
        <w:rPr>
          <w:noProof/>
        </w:rPr>
        <w:lastRenderedPageBreak/>
        <w:drawing>
          <wp:anchor distT="0" distB="0" distL="114300" distR="114300" simplePos="0" relativeHeight="251650048" behindDoc="0" locked="0" layoutInCell="1" allowOverlap="1" wp14:anchorId="515CD585" wp14:editId="2297BE61">
            <wp:simplePos x="0" y="0"/>
            <wp:positionH relativeFrom="column">
              <wp:posOffset>7777524</wp:posOffset>
            </wp:positionH>
            <wp:positionV relativeFrom="paragraph">
              <wp:posOffset>99717</wp:posOffset>
            </wp:positionV>
            <wp:extent cx="1685203" cy="5060731"/>
            <wp:effectExtent l="0" t="0" r="0" b="0"/>
            <wp:wrapNone/>
            <wp:docPr id="72070428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704288" name=""/>
                    <pic:cNvPicPr/>
                  </pic:nvPicPr>
                  <pic:blipFill>
                    <a:blip r:embed="rId136">
                      <a:extLst>
                        <a:ext uri="{28A0092B-C50C-407E-A947-70E740481C1C}">
                          <a14:useLocalDpi xmlns:a14="http://schemas.microsoft.com/office/drawing/2010/main" val="0"/>
                        </a:ext>
                      </a:extLst>
                    </a:blip>
                    <a:stretch>
                      <a:fillRect/>
                    </a:stretch>
                  </pic:blipFill>
                  <pic:spPr>
                    <a:xfrm>
                      <a:off x="0" y="0"/>
                      <a:ext cx="1712229" cy="5141891"/>
                    </a:xfrm>
                    <a:prstGeom prst="rect">
                      <a:avLst/>
                    </a:prstGeom>
                  </pic:spPr>
                </pic:pic>
              </a:graphicData>
            </a:graphic>
            <wp14:sizeRelH relativeFrom="margin">
              <wp14:pctWidth>0</wp14:pctWidth>
            </wp14:sizeRelH>
            <wp14:sizeRelV relativeFrom="margin">
              <wp14:pctHeight>0</wp14:pctHeight>
            </wp14:sizeRelV>
          </wp:anchor>
        </w:drawing>
      </w:r>
      <w:r w:rsidR="00312F8A" w:rsidRPr="00111F34">
        <w:rPr>
          <w:noProof/>
        </w:rPr>
        <w:drawing>
          <wp:inline distT="0" distB="0" distL="0" distR="0" wp14:anchorId="2FC1143D" wp14:editId="7D35298C">
            <wp:extent cx="8492574" cy="5316010"/>
            <wp:effectExtent l="0" t="0" r="0" b="0"/>
            <wp:docPr id="117523635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236353" name=""/>
                    <pic:cNvPicPr/>
                  </pic:nvPicPr>
                  <pic:blipFill>
                    <a:blip r:embed="rId137"/>
                    <a:stretch>
                      <a:fillRect/>
                    </a:stretch>
                  </pic:blipFill>
                  <pic:spPr>
                    <a:xfrm>
                      <a:off x="0" y="0"/>
                      <a:ext cx="8541217" cy="5346458"/>
                    </a:xfrm>
                    <a:prstGeom prst="rect">
                      <a:avLst/>
                    </a:prstGeom>
                  </pic:spPr>
                </pic:pic>
              </a:graphicData>
            </a:graphic>
          </wp:inline>
        </w:drawing>
      </w:r>
    </w:p>
    <w:p w14:paraId="299B8495" w14:textId="77777777" w:rsidR="00A8264D" w:rsidRPr="00111F34" w:rsidRDefault="00A14217" w:rsidP="00A8264D">
      <w:pPr>
        <w:pStyle w:val="Obrnadpis"/>
        <w:jc w:val="left"/>
        <w:sectPr w:rsidR="00A8264D" w:rsidRPr="00111F34" w:rsidSect="00A8264D">
          <w:headerReference w:type="default" r:id="rId138"/>
          <w:footerReference w:type="default" r:id="rId139"/>
          <w:pgSz w:w="16838" w:h="11906" w:orient="landscape" w:code="9"/>
          <w:pgMar w:top="1134" w:right="1418" w:bottom="1134" w:left="1134" w:header="709" w:footer="567" w:gutter="0"/>
          <w:cols w:space="227"/>
          <w:docGrid w:linePitch="360"/>
        </w:sectPr>
      </w:pPr>
      <w:bookmarkStart w:id="384" w:name="_Toc138848234"/>
      <w:r w:rsidRPr="00111F34">
        <w:t>Hodnoty území dle ÚAP Prahy 2020</w:t>
      </w:r>
      <w:r w:rsidR="00312F8A" w:rsidRPr="00111F34">
        <w:t>, cit. 30.5.2023</w:t>
      </w:r>
      <w:bookmarkEnd w:id="384"/>
    </w:p>
    <w:p w14:paraId="7E00FA64" w14:textId="20B793A8" w:rsidR="00794578" w:rsidRPr="00111F34" w:rsidRDefault="00794578" w:rsidP="00BA72D5">
      <w:pPr>
        <w:pStyle w:val="Nadpis1"/>
      </w:pPr>
      <w:bookmarkStart w:id="385" w:name="_Toc138848155"/>
      <w:r w:rsidRPr="00111F34">
        <w:lastRenderedPageBreak/>
        <w:t>Případné vyhodnocení vlivů na jiné skutečnosti ovlivněné navrženým řešením, avšak nepodchycené v ÚAP, například skutečnosti zjištěné v</w:t>
      </w:r>
      <w:r w:rsidR="00FA64A5" w:rsidRPr="00111F34">
        <w:t> </w:t>
      </w:r>
      <w:r w:rsidRPr="00111F34">
        <w:t>doplňujících průzkumech a rozborech.</w:t>
      </w:r>
      <w:bookmarkEnd w:id="357"/>
      <w:bookmarkEnd w:id="358"/>
      <w:bookmarkEnd w:id="385"/>
    </w:p>
    <w:p w14:paraId="0692D4D4" w14:textId="73440BE4" w:rsidR="00794578" w:rsidRPr="00111F34" w:rsidRDefault="00794578" w:rsidP="00794578">
      <w:r w:rsidRPr="00111F34">
        <w:t>Za účelem sjednocení, přehlednosti a kompatibility Posouzení vlivů územně plánovací dokumentace na</w:t>
      </w:r>
      <w:r w:rsidR="00880EC3" w:rsidRPr="00111F34">
        <w:t> </w:t>
      </w:r>
      <w:r w:rsidRPr="00111F34">
        <w:t xml:space="preserve">všechny tři pilíře udržitelného rozvoje byla pro vyhodnocení vlivu na </w:t>
      </w:r>
      <w:r w:rsidR="00F65F92" w:rsidRPr="00111F34">
        <w:t>hospodářský,</w:t>
      </w:r>
      <w:r w:rsidRPr="00111F34">
        <w:t xml:space="preserve"> resp. socioekonomický pilíř udržitelného rozvoje zvolena stejná metoda, jako byla použita pro vyhodnocení vlivů na životní prostředí (viz</w:t>
      </w:r>
      <w:r w:rsidR="00880EC3" w:rsidRPr="00111F34">
        <w:t> </w:t>
      </w:r>
      <w:r w:rsidRPr="00111F34">
        <w:t xml:space="preserve">část A SEA), tedy metoda referenčních cílů. Metoda spočívá v konfrontaci jednotlivých navrhovaných opatření vůči zvolenému referenčnímu rámci, který reprezentuje žádoucí pozitivní trendy ve sledovaných oblastech udržitelného rozvoje. Sada referenčních cílů byla vybrána na základě analýzy trendů vývoje jednotlivých sledovaných jevů udržitelného rozvoje dle </w:t>
      </w:r>
      <w:r w:rsidR="00505F06" w:rsidRPr="00111F34">
        <w:t>Ú</w:t>
      </w:r>
      <w:r w:rsidRPr="00111F34">
        <w:t xml:space="preserve">AP, dle SWOT analýzy a dle vybraných cílů stanovených strategickými dokumenty přijatými na národní, regionální a lokální úrovni (především Politika územního rozvoje, Strategický rámec udržitelného rozvoje a Strategie udržitelného rozvoje ČR). Zohledněna byla rovněž specifika řešeného území. </w:t>
      </w:r>
    </w:p>
    <w:p w14:paraId="49FB7E4A" w14:textId="45E470A2" w:rsidR="00794578" w:rsidRPr="00111F34" w:rsidRDefault="00794578" w:rsidP="00794578">
      <w:r w:rsidRPr="00111F34">
        <w:t xml:space="preserve">Pro samotné hodnocení byly sestaveny hodnotící tabulky, které představují matici jednotlivých referenčních cílů udržitelného rozvoje, resp. jeho ekonomického a sociodemografického pilíře, versus dílčí navrhované plochy, resp. podmínky využití ploch (regulativů). Pozn.: Vyhodnocení vlivu na environmentální pilíř obsahuje SEA dokumentace (část A </w:t>
      </w:r>
      <w:proofErr w:type="spellStart"/>
      <w:r w:rsidRPr="00111F34">
        <w:t>a</w:t>
      </w:r>
      <w:proofErr w:type="spellEnd"/>
      <w:r w:rsidR="00773A58" w:rsidRPr="00111F34">
        <w:t xml:space="preserve"> B tohoto dokumentu). Jednotlivá navržená</w:t>
      </w:r>
      <w:r w:rsidRPr="00111F34">
        <w:t xml:space="preserve"> </w:t>
      </w:r>
      <w:r w:rsidR="00773A58" w:rsidRPr="00111F34">
        <w:t>opatření obsažená v posuzované ÚPD (rozvojové lokality, koridory, zastavitelné plochy)</w:t>
      </w:r>
      <w:r w:rsidRPr="00111F34">
        <w:t xml:space="preserve"> byly konfrontovány s vybranými referenčními cíli a</w:t>
      </w:r>
      <w:r w:rsidR="00880EC3" w:rsidRPr="00111F34">
        <w:t> </w:t>
      </w:r>
      <w:r w:rsidRPr="00111F34">
        <w:t>na</w:t>
      </w:r>
      <w:r w:rsidR="00880EC3" w:rsidRPr="00111F34">
        <w:t> </w:t>
      </w:r>
      <w:r w:rsidRPr="00111F34">
        <w:t xml:space="preserve">základě expertního úsudku zpracovatelského týmu jim byly přiřazeny hodnoty. Následně byly hlavní charakteristiky vlivu </w:t>
      </w:r>
      <w:r w:rsidR="00F323BA" w:rsidRPr="00111F34">
        <w:t>implementace koncepce</w:t>
      </w:r>
      <w:r w:rsidRPr="00111F34">
        <w:t xml:space="preserve"> na udržitelný rozvoj jako celek okomentovány, a to zejména při identifikovaném negativním vlivu.</w:t>
      </w:r>
    </w:p>
    <w:p w14:paraId="6E43EDD0" w14:textId="77777777" w:rsidR="009B13BF" w:rsidRPr="00111F34" w:rsidRDefault="009B13BF" w:rsidP="009B13BF">
      <w:pPr>
        <w:pStyle w:val="Tabulkanzev"/>
      </w:pPr>
      <w:bookmarkStart w:id="386" w:name="_Toc531548300"/>
      <w:bookmarkStart w:id="387" w:name="_Toc29298568"/>
      <w:bookmarkStart w:id="388" w:name="_Toc89073100"/>
      <w:bookmarkStart w:id="389" w:name="_Toc138848184"/>
      <w:r w:rsidRPr="00111F34">
        <w:t>Sada referenčních cílů udržitelného rozvoje</w:t>
      </w:r>
      <w:bookmarkEnd w:id="386"/>
      <w:bookmarkEnd w:id="387"/>
      <w:bookmarkEnd w:id="388"/>
      <w:bookmarkEnd w:id="38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281"/>
        <w:gridCol w:w="5694"/>
      </w:tblGrid>
      <w:tr w:rsidR="009B13BF" w:rsidRPr="00111F34" w14:paraId="56F3986D" w14:textId="77777777" w:rsidTr="009B13BF">
        <w:trPr>
          <w:trHeight w:val="348"/>
          <w:jc w:val="center"/>
        </w:trPr>
        <w:tc>
          <w:tcPr>
            <w:tcW w:w="0" w:type="auto"/>
            <w:shd w:val="clear" w:color="auto" w:fill="233845"/>
            <w:noWrap/>
            <w:vAlign w:val="bottom"/>
          </w:tcPr>
          <w:p w14:paraId="3F0731CF" w14:textId="77777777" w:rsidR="009B13BF" w:rsidRPr="00111F34" w:rsidRDefault="009B13BF" w:rsidP="009B13BF">
            <w:pPr>
              <w:spacing w:beforeLines="40" w:before="96" w:afterLines="40" w:after="96"/>
              <w:jc w:val="left"/>
              <w:rPr>
                <w:rFonts w:cs="Arial"/>
                <w:b/>
                <w:bCs/>
                <w:sz w:val="18"/>
                <w:szCs w:val="18"/>
              </w:rPr>
            </w:pPr>
            <w:r w:rsidRPr="00111F34">
              <w:rPr>
                <w:rFonts w:cs="Arial"/>
                <w:b/>
                <w:bCs/>
                <w:sz w:val="18"/>
                <w:szCs w:val="18"/>
              </w:rPr>
              <w:t>Pilíř udržitelného rozvoje</w:t>
            </w:r>
          </w:p>
        </w:tc>
        <w:tc>
          <w:tcPr>
            <w:tcW w:w="5694" w:type="dxa"/>
            <w:shd w:val="clear" w:color="auto" w:fill="233845"/>
            <w:noWrap/>
            <w:vAlign w:val="bottom"/>
          </w:tcPr>
          <w:p w14:paraId="120EA599" w14:textId="77777777" w:rsidR="009B13BF" w:rsidRPr="00111F34" w:rsidRDefault="009B13BF" w:rsidP="009B13BF">
            <w:pPr>
              <w:spacing w:beforeLines="40" w:before="96" w:afterLines="40" w:after="96"/>
              <w:jc w:val="left"/>
              <w:rPr>
                <w:rFonts w:cs="Arial"/>
                <w:b/>
                <w:bCs/>
                <w:sz w:val="18"/>
                <w:szCs w:val="18"/>
              </w:rPr>
            </w:pPr>
            <w:r w:rsidRPr="00111F34">
              <w:rPr>
                <w:rFonts w:cs="Arial"/>
                <w:b/>
                <w:bCs/>
                <w:sz w:val="18"/>
                <w:szCs w:val="18"/>
              </w:rPr>
              <w:t xml:space="preserve">Referenční cíl </w:t>
            </w:r>
          </w:p>
        </w:tc>
      </w:tr>
      <w:tr w:rsidR="009B13BF" w:rsidRPr="00111F34" w14:paraId="4A47A7CB" w14:textId="77777777" w:rsidTr="009B13BF">
        <w:trPr>
          <w:trHeight w:val="447"/>
          <w:jc w:val="center"/>
        </w:trPr>
        <w:tc>
          <w:tcPr>
            <w:tcW w:w="0" w:type="auto"/>
            <w:vMerge w:val="restart"/>
            <w:shd w:val="clear" w:color="auto" w:fill="auto"/>
            <w:noWrap/>
            <w:vAlign w:val="bottom"/>
          </w:tcPr>
          <w:p w14:paraId="5A2B7021" w14:textId="77777777" w:rsidR="009B13BF" w:rsidRPr="00111F34" w:rsidRDefault="009B13BF" w:rsidP="009B13BF">
            <w:pPr>
              <w:spacing w:beforeLines="40" w:before="96" w:afterLines="40" w:after="96"/>
              <w:jc w:val="left"/>
              <w:rPr>
                <w:rFonts w:cs="Arial"/>
                <w:sz w:val="18"/>
                <w:szCs w:val="18"/>
              </w:rPr>
            </w:pPr>
            <w:r w:rsidRPr="00111F34">
              <w:rPr>
                <w:rFonts w:cs="Arial"/>
                <w:sz w:val="18"/>
                <w:szCs w:val="18"/>
              </w:rPr>
              <w:t>Soudržnost společenství</w:t>
            </w:r>
          </w:p>
          <w:p w14:paraId="4F79765B" w14:textId="77777777" w:rsidR="009B13BF" w:rsidRPr="00111F34" w:rsidRDefault="009B13BF" w:rsidP="009B13BF">
            <w:pPr>
              <w:spacing w:beforeLines="40" w:before="96" w:afterLines="40" w:after="96"/>
              <w:jc w:val="left"/>
              <w:rPr>
                <w:rFonts w:cs="Arial"/>
                <w:sz w:val="18"/>
                <w:szCs w:val="18"/>
              </w:rPr>
            </w:pPr>
          </w:p>
          <w:p w14:paraId="01BE6F22" w14:textId="77777777" w:rsidR="009B13BF" w:rsidRPr="00111F34" w:rsidRDefault="009B13BF" w:rsidP="009B13BF">
            <w:pPr>
              <w:spacing w:beforeLines="40" w:before="96" w:afterLines="40" w:after="96"/>
              <w:jc w:val="left"/>
              <w:rPr>
                <w:rFonts w:cs="Arial"/>
                <w:sz w:val="18"/>
                <w:szCs w:val="18"/>
              </w:rPr>
            </w:pPr>
          </w:p>
          <w:p w14:paraId="01BA1850" w14:textId="77777777" w:rsidR="009B13BF" w:rsidRPr="00111F34" w:rsidRDefault="009B13BF" w:rsidP="009B13BF">
            <w:pPr>
              <w:spacing w:beforeLines="40" w:before="96" w:afterLines="40" w:after="96"/>
              <w:jc w:val="left"/>
              <w:rPr>
                <w:rFonts w:cs="Arial"/>
                <w:sz w:val="18"/>
                <w:szCs w:val="18"/>
              </w:rPr>
            </w:pPr>
          </w:p>
          <w:p w14:paraId="5B4367F1" w14:textId="77777777" w:rsidR="009B13BF" w:rsidRPr="00111F34" w:rsidRDefault="009B13BF" w:rsidP="009B13BF">
            <w:pPr>
              <w:spacing w:beforeLines="40" w:before="96" w:afterLines="40" w:after="96"/>
              <w:jc w:val="left"/>
              <w:rPr>
                <w:rFonts w:cs="Arial"/>
                <w:sz w:val="18"/>
                <w:szCs w:val="18"/>
              </w:rPr>
            </w:pPr>
          </w:p>
          <w:p w14:paraId="43F75FD6" w14:textId="77777777" w:rsidR="009B13BF" w:rsidRPr="00111F34" w:rsidRDefault="009B13BF" w:rsidP="009B13BF">
            <w:pPr>
              <w:spacing w:beforeLines="40" w:before="96" w:afterLines="40" w:after="96"/>
              <w:jc w:val="left"/>
              <w:rPr>
                <w:rFonts w:cs="Arial"/>
                <w:sz w:val="18"/>
                <w:szCs w:val="18"/>
              </w:rPr>
            </w:pPr>
          </w:p>
          <w:p w14:paraId="04247E65" w14:textId="77777777" w:rsidR="009B13BF" w:rsidRPr="00111F34" w:rsidRDefault="009B13BF" w:rsidP="009B13BF">
            <w:pPr>
              <w:spacing w:beforeLines="40" w:before="96" w:afterLines="40" w:after="96"/>
              <w:jc w:val="left"/>
              <w:rPr>
                <w:rFonts w:cs="Arial"/>
                <w:sz w:val="18"/>
                <w:szCs w:val="18"/>
              </w:rPr>
            </w:pPr>
          </w:p>
        </w:tc>
        <w:tc>
          <w:tcPr>
            <w:tcW w:w="5694" w:type="dxa"/>
            <w:shd w:val="clear" w:color="auto" w:fill="auto"/>
            <w:vAlign w:val="bottom"/>
          </w:tcPr>
          <w:p w14:paraId="0711A084" w14:textId="77777777" w:rsidR="009B13BF" w:rsidRPr="00111F34" w:rsidRDefault="009B13BF" w:rsidP="009B13BF">
            <w:pPr>
              <w:spacing w:beforeLines="40" w:before="96" w:afterLines="40" w:after="96"/>
              <w:rPr>
                <w:rFonts w:cs="Arial"/>
                <w:sz w:val="18"/>
                <w:szCs w:val="18"/>
              </w:rPr>
            </w:pPr>
            <w:r w:rsidRPr="00111F34">
              <w:rPr>
                <w:rFonts w:cs="Arial"/>
                <w:sz w:val="18"/>
                <w:szCs w:val="18"/>
              </w:rPr>
              <w:t>1.1 Zvýšením nabídky kvalitního bydlení zastavit odliv ekonomicky aktivních obyvatel a podpořit omezení suburbanizace</w:t>
            </w:r>
          </w:p>
        </w:tc>
      </w:tr>
      <w:tr w:rsidR="009B13BF" w:rsidRPr="00111F34" w14:paraId="1EDAE635" w14:textId="77777777" w:rsidTr="009B13BF">
        <w:trPr>
          <w:trHeight w:val="225"/>
          <w:jc w:val="center"/>
        </w:trPr>
        <w:tc>
          <w:tcPr>
            <w:tcW w:w="0" w:type="auto"/>
            <w:vMerge/>
            <w:shd w:val="clear" w:color="auto" w:fill="C0C0C0"/>
            <w:noWrap/>
            <w:vAlign w:val="bottom"/>
          </w:tcPr>
          <w:p w14:paraId="39FCE74B" w14:textId="77777777" w:rsidR="009B13BF" w:rsidRPr="00111F34" w:rsidRDefault="009B13BF" w:rsidP="009B13BF">
            <w:pPr>
              <w:spacing w:beforeLines="40" w:before="96" w:afterLines="40" w:after="96"/>
              <w:jc w:val="left"/>
              <w:rPr>
                <w:rFonts w:cs="Arial"/>
                <w:sz w:val="18"/>
                <w:szCs w:val="18"/>
              </w:rPr>
            </w:pPr>
          </w:p>
        </w:tc>
        <w:tc>
          <w:tcPr>
            <w:tcW w:w="5694" w:type="dxa"/>
            <w:shd w:val="clear" w:color="auto" w:fill="233845"/>
            <w:vAlign w:val="center"/>
          </w:tcPr>
          <w:p w14:paraId="36420C34" w14:textId="77777777" w:rsidR="009B13BF" w:rsidRPr="00111F34" w:rsidRDefault="009B13BF" w:rsidP="009B13BF">
            <w:pPr>
              <w:spacing w:beforeLines="40" w:before="96" w:afterLines="40" w:after="96"/>
            </w:pPr>
            <w:r w:rsidRPr="00111F34">
              <w:t>1.2 Zajistit dostupnost sportovního vyžití v kvalitním prostředí</w:t>
            </w:r>
          </w:p>
        </w:tc>
      </w:tr>
      <w:tr w:rsidR="009B13BF" w:rsidRPr="00111F34" w14:paraId="57A06F79" w14:textId="77777777" w:rsidTr="009B13BF">
        <w:trPr>
          <w:trHeight w:val="223"/>
          <w:jc w:val="center"/>
        </w:trPr>
        <w:tc>
          <w:tcPr>
            <w:tcW w:w="0" w:type="auto"/>
            <w:vMerge/>
            <w:shd w:val="clear" w:color="auto" w:fill="auto"/>
            <w:noWrap/>
            <w:vAlign w:val="bottom"/>
          </w:tcPr>
          <w:p w14:paraId="4EBE4563" w14:textId="77777777" w:rsidR="009B13BF" w:rsidRPr="00111F34" w:rsidRDefault="009B13BF" w:rsidP="009B13BF">
            <w:pPr>
              <w:spacing w:beforeLines="40" w:before="96" w:afterLines="40" w:after="96"/>
              <w:jc w:val="left"/>
              <w:rPr>
                <w:rFonts w:cs="Arial"/>
                <w:sz w:val="18"/>
                <w:szCs w:val="18"/>
              </w:rPr>
            </w:pPr>
          </w:p>
        </w:tc>
        <w:tc>
          <w:tcPr>
            <w:tcW w:w="5694" w:type="dxa"/>
            <w:shd w:val="clear" w:color="auto" w:fill="auto"/>
            <w:vAlign w:val="bottom"/>
          </w:tcPr>
          <w:p w14:paraId="7478C167" w14:textId="77777777" w:rsidR="009B13BF" w:rsidRPr="00111F34" w:rsidRDefault="009B13BF" w:rsidP="009B13BF">
            <w:pPr>
              <w:spacing w:beforeLines="40" w:before="96" w:afterLines="40" w:after="96"/>
              <w:rPr>
                <w:rFonts w:cs="Arial"/>
                <w:sz w:val="18"/>
                <w:szCs w:val="18"/>
              </w:rPr>
            </w:pPr>
            <w:r w:rsidRPr="00111F34">
              <w:rPr>
                <w:rFonts w:cs="Arial"/>
                <w:sz w:val="18"/>
                <w:szCs w:val="18"/>
              </w:rPr>
              <w:t>1.3 Chránit a rozvíjet možnosti rekreace a komunitního setkávání</w:t>
            </w:r>
          </w:p>
        </w:tc>
      </w:tr>
      <w:tr w:rsidR="009B13BF" w:rsidRPr="00111F34" w14:paraId="524353D4" w14:textId="77777777" w:rsidTr="009B13BF">
        <w:trPr>
          <w:trHeight w:val="127"/>
          <w:jc w:val="center"/>
        </w:trPr>
        <w:tc>
          <w:tcPr>
            <w:tcW w:w="0" w:type="auto"/>
            <w:vMerge/>
            <w:shd w:val="clear" w:color="auto" w:fill="C0C0C0"/>
            <w:noWrap/>
            <w:vAlign w:val="bottom"/>
          </w:tcPr>
          <w:p w14:paraId="40E153BE" w14:textId="77777777" w:rsidR="009B13BF" w:rsidRPr="00111F34" w:rsidRDefault="009B13BF" w:rsidP="009B13BF">
            <w:pPr>
              <w:spacing w:beforeLines="40" w:before="96" w:afterLines="40" w:after="96"/>
              <w:jc w:val="left"/>
              <w:rPr>
                <w:rFonts w:cs="Arial"/>
                <w:sz w:val="18"/>
                <w:szCs w:val="18"/>
              </w:rPr>
            </w:pPr>
          </w:p>
        </w:tc>
        <w:tc>
          <w:tcPr>
            <w:tcW w:w="5694" w:type="dxa"/>
            <w:shd w:val="clear" w:color="auto" w:fill="233845"/>
            <w:vAlign w:val="bottom"/>
          </w:tcPr>
          <w:p w14:paraId="1F56713F" w14:textId="77777777" w:rsidR="009B13BF" w:rsidRPr="00111F34" w:rsidRDefault="009B13BF" w:rsidP="009B13BF">
            <w:pPr>
              <w:spacing w:beforeLines="40" w:before="96" w:afterLines="40" w:after="96"/>
              <w:rPr>
                <w:rFonts w:cs="Arial"/>
                <w:sz w:val="18"/>
                <w:szCs w:val="18"/>
              </w:rPr>
            </w:pPr>
            <w:r w:rsidRPr="00111F34">
              <w:rPr>
                <w:rFonts w:cs="Arial"/>
                <w:sz w:val="18"/>
                <w:szCs w:val="18"/>
              </w:rPr>
              <w:t xml:space="preserve">1.4 Zlepšovat dostupnost a spektrum veřejné občanské vybavenosti  </w:t>
            </w:r>
          </w:p>
        </w:tc>
      </w:tr>
      <w:tr w:rsidR="009B13BF" w:rsidRPr="00111F34" w14:paraId="68D4F7C3" w14:textId="77777777" w:rsidTr="009B13BF">
        <w:trPr>
          <w:trHeight w:val="387"/>
          <w:jc w:val="center"/>
        </w:trPr>
        <w:tc>
          <w:tcPr>
            <w:tcW w:w="0" w:type="auto"/>
            <w:vMerge/>
            <w:shd w:val="clear" w:color="auto" w:fill="auto"/>
            <w:noWrap/>
            <w:vAlign w:val="bottom"/>
          </w:tcPr>
          <w:p w14:paraId="7BF3D2F7" w14:textId="77777777" w:rsidR="009B13BF" w:rsidRPr="00111F34" w:rsidRDefault="009B13BF" w:rsidP="009B13BF">
            <w:pPr>
              <w:spacing w:beforeLines="40" w:before="96" w:afterLines="40" w:after="96"/>
              <w:jc w:val="left"/>
              <w:rPr>
                <w:rFonts w:cs="Arial"/>
                <w:sz w:val="18"/>
                <w:szCs w:val="18"/>
              </w:rPr>
            </w:pPr>
          </w:p>
        </w:tc>
        <w:tc>
          <w:tcPr>
            <w:tcW w:w="5694" w:type="dxa"/>
            <w:shd w:val="clear" w:color="auto" w:fill="auto"/>
          </w:tcPr>
          <w:p w14:paraId="53F13D99" w14:textId="77777777" w:rsidR="009B13BF" w:rsidRPr="00111F34" w:rsidRDefault="009B13BF" w:rsidP="009B13BF">
            <w:pPr>
              <w:spacing w:beforeLines="40" w:before="96" w:afterLines="40" w:after="96"/>
              <w:jc w:val="left"/>
              <w:rPr>
                <w:rFonts w:cs="Arial"/>
                <w:sz w:val="18"/>
                <w:szCs w:val="18"/>
              </w:rPr>
            </w:pPr>
            <w:r w:rsidRPr="00111F34">
              <w:rPr>
                <w:rFonts w:cs="Arial"/>
                <w:sz w:val="18"/>
                <w:szCs w:val="18"/>
              </w:rPr>
              <w:t>1.5 Pomocí technických a územně plánovacích opatření zlepšit podmínky bydlení a bezpečnost obyvatel</w:t>
            </w:r>
          </w:p>
        </w:tc>
      </w:tr>
      <w:tr w:rsidR="009B13BF" w:rsidRPr="00111F34" w14:paraId="391AA252" w14:textId="77777777" w:rsidTr="009B13BF">
        <w:trPr>
          <w:trHeight w:val="231"/>
          <w:jc w:val="center"/>
        </w:trPr>
        <w:tc>
          <w:tcPr>
            <w:tcW w:w="0" w:type="auto"/>
            <w:vMerge w:val="restart"/>
            <w:shd w:val="clear" w:color="auto" w:fill="auto"/>
            <w:noWrap/>
          </w:tcPr>
          <w:p w14:paraId="4D31E43B" w14:textId="77777777" w:rsidR="009B13BF" w:rsidRPr="00111F34" w:rsidRDefault="009B13BF" w:rsidP="009B13BF">
            <w:pPr>
              <w:spacing w:beforeLines="40" w:before="96" w:afterLines="40" w:after="96"/>
              <w:jc w:val="left"/>
              <w:rPr>
                <w:rFonts w:cs="Arial"/>
                <w:sz w:val="18"/>
                <w:szCs w:val="18"/>
              </w:rPr>
            </w:pPr>
            <w:r w:rsidRPr="00111F34">
              <w:rPr>
                <w:rFonts w:cs="Arial"/>
                <w:sz w:val="18"/>
                <w:szCs w:val="18"/>
              </w:rPr>
              <w:t>Ekonomický pilíř UR</w:t>
            </w:r>
          </w:p>
          <w:p w14:paraId="0E0D96F6" w14:textId="77777777" w:rsidR="009B13BF" w:rsidRPr="00111F34" w:rsidRDefault="009B13BF" w:rsidP="009B13BF">
            <w:pPr>
              <w:spacing w:beforeLines="40" w:before="96" w:afterLines="40" w:after="96"/>
              <w:jc w:val="left"/>
              <w:rPr>
                <w:rFonts w:cs="Arial"/>
                <w:sz w:val="18"/>
                <w:szCs w:val="18"/>
              </w:rPr>
            </w:pPr>
          </w:p>
          <w:p w14:paraId="3A650195" w14:textId="77777777" w:rsidR="009B13BF" w:rsidRPr="00111F34" w:rsidRDefault="009B13BF" w:rsidP="009B13BF">
            <w:pPr>
              <w:spacing w:beforeLines="40" w:before="96" w:afterLines="40" w:after="96"/>
              <w:jc w:val="left"/>
              <w:rPr>
                <w:rFonts w:cs="Arial"/>
                <w:sz w:val="18"/>
                <w:szCs w:val="18"/>
              </w:rPr>
            </w:pPr>
          </w:p>
          <w:p w14:paraId="4FFA7D08" w14:textId="77777777" w:rsidR="009B13BF" w:rsidRPr="00111F34" w:rsidRDefault="009B13BF" w:rsidP="009B13BF">
            <w:pPr>
              <w:spacing w:beforeLines="40" w:before="96" w:afterLines="40" w:after="96"/>
              <w:jc w:val="left"/>
              <w:rPr>
                <w:rFonts w:cs="Arial"/>
                <w:sz w:val="18"/>
                <w:szCs w:val="18"/>
              </w:rPr>
            </w:pPr>
          </w:p>
          <w:p w14:paraId="579B75D2" w14:textId="77777777" w:rsidR="009B13BF" w:rsidRPr="00111F34" w:rsidRDefault="009B13BF" w:rsidP="009B13BF">
            <w:pPr>
              <w:spacing w:beforeLines="40" w:before="96" w:afterLines="40" w:after="96"/>
              <w:jc w:val="left"/>
              <w:rPr>
                <w:rFonts w:cs="Arial"/>
                <w:sz w:val="18"/>
                <w:szCs w:val="18"/>
              </w:rPr>
            </w:pPr>
          </w:p>
          <w:p w14:paraId="0203D1EF" w14:textId="77777777" w:rsidR="009B13BF" w:rsidRPr="00111F34" w:rsidRDefault="009B13BF" w:rsidP="009B13BF">
            <w:pPr>
              <w:spacing w:beforeLines="40" w:before="96" w:afterLines="40" w:after="96"/>
              <w:jc w:val="left"/>
              <w:rPr>
                <w:rFonts w:cs="Arial"/>
                <w:sz w:val="18"/>
                <w:szCs w:val="18"/>
              </w:rPr>
            </w:pPr>
          </w:p>
          <w:p w14:paraId="67996CBA" w14:textId="77777777" w:rsidR="009B13BF" w:rsidRPr="00111F34" w:rsidRDefault="009B13BF" w:rsidP="009B13BF">
            <w:pPr>
              <w:spacing w:beforeLines="40" w:before="96" w:afterLines="40" w:after="96"/>
              <w:jc w:val="left"/>
              <w:rPr>
                <w:rFonts w:cs="Arial"/>
                <w:sz w:val="18"/>
                <w:szCs w:val="18"/>
              </w:rPr>
            </w:pPr>
          </w:p>
          <w:p w14:paraId="03ED108A" w14:textId="77777777" w:rsidR="009B13BF" w:rsidRPr="00111F34" w:rsidRDefault="009B13BF" w:rsidP="009B13BF">
            <w:pPr>
              <w:spacing w:beforeLines="40" w:before="96" w:afterLines="40" w:after="96"/>
              <w:jc w:val="left"/>
              <w:rPr>
                <w:rFonts w:cs="Arial"/>
                <w:sz w:val="18"/>
                <w:szCs w:val="18"/>
              </w:rPr>
            </w:pPr>
          </w:p>
          <w:p w14:paraId="38A03701" w14:textId="77777777" w:rsidR="009B13BF" w:rsidRPr="00111F34" w:rsidRDefault="009B13BF" w:rsidP="009B13BF">
            <w:pPr>
              <w:spacing w:beforeLines="40" w:before="96" w:afterLines="40" w:after="96"/>
              <w:jc w:val="left"/>
              <w:rPr>
                <w:rFonts w:cs="Arial"/>
                <w:sz w:val="18"/>
                <w:szCs w:val="18"/>
              </w:rPr>
            </w:pPr>
          </w:p>
          <w:p w14:paraId="756AF608" w14:textId="77777777" w:rsidR="009B13BF" w:rsidRPr="00111F34" w:rsidRDefault="009B13BF" w:rsidP="009B13BF">
            <w:pPr>
              <w:spacing w:beforeLines="40" w:before="96" w:afterLines="40" w:after="96"/>
              <w:jc w:val="left"/>
              <w:rPr>
                <w:rFonts w:cs="Arial"/>
                <w:sz w:val="18"/>
                <w:szCs w:val="18"/>
              </w:rPr>
            </w:pPr>
          </w:p>
        </w:tc>
        <w:tc>
          <w:tcPr>
            <w:tcW w:w="5694" w:type="dxa"/>
            <w:shd w:val="clear" w:color="auto" w:fill="233845"/>
            <w:vAlign w:val="bottom"/>
          </w:tcPr>
          <w:p w14:paraId="236D747D" w14:textId="77777777" w:rsidR="009B13BF" w:rsidRPr="00111F34" w:rsidRDefault="009B13BF" w:rsidP="009B13BF">
            <w:pPr>
              <w:spacing w:beforeLines="40" w:before="96" w:afterLines="40" w:after="96"/>
              <w:rPr>
                <w:rFonts w:cs="Arial"/>
                <w:sz w:val="18"/>
                <w:szCs w:val="18"/>
              </w:rPr>
            </w:pPr>
            <w:r w:rsidRPr="00111F34">
              <w:rPr>
                <w:rFonts w:cs="Arial"/>
                <w:sz w:val="18"/>
                <w:szCs w:val="18"/>
              </w:rPr>
              <w:t>2.1 Racionálně využívat možnosti rozvoje stávajícího urbanizovaného území při respektování jeho hodnot</w:t>
            </w:r>
          </w:p>
        </w:tc>
      </w:tr>
      <w:tr w:rsidR="009B13BF" w:rsidRPr="00111F34" w14:paraId="12F4FBCF" w14:textId="77777777" w:rsidTr="009B13BF">
        <w:trPr>
          <w:trHeight w:val="211"/>
          <w:jc w:val="center"/>
        </w:trPr>
        <w:tc>
          <w:tcPr>
            <w:tcW w:w="0" w:type="auto"/>
            <w:vMerge/>
            <w:shd w:val="clear" w:color="auto" w:fill="auto"/>
            <w:noWrap/>
            <w:vAlign w:val="bottom"/>
          </w:tcPr>
          <w:p w14:paraId="4DD2057F" w14:textId="77777777" w:rsidR="009B13BF" w:rsidRPr="00111F34" w:rsidRDefault="009B13BF" w:rsidP="009B13BF">
            <w:pPr>
              <w:spacing w:beforeLines="40" w:before="96" w:afterLines="40" w:after="96"/>
              <w:jc w:val="left"/>
              <w:rPr>
                <w:rFonts w:cs="Arial"/>
                <w:sz w:val="18"/>
                <w:szCs w:val="18"/>
              </w:rPr>
            </w:pPr>
          </w:p>
        </w:tc>
        <w:tc>
          <w:tcPr>
            <w:tcW w:w="5694" w:type="dxa"/>
            <w:shd w:val="clear" w:color="auto" w:fill="auto"/>
            <w:vAlign w:val="bottom"/>
          </w:tcPr>
          <w:p w14:paraId="0D29AD96" w14:textId="77777777" w:rsidR="009B13BF" w:rsidRPr="00111F34" w:rsidRDefault="009B13BF" w:rsidP="009B13BF">
            <w:pPr>
              <w:spacing w:beforeLines="40" w:before="96" w:afterLines="40" w:after="96"/>
              <w:rPr>
                <w:rFonts w:cs="Arial"/>
                <w:sz w:val="18"/>
                <w:szCs w:val="18"/>
              </w:rPr>
            </w:pPr>
            <w:r w:rsidRPr="00111F34">
              <w:rPr>
                <w:rFonts w:cs="Arial"/>
                <w:sz w:val="18"/>
                <w:szCs w:val="18"/>
              </w:rPr>
              <w:t>2.2 Zabezpečit území pomocí rozvoje a optimalizace technické a dopravní infrastruktury při respektování environmentálního pilíře</w:t>
            </w:r>
          </w:p>
        </w:tc>
      </w:tr>
      <w:tr w:rsidR="009B13BF" w:rsidRPr="00111F34" w14:paraId="1565703C" w14:textId="77777777" w:rsidTr="009B13BF">
        <w:trPr>
          <w:trHeight w:val="102"/>
          <w:jc w:val="center"/>
        </w:trPr>
        <w:tc>
          <w:tcPr>
            <w:tcW w:w="0" w:type="auto"/>
            <w:vMerge/>
            <w:shd w:val="clear" w:color="auto" w:fill="auto"/>
            <w:noWrap/>
            <w:vAlign w:val="bottom"/>
          </w:tcPr>
          <w:p w14:paraId="5B6CDD09" w14:textId="77777777" w:rsidR="009B13BF" w:rsidRPr="00111F34" w:rsidRDefault="009B13BF" w:rsidP="009B13BF">
            <w:pPr>
              <w:spacing w:beforeLines="40" w:before="96" w:afterLines="40" w:after="96"/>
              <w:jc w:val="left"/>
              <w:rPr>
                <w:rFonts w:cs="Arial"/>
                <w:sz w:val="18"/>
                <w:szCs w:val="18"/>
              </w:rPr>
            </w:pPr>
          </w:p>
        </w:tc>
        <w:tc>
          <w:tcPr>
            <w:tcW w:w="5694" w:type="dxa"/>
            <w:shd w:val="clear" w:color="auto" w:fill="233845"/>
            <w:vAlign w:val="bottom"/>
          </w:tcPr>
          <w:p w14:paraId="7A687BE1" w14:textId="77777777" w:rsidR="009B13BF" w:rsidRPr="00111F34" w:rsidRDefault="009B13BF" w:rsidP="009B13BF">
            <w:pPr>
              <w:spacing w:beforeLines="40" w:before="96" w:afterLines="40" w:after="96"/>
              <w:rPr>
                <w:rFonts w:cs="Arial"/>
                <w:sz w:val="18"/>
                <w:szCs w:val="18"/>
              </w:rPr>
            </w:pPr>
            <w:r w:rsidRPr="00111F34">
              <w:rPr>
                <w:rFonts w:cs="Arial"/>
                <w:sz w:val="18"/>
                <w:szCs w:val="18"/>
              </w:rPr>
              <w:t>2.3 Zajistit prostorové možnosti pro rozvoj podnikání a zaměstnanosti při respektování environmentálního pilíře</w:t>
            </w:r>
          </w:p>
        </w:tc>
      </w:tr>
      <w:tr w:rsidR="009B13BF" w:rsidRPr="00111F34" w14:paraId="2574C958" w14:textId="77777777" w:rsidTr="009B13BF">
        <w:trPr>
          <w:trHeight w:val="102"/>
          <w:jc w:val="center"/>
        </w:trPr>
        <w:tc>
          <w:tcPr>
            <w:tcW w:w="0" w:type="auto"/>
            <w:vMerge/>
            <w:shd w:val="clear" w:color="auto" w:fill="auto"/>
            <w:noWrap/>
            <w:vAlign w:val="bottom"/>
          </w:tcPr>
          <w:p w14:paraId="6F8F6D42" w14:textId="77777777" w:rsidR="009B13BF" w:rsidRPr="00111F34" w:rsidRDefault="009B13BF" w:rsidP="009B13BF">
            <w:pPr>
              <w:spacing w:beforeLines="40" w:before="96" w:afterLines="40" w:after="96"/>
              <w:jc w:val="left"/>
              <w:rPr>
                <w:rFonts w:cs="Arial"/>
                <w:sz w:val="18"/>
                <w:szCs w:val="18"/>
              </w:rPr>
            </w:pPr>
          </w:p>
        </w:tc>
        <w:tc>
          <w:tcPr>
            <w:tcW w:w="5694" w:type="dxa"/>
            <w:shd w:val="clear" w:color="auto" w:fill="auto"/>
            <w:vAlign w:val="bottom"/>
          </w:tcPr>
          <w:p w14:paraId="6C5F7768" w14:textId="77777777" w:rsidR="009B13BF" w:rsidRPr="00111F34" w:rsidRDefault="009B13BF" w:rsidP="009B13BF">
            <w:pPr>
              <w:spacing w:beforeLines="40" w:before="96" w:afterLines="40" w:after="96"/>
              <w:rPr>
                <w:rFonts w:cs="Arial"/>
                <w:sz w:val="18"/>
                <w:szCs w:val="18"/>
              </w:rPr>
            </w:pPr>
            <w:r w:rsidRPr="00111F34">
              <w:rPr>
                <w:rFonts w:cs="Arial"/>
                <w:sz w:val="18"/>
                <w:szCs w:val="18"/>
              </w:rPr>
              <w:t xml:space="preserve">2.4 Pomocí vhodných územně plánovacích opatření podpořit rozvoj environmentálně šetrného cestovního ruchu </w:t>
            </w:r>
          </w:p>
        </w:tc>
      </w:tr>
      <w:tr w:rsidR="009B13BF" w:rsidRPr="00111F34" w14:paraId="024CA5BC" w14:textId="77777777" w:rsidTr="009B13BF">
        <w:trPr>
          <w:trHeight w:val="64"/>
          <w:jc w:val="center"/>
        </w:trPr>
        <w:tc>
          <w:tcPr>
            <w:tcW w:w="0" w:type="auto"/>
            <w:vMerge/>
            <w:shd w:val="clear" w:color="auto" w:fill="auto"/>
            <w:noWrap/>
            <w:vAlign w:val="bottom"/>
          </w:tcPr>
          <w:p w14:paraId="0C5CF27D" w14:textId="77777777" w:rsidR="009B13BF" w:rsidRPr="00111F34" w:rsidRDefault="009B13BF" w:rsidP="009B13BF">
            <w:pPr>
              <w:spacing w:beforeLines="40" w:before="96" w:afterLines="40" w:after="96"/>
              <w:jc w:val="left"/>
              <w:rPr>
                <w:rFonts w:cs="Arial"/>
                <w:sz w:val="18"/>
                <w:szCs w:val="18"/>
              </w:rPr>
            </w:pPr>
          </w:p>
        </w:tc>
        <w:tc>
          <w:tcPr>
            <w:tcW w:w="5694" w:type="dxa"/>
            <w:shd w:val="clear" w:color="auto" w:fill="233845"/>
          </w:tcPr>
          <w:p w14:paraId="64CF5DC1" w14:textId="14890D7C" w:rsidR="009B13BF" w:rsidRPr="00111F34" w:rsidRDefault="009B13BF" w:rsidP="009B13BF">
            <w:pPr>
              <w:spacing w:beforeLines="40" w:before="96" w:afterLines="40" w:after="96"/>
              <w:jc w:val="left"/>
              <w:rPr>
                <w:rFonts w:cs="Arial"/>
                <w:sz w:val="18"/>
                <w:szCs w:val="18"/>
              </w:rPr>
            </w:pPr>
            <w:r w:rsidRPr="00111F34">
              <w:rPr>
                <w:rFonts w:cs="Arial"/>
                <w:sz w:val="18"/>
                <w:szCs w:val="18"/>
              </w:rPr>
              <w:t>2.5 Efektivním územním plánováním přispět k optimalizaci sítě komerčních zařízení s respektování</w:t>
            </w:r>
            <w:r w:rsidR="00F65F92" w:rsidRPr="00111F34">
              <w:rPr>
                <w:rFonts w:cs="Arial"/>
                <w:sz w:val="18"/>
                <w:szCs w:val="18"/>
              </w:rPr>
              <w:t>m</w:t>
            </w:r>
            <w:r w:rsidRPr="00111F34">
              <w:rPr>
                <w:rFonts w:cs="Arial"/>
                <w:sz w:val="18"/>
                <w:szCs w:val="18"/>
              </w:rPr>
              <w:t xml:space="preserve"> životního prostředí</w:t>
            </w:r>
          </w:p>
        </w:tc>
      </w:tr>
    </w:tbl>
    <w:p w14:paraId="517ED0FF" w14:textId="77777777" w:rsidR="009B13BF" w:rsidRPr="00111F34" w:rsidRDefault="009B13BF" w:rsidP="009B13BF">
      <w:bookmarkStart w:id="390" w:name="_Toc29298569"/>
    </w:p>
    <w:p w14:paraId="0924AD38" w14:textId="77777777" w:rsidR="009B13BF" w:rsidRPr="00111F34" w:rsidRDefault="009B13BF" w:rsidP="009B13BF"/>
    <w:p w14:paraId="5F15FB02" w14:textId="77777777" w:rsidR="009B13BF" w:rsidRPr="00111F34" w:rsidRDefault="009B13BF" w:rsidP="009B13BF"/>
    <w:p w14:paraId="694B685F" w14:textId="77777777" w:rsidR="009B13BF" w:rsidRPr="00111F34" w:rsidRDefault="009B13BF" w:rsidP="009B13BF">
      <w:pPr>
        <w:pStyle w:val="Tabulkanzev"/>
      </w:pPr>
      <w:bookmarkStart w:id="391" w:name="_Toc89073101"/>
      <w:bookmarkStart w:id="392" w:name="_Toc138848185"/>
      <w:r w:rsidRPr="00111F34">
        <w:t>Charakteristika referenčních cílů ekonomického a sociálního pilíře udržitelného rozvoje a způsobu hodnocení</w:t>
      </w:r>
      <w:bookmarkEnd w:id="390"/>
      <w:bookmarkEnd w:id="391"/>
      <w:bookmarkEnd w:id="392"/>
      <w:r w:rsidRPr="00111F34">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948"/>
        <w:gridCol w:w="3840"/>
        <w:gridCol w:w="3840"/>
      </w:tblGrid>
      <w:tr w:rsidR="009B13BF" w:rsidRPr="00111F34" w14:paraId="7895AAC4" w14:textId="77777777" w:rsidTr="009B13BF">
        <w:trPr>
          <w:trHeight w:val="348"/>
          <w:jc w:val="center"/>
        </w:trPr>
        <w:tc>
          <w:tcPr>
            <w:tcW w:w="1012" w:type="pct"/>
            <w:shd w:val="clear" w:color="auto" w:fill="233845"/>
          </w:tcPr>
          <w:p w14:paraId="0CEFECE4" w14:textId="77777777" w:rsidR="009B13BF" w:rsidRPr="00111F34" w:rsidRDefault="009B13BF" w:rsidP="009B13BF">
            <w:pPr>
              <w:spacing w:before="40" w:after="40"/>
              <w:jc w:val="left"/>
              <w:rPr>
                <w:rFonts w:cs="Arial"/>
                <w:b/>
                <w:bCs/>
                <w:sz w:val="18"/>
                <w:szCs w:val="18"/>
              </w:rPr>
            </w:pPr>
            <w:r w:rsidRPr="00111F34">
              <w:rPr>
                <w:rFonts w:cs="Arial"/>
                <w:b/>
                <w:bCs/>
                <w:sz w:val="18"/>
                <w:szCs w:val="18"/>
              </w:rPr>
              <w:t>Referenční cíl ochrany ŽP a veřejného zdraví</w:t>
            </w:r>
          </w:p>
        </w:tc>
        <w:tc>
          <w:tcPr>
            <w:tcW w:w="1994" w:type="pct"/>
            <w:shd w:val="clear" w:color="auto" w:fill="233845"/>
          </w:tcPr>
          <w:p w14:paraId="6B5F9B47" w14:textId="77777777" w:rsidR="009B13BF" w:rsidRPr="00111F34" w:rsidRDefault="009B13BF" w:rsidP="009B13BF">
            <w:pPr>
              <w:spacing w:before="40" w:after="40"/>
              <w:jc w:val="left"/>
              <w:rPr>
                <w:rFonts w:cs="Arial"/>
                <w:b/>
                <w:bCs/>
                <w:sz w:val="18"/>
                <w:szCs w:val="18"/>
              </w:rPr>
            </w:pPr>
            <w:r w:rsidRPr="00111F34">
              <w:rPr>
                <w:rFonts w:cs="Arial"/>
                <w:b/>
                <w:bCs/>
                <w:sz w:val="18"/>
                <w:szCs w:val="18"/>
              </w:rPr>
              <w:t>Charakteristika cíle a způsobu vyhodnocení vlivů na referenční cíl</w:t>
            </w:r>
          </w:p>
        </w:tc>
        <w:tc>
          <w:tcPr>
            <w:tcW w:w="1994" w:type="pct"/>
            <w:shd w:val="clear" w:color="auto" w:fill="233845"/>
          </w:tcPr>
          <w:p w14:paraId="4DD4D253" w14:textId="77777777" w:rsidR="009B13BF" w:rsidRPr="00111F34" w:rsidRDefault="009B13BF" w:rsidP="009B13BF">
            <w:pPr>
              <w:spacing w:before="40" w:after="40"/>
              <w:jc w:val="left"/>
              <w:rPr>
                <w:rFonts w:cs="Arial"/>
                <w:b/>
                <w:bCs/>
                <w:sz w:val="18"/>
                <w:szCs w:val="18"/>
              </w:rPr>
            </w:pPr>
            <w:r w:rsidRPr="00111F34">
              <w:rPr>
                <w:rFonts w:cs="Arial"/>
                <w:b/>
                <w:bCs/>
                <w:sz w:val="18"/>
                <w:szCs w:val="18"/>
              </w:rPr>
              <w:t>Charakteristika hodnocení míry vlivu</w:t>
            </w:r>
            <w:r w:rsidRPr="00111F34">
              <w:rPr>
                <w:rStyle w:val="Znakapoznpodarou"/>
                <w:rFonts w:cs="Arial"/>
                <w:b/>
                <w:bCs/>
                <w:sz w:val="18"/>
                <w:szCs w:val="18"/>
              </w:rPr>
              <w:footnoteReference w:id="21"/>
            </w:r>
            <w:r w:rsidRPr="00111F34">
              <w:rPr>
                <w:rFonts w:cs="Arial"/>
                <w:b/>
                <w:bCs/>
                <w:sz w:val="18"/>
                <w:szCs w:val="18"/>
              </w:rPr>
              <w:t xml:space="preserve"> </w:t>
            </w:r>
          </w:p>
        </w:tc>
      </w:tr>
      <w:tr w:rsidR="009B13BF" w:rsidRPr="00111F34" w14:paraId="4B40C9E2" w14:textId="77777777" w:rsidTr="009B13BF">
        <w:trPr>
          <w:cantSplit/>
          <w:trHeight w:val="211"/>
          <w:jc w:val="center"/>
        </w:trPr>
        <w:tc>
          <w:tcPr>
            <w:tcW w:w="1012" w:type="pct"/>
            <w:shd w:val="clear" w:color="auto" w:fill="auto"/>
          </w:tcPr>
          <w:p w14:paraId="20C521A2" w14:textId="77777777" w:rsidR="009B13BF" w:rsidRPr="00111F34" w:rsidRDefault="009B13BF" w:rsidP="009B13BF">
            <w:pPr>
              <w:spacing w:before="40" w:after="40"/>
              <w:jc w:val="left"/>
              <w:rPr>
                <w:rFonts w:cs="Arial"/>
                <w:sz w:val="18"/>
                <w:szCs w:val="18"/>
              </w:rPr>
            </w:pPr>
            <w:r w:rsidRPr="00111F34">
              <w:rPr>
                <w:rFonts w:cs="Arial"/>
                <w:sz w:val="18"/>
                <w:szCs w:val="18"/>
              </w:rPr>
              <w:t>1.1 Zvýšením nabídky kvalitního bydlení zastavit odliv ekonomicky aktivních obyvatel a podpořit omezení suburbanizace</w:t>
            </w:r>
          </w:p>
        </w:tc>
        <w:tc>
          <w:tcPr>
            <w:tcW w:w="1994" w:type="pct"/>
            <w:shd w:val="clear" w:color="auto" w:fill="auto"/>
          </w:tcPr>
          <w:p w14:paraId="45A80411" w14:textId="77777777" w:rsidR="009B13BF" w:rsidRPr="00111F34" w:rsidRDefault="009B13BF" w:rsidP="009B13BF">
            <w:pPr>
              <w:spacing w:before="40" w:after="40"/>
              <w:jc w:val="left"/>
              <w:rPr>
                <w:rFonts w:cs="Arial"/>
                <w:sz w:val="18"/>
                <w:szCs w:val="18"/>
              </w:rPr>
            </w:pPr>
            <w:r w:rsidRPr="00111F34">
              <w:rPr>
                <w:rFonts w:cs="Arial"/>
                <w:sz w:val="18"/>
                <w:szCs w:val="18"/>
              </w:rPr>
              <w:t>Referenční cíl reprezentuje žádoucí trend z hlediska zachování demografických charakteristik ekonomicky produktivní společnosti v centrech urbanizace (hodnotí zvýšení nabídky atraktivního bydlení mimo suburbanizační polohy s nutností dojížďky za ekonomickými i sociálními aktivitami).</w:t>
            </w:r>
          </w:p>
          <w:p w14:paraId="59B0CD33" w14:textId="77777777" w:rsidR="009B13BF" w:rsidRPr="00111F34" w:rsidRDefault="009B13BF" w:rsidP="009B13BF">
            <w:pPr>
              <w:spacing w:before="40" w:after="40"/>
              <w:jc w:val="left"/>
              <w:rPr>
                <w:rFonts w:cs="Arial"/>
                <w:sz w:val="18"/>
                <w:szCs w:val="18"/>
              </w:rPr>
            </w:pPr>
          </w:p>
          <w:p w14:paraId="6EBD133D" w14:textId="77777777" w:rsidR="009B13BF" w:rsidRPr="00111F34" w:rsidRDefault="009B13BF" w:rsidP="009B13BF">
            <w:pPr>
              <w:spacing w:before="40" w:after="40"/>
              <w:jc w:val="left"/>
              <w:rPr>
                <w:rFonts w:cs="Arial"/>
                <w:sz w:val="18"/>
                <w:szCs w:val="18"/>
              </w:rPr>
            </w:pPr>
            <w:r w:rsidRPr="00111F34">
              <w:rPr>
                <w:rFonts w:cs="Arial"/>
                <w:sz w:val="18"/>
                <w:szCs w:val="18"/>
              </w:rPr>
              <w:t xml:space="preserve">Referenční cíl byl stanoven na základě analýzy stavu, problémů a vývojových trendů sledovaných témat udržitelného rozvoje a cílů v oblasti udržitelného rozvoje přijatých následujícími strategickými dokumenty na vnitrostátní úrovni: </w:t>
            </w:r>
          </w:p>
          <w:p w14:paraId="6697F2B6" w14:textId="77777777" w:rsidR="009B13BF" w:rsidRPr="00111F34" w:rsidRDefault="009B13BF" w:rsidP="009B13BF">
            <w:pPr>
              <w:spacing w:before="40" w:after="40"/>
              <w:jc w:val="left"/>
              <w:rPr>
                <w:rFonts w:cs="Arial"/>
                <w:sz w:val="18"/>
                <w:szCs w:val="18"/>
              </w:rPr>
            </w:pPr>
            <w:r w:rsidRPr="00111F34">
              <w:rPr>
                <w:rFonts w:cs="Arial"/>
                <w:sz w:val="18"/>
                <w:szCs w:val="18"/>
              </w:rPr>
              <w:t>ČR 2030, ZÚR Praha, SRR, Strategický plán hl. města Prahy.</w:t>
            </w:r>
          </w:p>
        </w:tc>
        <w:tc>
          <w:tcPr>
            <w:tcW w:w="1994" w:type="pct"/>
            <w:shd w:val="clear" w:color="auto" w:fill="auto"/>
          </w:tcPr>
          <w:p w14:paraId="6E470B01" w14:textId="77777777" w:rsidR="009B13BF" w:rsidRPr="00111F34" w:rsidRDefault="009B13BF" w:rsidP="009B13BF">
            <w:pPr>
              <w:spacing w:before="40" w:after="40"/>
              <w:jc w:val="left"/>
              <w:rPr>
                <w:rFonts w:cs="Arial"/>
                <w:sz w:val="18"/>
                <w:szCs w:val="18"/>
              </w:rPr>
            </w:pPr>
            <w:r w:rsidRPr="00111F34">
              <w:rPr>
                <w:rFonts w:cs="Arial"/>
                <w:sz w:val="18"/>
                <w:szCs w:val="18"/>
              </w:rPr>
              <w:t>+2 nově vymezené plochy bydlení v dosahu ploch pracovních příležitostí veřejné vybavenosti a rekreace nad cca 5 ha.</w:t>
            </w:r>
          </w:p>
          <w:p w14:paraId="367E0BDE" w14:textId="77777777" w:rsidR="009B13BF" w:rsidRPr="00111F34" w:rsidRDefault="009B13BF" w:rsidP="009B13BF">
            <w:pPr>
              <w:spacing w:before="40" w:after="40"/>
              <w:jc w:val="left"/>
              <w:rPr>
                <w:rFonts w:cs="Arial"/>
                <w:sz w:val="18"/>
                <w:szCs w:val="18"/>
              </w:rPr>
            </w:pPr>
            <w:r w:rsidRPr="00111F34">
              <w:rPr>
                <w:rFonts w:cs="Arial"/>
                <w:sz w:val="18"/>
                <w:szCs w:val="18"/>
              </w:rPr>
              <w:t>+1 nově vymezené plochy bydlení v dosahu ploch pracovních příležitostí veřejné vybavenosti a rekreace do cca 5 ha.</w:t>
            </w:r>
          </w:p>
          <w:p w14:paraId="1C9A09B5" w14:textId="77777777" w:rsidR="009B13BF" w:rsidRPr="00111F34" w:rsidRDefault="009B13BF" w:rsidP="009B13BF">
            <w:pPr>
              <w:spacing w:before="40" w:after="40"/>
              <w:jc w:val="left"/>
              <w:rPr>
                <w:rFonts w:cs="Arial"/>
                <w:sz w:val="18"/>
                <w:szCs w:val="18"/>
              </w:rPr>
            </w:pPr>
            <w:r w:rsidRPr="00111F34">
              <w:rPr>
                <w:rFonts w:cs="Arial"/>
                <w:sz w:val="18"/>
                <w:szCs w:val="18"/>
              </w:rPr>
              <w:t>-1 vymezení monofunkčních ploch bydlení v území s deficitem občanské vybavenosti a pracovních příležitostí do cca 5 ha.</w:t>
            </w:r>
          </w:p>
          <w:p w14:paraId="5C733839" w14:textId="77777777" w:rsidR="009B13BF" w:rsidRPr="00111F34" w:rsidRDefault="009B13BF" w:rsidP="009B13BF">
            <w:pPr>
              <w:spacing w:before="40" w:after="40"/>
              <w:jc w:val="left"/>
              <w:rPr>
                <w:rFonts w:cs="Arial"/>
                <w:sz w:val="18"/>
                <w:szCs w:val="18"/>
              </w:rPr>
            </w:pPr>
            <w:r w:rsidRPr="00111F34">
              <w:rPr>
                <w:rFonts w:cs="Arial"/>
                <w:sz w:val="18"/>
                <w:szCs w:val="18"/>
              </w:rPr>
              <w:t>- 2 vymezení monofunkčních ploch bydlení v území s deficitem občanské vybavenosti a pracovních příležitostí nad cca 5 ha.</w:t>
            </w:r>
          </w:p>
        </w:tc>
      </w:tr>
      <w:tr w:rsidR="009B13BF" w:rsidRPr="00111F34" w14:paraId="75FD6759" w14:textId="77777777" w:rsidTr="009B13BF">
        <w:trPr>
          <w:cantSplit/>
          <w:trHeight w:val="102"/>
          <w:jc w:val="center"/>
        </w:trPr>
        <w:tc>
          <w:tcPr>
            <w:tcW w:w="1012" w:type="pct"/>
            <w:shd w:val="clear" w:color="auto" w:fill="auto"/>
          </w:tcPr>
          <w:p w14:paraId="0F8DC184" w14:textId="77777777" w:rsidR="009B13BF" w:rsidRPr="00111F34" w:rsidRDefault="009B13BF" w:rsidP="009B13BF">
            <w:pPr>
              <w:spacing w:before="40" w:after="40"/>
              <w:jc w:val="left"/>
              <w:rPr>
                <w:rFonts w:cs="Arial"/>
                <w:sz w:val="18"/>
                <w:szCs w:val="18"/>
              </w:rPr>
            </w:pPr>
            <w:r w:rsidRPr="00111F34">
              <w:rPr>
                <w:rFonts w:cs="Arial"/>
                <w:sz w:val="18"/>
                <w:szCs w:val="18"/>
              </w:rPr>
              <w:t>1.2 Zajistit dostupnost sportovního vyžití v kvalitním prostředí</w:t>
            </w:r>
          </w:p>
        </w:tc>
        <w:tc>
          <w:tcPr>
            <w:tcW w:w="1994" w:type="pct"/>
            <w:shd w:val="clear" w:color="auto" w:fill="auto"/>
          </w:tcPr>
          <w:p w14:paraId="4C459355" w14:textId="77777777" w:rsidR="009B13BF" w:rsidRPr="00111F34" w:rsidRDefault="009B13BF" w:rsidP="009B13BF">
            <w:pPr>
              <w:spacing w:before="40" w:after="40"/>
              <w:jc w:val="left"/>
              <w:rPr>
                <w:rFonts w:cs="Arial"/>
                <w:sz w:val="18"/>
                <w:szCs w:val="18"/>
              </w:rPr>
            </w:pPr>
            <w:r w:rsidRPr="00111F34">
              <w:rPr>
                <w:rFonts w:cs="Arial"/>
                <w:sz w:val="18"/>
                <w:szCs w:val="18"/>
              </w:rPr>
              <w:t>Referenční cíl reprezentuje žádoucí trend v oblasti zdravého trávení volného času – hodnotí vybavení území plochami sportu.</w:t>
            </w:r>
          </w:p>
          <w:p w14:paraId="24320E6E" w14:textId="77777777" w:rsidR="009B13BF" w:rsidRPr="00111F34" w:rsidRDefault="009B13BF" w:rsidP="009B13BF">
            <w:pPr>
              <w:spacing w:before="40" w:after="40"/>
              <w:jc w:val="left"/>
              <w:rPr>
                <w:rFonts w:cs="Arial"/>
                <w:sz w:val="18"/>
                <w:szCs w:val="18"/>
              </w:rPr>
            </w:pPr>
          </w:p>
          <w:p w14:paraId="2F6050AD" w14:textId="77777777" w:rsidR="009B13BF" w:rsidRPr="00111F34" w:rsidRDefault="009B13BF" w:rsidP="009B13BF">
            <w:pPr>
              <w:spacing w:before="40" w:after="40"/>
              <w:jc w:val="left"/>
              <w:rPr>
                <w:rFonts w:cs="Arial"/>
                <w:sz w:val="18"/>
                <w:szCs w:val="18"/>
              </w:rPr>
            </w:pPr>
            <w:r w:rsidRPr="00111F34">
              <w:rPr>
                <w:rFonts w:cs="Arial"/>
                <w:sz w:val="18"/>
                <w:szCs w:val="18"/>
              </w:rPr>
              <w:t xml:space="preserve">Referenční cíl byl stanoven na základě analýzy stavu, problémů a vývojových trendů sledovaných témat udržitelného rozvoje a cílů v oblasti udržitelného rozvoje přijatých následujícími strategickými dokumenty na vnitrostátní úrovni: </w:t>
            </w:r>
          </w:p>
          <w:p w14:paraId="1D03D7F7" w14:textId="77777777" w:rsidR="009B13BF" w:rsidRPr="00111F34" w:rsidRDefault="009B13BF" w:rsidP="009B13BF">
            <w:pPr>
              <w:spacing w:before="40" w:after="40"/>
              <w:jc w:val="left"/>
              <w:rPr>
                <w:rFonts w:cs="Arial"/>
                <w:sz w:val="18"/>
                <w:szCs w:val="18"/>
              </w:rPr>
            </w:pPr>
            <w:r w:rsidRPr="00111F34">
              <w:rPr>
                <w:rFonts w:cs="Arial"/>
                <w:sz w:val="18"/>
                <w:szCs w:val="18"/>
              </w:rPr>
              <w:t>Zdraví 2020, ZÚR Praha, Strategický plán hl. města Prahy.</w:t>
            </w:r>
          </w:p>
        </w:tc>
        <w:tc>
          <w:tcPr>
            <w:tcW w:w="1994" w:type="pct"/>
            <w:shd w:val="clear" w:color="auto" w:fill="auto"/>
          </w:tcPr>
          <w:p w14:paraId="3780CD69" w14:textId="77777777" w:rsidR="009B13BF" w:rsidRPr="00111F34" w:rsidRDefault="009B13BF" w:rsidP="009B13BF">
            <w:pPr>
              <w:spacing w:before="40" w:after="40"/>
              <w:jc w:val="left"/>
              <w:rPr>
                <w:rFonts w:cs="Arial"/>
                <w:sz w:val="18"/>
                <w:szCs w:val="18"/>
              </w:rPr>
            </w:pPr>
            <w:r w:rsidRPr="00111F34">
              <w:rPr>
                <w:rFonts w:cs="Arial"/>
                <w:sz w:val="18"/>
                <w:szCs w:val="18"/>
              </w:rPr>
              <w:t>+2 vznik ploch sportu v dosahu ploch bydlení nad cca 2 ha.</w:t>
            </w:r>
          </w:p>
          <w:p w14:paraId="63551533" w14:textId="77777777" w:rsidR="009B13BF" w:rsidRPr="00111F34" w:rsidRDefault="009B13BF" w:rsidP="009B13BF">
            <w:pPr>
              <w:spacing w:before="40" w:after="40"/>
              <w:jc w:val="left"/>
              <w:rPr>
                <w:rFonts w:cs="Arial"/>
                <w:sz w:val="18"/>
                <w:szCs w:val="18"/>
              </w:rPr>
            </w:pPr>
            <w:r w:rsidRPr="00111F34">
              <w:rPr>
                <w:rFonts w:cs="Arial"/>
                <w:sz w:val="18"/>
                <w:szCs w:val="18"/>
              </w:rPr>
              <w:t>+1 vznik ploch sportu v dosahu ploch bydlení do cca 2 ha.</w:t>
            </w:r>
          </w:p>
          <w:p w14:paraId="521B407C" w14:textId="77777777" w:rsidR="009B13BF" w:rsidRPr="00111F34" w:rsidRDefault="009B13BF" w:rsidP="009B13BF">
            <w:pPr>
              <w:spacing w:before="40" w:after="40"/>
              <w:jc w:val="left"/>
              <w:rPr>
                <w:rFonts w:cs="Arial"/>
                <w:sz w:val="18"/>
                <w:szCs w:val="18"/>
              </w:rPr>
            </w:pPr>
            <w:r w:rsidRPr="00111F34">
              <w:rPr>
                <w:rFonts w:cs="Arial"/>
                <w:sz w:val="18"/>
                <w:szCs w:val="18"/>
              </w:rPr>
              <w:t>-1 úbytek ploch sportu v dosahu ploch bydlení do cca 2 ha.</w:t>
            </w:r>
          </w:p>
          <w:p w14:paraId="7A85B1A8" w14:textId="77777777" w:rsidR="009B13BF" w:rsidRPr="00111F34" w:rsidRDefault="009B13BF" w:rsidP="009B13BF">
            <w:pPr>
              <w:spacing w:before="40" w:after="40"/>
              <w:jc w:val="left"/>
              <w:rPr>
                <w:rFonts w:cs="Arial"/>
                <w:sz w:val="18"/>
                <w:szCs w:val="18"/>
              </w:rPr>
            </w:pPr>
            <w:r w:rsidRPr="00111F34">
              <w:rPr>
                <w:rFonts w:cs="Arial"/>
                <w:sz w:val="18"/>
                <w:szCs w:val="18"/>
              </w:rPr>
              <w:t>-2 úbytek ploch sportu v dosahu ploch bydlení nad cca 2 ha.</w:t>
            </w:r>
          </w:p>
        </w:tc>
      </w:tr>
      <w:tr w:rsidR="009B13BF" w:rsidRPr="00111F34" w14:paraId="79EE762B" w14:textId="77777777" w:rsidTr="009B13BF">
        <w:trPr>
          <w:cantSplit/>
          <w:trHeight w:val="2118"/>
          <w:jc w:val="center"/>
        </w:trPr>
        <w:tc>
          <w:tcPr>
            <w:tcW w:w="1012" w:type="pct"/>
            <w:shd w:val="clear" w:color="auto" w:fill="auto"/>
          </w:tcPr>
          <w:p w14:paraId="1572C223" w14:textId="77777777" w:rsidR="009B13BF" w:rsidRPr="00111F34" w:rsidRDefault="009B13BF" w:rsidP="009B13BF">
            <w:pPr>
              <w:spacing w:before="40" w:after="40"/>
              <w:jc w:val="left"/>
              <w:rPr>
                <w:rFonts w:cs="Arial"/>
                <w:sz w:val="18"/>
                <w:szCs w:val="18"/>
              </w:rPr>
            </w:pPr>
            <w:r w:rsidRPr="00111F34">
              <w:rPr>
                <w:rFonts w:cs="Arial"/>
                <w:sz w:val="18"/>
                <w:szCs w:val="18"/>
              </w:rPr>
              <w:lastRenderedPageBreak/>
              <w:t xml:space="preserve">1.3 Chránit a rozvíjet možnosti rekreace a komunitního setkávání </w:t>
            </w:r>
          </w:p>
        </w:tc>
        <w:tc>
          <w:tcPr>
            <w:tcW w:w="1994" w:type="pct"/>
            <w:shd w:val="clear" w:color="auto" w:fill="auto"/>
          </w:tcPr>
          <w:p w14:paraId="6E8E757B" w14:textId="77777777" w:rsidR="009B13BF" w:rsidRPr="00111F34" w:rsidRDefault="009B13BF" w:rsidP="009B13BF">
            <w:pPr>
              <w:spacing w:before="40" w:after="40"/>
              <w:jc w:val="left"/>
              <w:rPr>
                <w:rFonts w:cs="Arial"/>
                <w:sz w:val="18"/>
                <w:szCs w:val="18"/>
              </w:rPr>
            </w:pPr>
            <w:r w:rsidRPr="00111F34">
              <w:rPr>
                <w:rFonts w:cs="Arial"/>
                <w:sz w:val="18"/>
                <w:szCs w:val="18"/>
              </w:rPr>
              <w:t>Referenční cíl reprezentuje žádoucí trend v oblasti zlepšování možností trávení volného času a budování soudržných společenství a komunit – hodnotí vybavení území plochami s možností trávení volného času v přírodním prostředí – plochy parků, veřejných prostranství s převahou zeleně, zahrádek, veřejně přístupné zeleně a ploch veřejných prostranství a občanské vybavenosti pro komunitní setkávání včetně kulturních zařízení s bezprostřední vazbou na plochy bydlení.</w:t>
            </w:r>
          </w:p>
          <w:p w14:paraId="6A3DD56F" w14:textId="77777777" w:rsidR="009B13BF" w:rsidRPr="00111F34" w:rsidRDefault="009B13BF" w:rsidP="009B13BF">
            <w:pPr>
              <w:spacing w:before="40" w:after="40"/>
              <w:jc w:val="left"/>
              <w:rPr>
                <w:rFonts w:cs="Arial"/>
                <w:sz w:val="18"/>
                <w:szCs w:val="18"/>
              </w:rPr>
            </w:pPr>
          </w:p>
          <w:p w14:paraId="6131F6C9" w14:textId="77777777" w:rsidR="009B13BF" w:rsidRPr="00111F34" w:rsidRDefault="009B13BF" w:rsidP="009B13BF">
            <w:pPr>
              <w:spacing w:before="40" w:after="40"/>
              <w:jc w:val="left"/>
              <w:rPr>
                <w:rFonts w:cs="Arial"/>
                <w:sz w:val="18"/>
                <w:szCs w:val="18"/>
              </w:rPr>
            </w:pPr>
            <w:r w:rsidRPr="00111F34">
              <w:rPr>
                <w:rFonts w:cs="Arial"/>
                <w:sz w:val="18"/>
                <w:szCs w:val="18"/>
              </w:rPr>
              <w:t xml:space="preserve">Referenční cíl byl stanoven na základě analýzy stavu, problémů a vývojových trendů sledovaných témat udržitelného rozvoje a cílů v oblasti udržitelného rozvoje přijatých následujícími strategickými dokumenty na vnitrostátní úrovni: </w:t>
            </w:r>
          </w:p>
          <w:p w14:paraId="54D579B3" w14:textId="77777777" w:rsidR="009B13BF" w:rsidRPr="00111F34" w:rsidRDefault="009B13BF" w:rsidP="009B13BF">
            <w:pPr>
              <w:spacing w:before="40" w:after="40"/>
              <w:jc w:val="left"/>
              <w:rPr>
                <w:rFonts w:cs="Arial"/>
                <w:sz w:val="18"/>
                <w:szCs w:val="18"/>
              </w:rPr>
            </w:pPr>
            <w:r w:rsidRPr="00111F34">
              <w:rPr>
                <w:rFonts w:cs="Arial"/>
                <w:sz w:val="18"/>
                <w:szCs w:val="18"/>
              </w:rPr>
              <w:t>ČR 2030, Zdraví 2020, ZÚR Praha, Strategický plán hl. města Prahy.</w:t>
            </w:r>
          </w:p>
        </w:tc>
        <w:tc>
          <w:tcPr>
            <w:tcW w:w="1994" w:type="pct"/>
            <w:shd w:val="clear" w:color="auto" w:fill="auto"/>
          </w:tcPr>
          <w:p w14:paraId="1CAAAB76" w14:textId="77777777" w:rsidR="009B13BF" w:rsidRPr="00111F34" w:rsidRDefault="009B13BF" w:rsidP="009B13BF">
            <w:pPr>
              <w:spacing w:before="40" w:after="40"/>
              <w:jc w:val="left"/>
              <w:rPr>
                <w:rFonts w:cs="Arial"/>
                <w:sz w:val="18"/>
                <w:szCs w:val="18"/>
              </w:rPr>
            </w:pPr>
            <w:r w:rsidRPr="00111F34">
              <w:rPr>
                <w:rFonts w:cs="Arial"/>
                <w:sz w:val="18"/>
                <w:szCs w:val="18"/>
              </w:rPr>
              <w:t>+2 vznik ploch s možností rekreace a komunitního setkávání v dosahu ploch bydlení nad cca 2 ha</w:t>
            </w:r>
          </w:p>
          <w:p w14:paraId="5A8082C4" w14:textId="77777777" w:rsidR="009B13BF" w:rsidRPr="00111F34" w:rsidRDefault="009B13BF" w:rsidP="009B13BF">
            <w:pPr>
              <w:spacing w:before="40" w:after="40"/>
              <w:jc w:val="left"/>
              <w:rPr>
                <w:rFonts w:cs="Arial"/>
                <w:sz w:val="18"/>
                <w:szCs w:val="18"/>
              </w:rPr>
            </w:pPr>
            <w:r w:rsidRPr="00111F34">
              <w:rPr>
                <w:rFonts w:cs="Arial"/>
                <w:sz w:val="18"/>
                <w:szCs w:val="18"/>
              </w:rPr>
              <w:t>+1 vznik ploch s možností rekreace a komunitního setkávání v dosahu ploch bydlení do cca 2 ha</w:t>
            </w:r>
          </w:p>
          <w:p w14:paraId="0F257C30" w14:textId="77777777" w:rsidR="009B13BF" w:rsidRPr="00111F34" w:rsidRDefault="009B13BF" w:rsidP="009B13BF">
            <w:pPr>
              <w:spacing w:before="40" w:after="40"/>
              <w:jc w:val="left"/>
              <w:rPr>
                <w:rFonts w:cs="Arial"/>
                <w:sz w:val="18"/>
                <w:szCs w:val="18"/>
              </w:rPr>
            </w:pPr>
            <w:r w:rsidRPr="00111F34">
              <w:rPr>
                <w:rFonts w:cs="Arial"/>
                <w:sz w:val="18"/>
                <w:szCs w:val="18"/>
              </w:rPr>
              <w:t>-1 úbytek ploch s možností rekreace a komunitního setkávání v dosahu ploch bydlení do cca 2 ha</w:t>
            </w:r>
          </w:p>
          <w:p w14:paraId="2C19EEE4" w14:textId="77777777" w:rsidR="009B13BF" w:rsidRPr="00111F34" w:rsidRDefault="009B13BF" w:rsidP="009B13BF">
            <w:pPr>
              <w:spacing w:before="40" w:after="40"/>
              <w:jc w:val="left"/>
              <w:rPr>
                <w:rFonts w:cs="Arial"/>
                <w:sz w:val="18"/>
                <w:szCs w:val="18"/>
              </w:rPr>
            </w:pPr>
            <w:r w:rsidRPr="00111F34">
              <w:rPr>
                <w:rFonts w:cs="Arial"/>
                <w:sz w:val="18"/>
                <w:szCs w:val="18"/>
              </w:rPr>
              <w:t>-2 úbytek ploch s možností rekreace a komunitního setkávání v dosahu ploch bydlení nad cca 2 ha</w:t>
            </w:r>
          </w:p>
        </w:tc>
      </w:tr>
      <w:tr w:rsidR="009B13BF" w:rsidRPr="00111F34" w14:paraId="20630F9B" w14:textId="77777777" w:rsidTr="009B13BF">
        <w:trPr>
          <w:trHeight w:val="295"/>
          <w:jc w:val="center"/>
        </w:trPr>
        <w:tc>
          <w:tcPr>
            <w:tcW w:w="1012" w:type="pct"/>
            <w:shd w:val="clear" w:color="auto" w:fill="auto"/>
          </w:tcPr>
          <w:p w14:paraId="4C384B8D" w14:textId="77777777" w:rsidR="009B13BF" w:rsidRPr="00111F34" w:rsidRDefault="009B13BF" w:rsidP="009B13BF">
            <w:pPr>
              <w:spacing w:before="40" w:after="40"/>
              <w:jc w:val="left"/>
              <w:rPr>
                <w:rFonts w:cs="Arial"/>
                <w:sz w:val="18"/>
                <w:szCs w:val="18"/>
              </w:rPr>
            </w:pPr>
            <w:r w:rsidRPr="00111F34">
              <w:rPr>
                <w:rFonts w:cs="Arial"/>
                <w:sz w:val="18"/>
                <w:szCs w:val="18"/>
              </w:rPr>
              <w:t xml:space="preserve">1.4 Zlepšovat dostupnost a spektrum veřejné občanské vybavenosti  </w:t>
            </w:r>
          </w:p>
        </w:tc>
        <w:tc>
          <w:tcPr>
            <w:tcW w:w="1994" w:type="pct"/>
            <w:shd w:val="clear" w:color="auto" w:fill="auto"/>
          </w:tcPr>
          <w:p w14:paraId="26B74AB3" w14:textId="77777777" w:rsidR="009B13BF" w:rsidRPr="00111F34" w:rsidRDefault="009B13BF" w:rsidP="009B13BF">
            <w:pPr>
              <w:spacing w:before="40" w:after="40"/>
              <w:jc w:val="left"/>
              <w:rPr>
                <w:rFonts w:cs="Arial"/>
                <w:sz w:val="18"/>
                <w:szCs w:val="18"/>
              </w:rPr>
            </w:pPr>
            <w:r w:rsidRPr="00111F34">
              <w:rPr>
                <w:rFonts w:cs="Arial"/>
                <w:sz w:val="18"/>
                <w:szCs w:val="18"/>
              </w:rPr>
              <w:t>Referenční cíl reprezentuje žádoucí trend v oblasti zvyšování kvality bydlení – hodnotí vybavení území veřejnou občanskou vybaveností (zdravotnictví, školství, veřejná správa, municipality apod.)</w:t>
            </w:r>
          </w:p>
          <w:p w14:paraId="60B96CC6" w14:textId="77777777" w:rsidR="009B13BF" w:rsidRPr="00111F34" w:rsidRDefault="009B13BF" w:rsidP="009B13BF">
            <w:pPr>
              <w:spacing w:before="40" w:after="40"/>
              <w:jc w:val="left"/>
              <w:rPr>
                <w:rFonts w:cs="Arial"/>
                <w:sz w:val="18"/>
                <w:szCs w:val="18"/>
              </w:rPr>
            </w:pPr>
          </w:p>
          <w:p w14:paraId="448EC72A" w14:textId="77777777" w:rsidR="009B13BF" w:rsidRPr="00111F34" w:rsidRDefault="009B13BF" w:rsidP="009B13BF">
            <w:pPr>
              <w:spacing w:before="40" w:after="40"/>
              <w:jc w:val="left"/>
              <w:rPr>
                <w:rFonts w:cs="Arial"/>
                <w:sz w:val="18"/>
                <w:szCs w:val="18"/>
              </w:rPr>
            </w:pPr>
            <w:r w:rsidRPr="00111F34">
              <w:rPr>
                <w:rFonts w:cs="Arial"/>
                <w:sz w:val="18"/>
                <w:szCs w:val="18"/>
              </w:rPr>
              <w:t xml:space="preserve">Referenční cíl byl stanoven na základě analýzy stavu, problémů a vývojových trendů sledovaných témat udržitelného rozvoje a cílů v oblasti udržitelného rozvoje přijatých následujícími strategickými dokumenty na vnitrostátní úrovni: </w:t>
            </w:r>
          </w:p>
          <w:p w14:paraId="347B6AEE" w14:textId="77777777" w:rsidR="009B13BF" w:rsidRPr="00111F34" w:rsidRDefault="009B13BF" w:rsidP="009B13BF">
            <w:pPr>
              <w:spacing w:before="40" w:after="40"/>
              <w:jc w:val="left"/>
              <w:rPr>
                <w:rFonts w:cs="Arial"/>
                <w:sz w:val="18"/>
                <w:szCs w:val="18"/>
              </w:rPr>
            </w:pPr>
            <w:r w:rsidRPr="00111F34">
              <w:rPr>
                <w:rFonts w:cs="Arial"/>
                <w:sz w:val="18"/>
                <w:szCs w:val="18"/>
              </w:rPr>
              <w:t>ČR 2030, SRR, ZÚR Praha, Strategický plán hl. města Prahy.</w:t>
            </w:r>
          </w:p>
        </w:tc>
        <w:tc>
          <w:tcPr>
            <w:tcW w:w="1994" w:type="pct"/>
            <w:shd w:val="clear" w:color="auto" w:fill="auto"/>
          </w:tcPr>
          <w:p w14:paraId="7DC1E9AD" w14:textId="77777777" w:rsidR="009B13BF" w:rsidRPr="00111F34" w:rsidRDefault="009B13BF" w:rsidP="009B13BF">
            <w:pPr>
              <w:spacing w:before="40" w:after="40"/>
              <w:jc w:val="left"/>
              <w:rPr>
                <w:rFonts w:cs="Arial"/>
                <w:sz w:val="18"/>
                <w:szCs w:val="18"/>
              </w:rPr>
            </w:pPr>
            <w:r w:rsidRPr="00111F34">
              <w:rPr>
                <w:rFonts w:cs="Arial"/>
                <w:sz w:val="18"/>
                <w:szCs w:val="18"/>
              </w:rPr>
              <w:t>+2 vznik ploch veřejné občanské vybavenosti v dosahu ploch bydlení nad cca 2 ha</w:t>
            </w:r>
          </w:p>
          <w:p w14:paraId="132E7B0D" w14:textId="77777777" w:rsidR="009B13BF" w:rsidRPr="00111F34" w:rsidRDefault="009B13BF" w:rsidP="009B13BF">
            <w:pPr>
              <w:spacing w:before="40" w:after="40"/>
              <w:jc w:val="left"/>
              <w:rPr>
                <w:rFonts w:cs="Arial"/>
                <w:sz w:val="18"/>
                <w:szCs w:val="18"/>
              </w:rPr>
            </w:pPr>
            <w:r w:rsidRPr="00111F34">
              <w:rPr>
                <w:rFonts w:cs="Arial"/>
                <w:sz w:val="18"/>
                <w:szCs w:val="18"/>
              </w:rPr>
              <w:t>+1 vznik ploch veřejné občanské vybavenosti v dosahu ploch bydlení do cca 2 ha</w:t>
            </w:r>
          </w:p>
          <w:p w14:paraId="79335618" w14:textId="77777777" w:rsidR="009B13BF" w:rsidRPr="00111F34" w:rsidRDefault="009B13BF" w:rsidP="009B13BF">
            <w:pPr>
              <w:spacing w:before="40" w:after="40"/>
              <w:jc w:val="left"/>
              <w:rPr>
                <w:rFonts w:cs="Arial"/>
                <w:sz w:val="18"/>
                <w:szCs w:val="18"/>
              </w:rPr>
            </w:pPr>
            <w:r w:rsidRPr="00111F34">
              <w:rPr>
                <w:rFonts w:cs="Arial"/>
                <w:sz w:val="18"/>
                <w:szCs w:val="18"/>
              </w:rPr>
              <w:t>-1 úbytek ploch veřejné občanské vybavenosti v dosahu ploch bydlení do cca 2 ha</w:t>
            </w:r>
          </w:p>
          <w:p w14:paraId="417AD5A6" w14:textId="77777777" w:rsidR="009B13BF" w:rsidRPr="00111F34" w:rsidRDefault="009B13BF" w:rsidP="009B13BF">
            <w:pPr>
              <w:spacing w:before="40" w:after="40"/>
              <w:jc w:val="left"/>
              <w:rPr>
                <w:rFonts w:cs="Arial"/>
                <w:sz w:val="18"/>
                <w:szCs w:val="18"/>
              </w:rPr>
            </w:pPr>
            <w:r w:rsidRPr="00111F34">
              <w:rPr>
                <w:rFonts w:cs="Arial"/>
                <w:sz w:val="18"/>
                <w:szCs w:val="18"/>
              </w:rPr>
              <w:t>-2 úbytek ploch veřejné občanské vybavenosti v dosahu ploch bydlení nad cca 2 ha</w:t>
            </w:r>
          </w:p>
        </w:tc>
      </w:tr>
      <w:tr w:rsidR="009B13BF" w:rsidRPr="00111F34" w14:paraId="376E5145" w14:textId="77777777" w:rsidTr="009B13BF">
        <w:trPr>
          <w:trHeight w:val="450"/>
          <w:jc w:val="center"/>
        </w:trPr>
        <w:tc>
          <w:tcPr>
            <w:tcW w:w="1012" w:type="pct"/>
            <w:shd w:val="clear" w:color="auto" w:fill="auto"/>
          </w:tcPr>
          <w:p w14:paraId="135A8008" w14:textId="77777777" w:rsidR="009B13BF" w:rsidRPr="00111F34" w:rsidRDefault="009B13BF" w:rsidP="009B13BF">
            <w:pPr>
              <w:spacing w:before="40" w:after="40"/>
              <w:jc w:val="left"/>
              <w:rPr>
                <w:rFonts w:cs="Arial"/>
                <w:sz w:val="18"/>
                <w:szCs w:val="18"/>
              </w:rPr>
            </w:pPr>
            <w:r w:rsidRPr="00111F34">
              <w:rPr>
                <w:rFonts w:cs="Arial"/>
                <w:sz w:val="18"/>
                <w:szCs w:val="18"/>
              </w:rPr>
              <w:t>1.5 Pomocí technických a územně plánovacích opatření zlepšit podmínky bydlení a bezpečnost obyvatel</w:t>
            </w:r>
          </w:p>
        </w:tc>
        <w:tc>
          <w:tcPr>
            <w:tcW w:w="1994" w:type="pct"/>
            <w:shd w:val="clear" w:color="auto" w:fill="auto"/>
          </w:tcPr>
          <w:p w14:paraId="11EE7AC4" w14:textId="38712DFE" w:rsidR="009B13BF" w:rsidRPr="00111F34" w:rsidRDefault="009B13BF" w:rsidP="009B13BF">
            <w:pPr>
              <w:spacing w:before="40" w:after="40"/>
              <w:jc w:val="left"/>
              <w:rPr>
                <w:rFonts w:cs="Arial"/>
                <w:sz w:val="18"/>
                <w:szCs w:val="18"/>
              </w:rPr>
            </w:pPr>
            <w:r w:rsidRPr="00111F34">
              <w:rPr>
                <w:rFonts w:cs="Arial"/>
                <w:sz w:val="18"/>
                <w:szCs w:val="18"/>
              </w:rPr>
              <w:t xml:space="preserve">Referenční cíl reprezentuje žádoucí trend v oblasti zvyšování kvality bydlení a bezpečnosti </w:t>
            </w:r>
            <w:r w:rsidR="00F65F92" w:rsidRPr="00111F34">
              <w:rPr>
                <w:rFonts w:cs="Arial"/>
                <w:sz w:val="18"/>
                <w:szCs w:val="18"/>
              </w:rPr>
              <w:t>obyvatel – hodnotí</w:t>
            </w:r>
            <w:r w:rsidRPr="00111F34">
              <w:rPr>
                <w:rFonts w:cs="Arial"/>
                <w:sz w:val="18"/>
                <w:szCs w:val="18"/>
              </w:rPr>
              <w:t xml:space="preserve"> vybavení území opatřeními pro zvyšování kvality bydlení a bezpečnosti obyvatel – PPO, protihluková opatření, dopravní opatření, obchvaty, křižovatky, ochranná bezpečnostní a hygienická pásma, zásobování vodou a elektrickou energií, ČOV, odpadové hospodářství.</w:t>
            </w:r>
          </w:p>
          <w:p w14:paraId="04E86C1A" w14:textId="77777777" w:rsidR="009B13BF" w:rsidRPr="00111F34" w:rsidRDefault="009B13BF" w:rsidP="009B13BF">
            <w:pPr>
              <w:spacing w:before="40" w:after="40"/>
              <w:jc w:val="left"/>
              <w:rPr>
                <w:rFonts w:cs="Arial"/>
                <w:sz w:val="18"/>
                <w:szCs w:val="18"/>
              </w:rPr>
            </w:pPr>
          </w:p>
          <w:p w14:paraId="6387CC14" w14:textId="77777777" w:rsidR="009B13BF" w:rsidRPr="00111F34" w:rsidRDefault="009B13BF" w:rsidP="009B13BF">
            <w:pPr>
              <w:spacing w:before="40" w:after="40"/>
              <w:jc w:val="left"/>
              <w:rPr>
                <w:rFonts w:cs="Arial"/>
                <w:sz w:val="18"/>
                <w:szCs w:val="18"/>
              </w:rPr>
            </w:pPr>
            <w:r w:rsidRPr="00111F34">
              <w:rPr>
                <w:rFonts w:cs="Arial"/>
                <w:sz w:val="18"/>
                <w:szCs w:val="18"/>
              </w:rPr>
              <w:t xml:space="preserve">Referenční cíl byl stanoven na základě analýzy stavu, problémů a vývojových trendů sledovaných témat udržitelného rozvoje a cílů v oblasti udržitelného rozvoje přijatých následujícími strategickými dokumenty na vnitrostátní úrovni: </w:t>
            </w:r>
          </w:p>
          <w:p w14:paraId="6BAD02AA" w14:textId="77777777" w:rsidR="009B13BF" w:rsidRPr="00111F34" w:rsidRDefault="009B13BF" w:rsidP="009B13BF">
            <w:pPr>
              <w:spacing w:before="40" w:after="40"/>
              <w:jc w:val="left"/>
              <w:rPr>
                <w:rFonts w:cs="Arial"/>
                <w:sz w:val="18"/>
                <w:szCs w:val="18"/>
              </w:rPr>
            </w:pPr>
            <w:r w:rsidRPr="00111F34">
              <w:rPr>
                <w:rFonts w:cs="Arial"/>
                <w:sz w:val="18"/>
                <w:szCs w:val="18"/>
              </w:rPr>
              <w:t>NAS, PÚR, ZÚR Prahy, Strategický plán hl. města Prahy.</w:t>
            </w:r>
          </w:p>
        </w:tc>
        <w:tc>
          <w:tcPr>
            <w:tcW w:w="1994" w:type="pct"/>
            <w:shd w:val="clear" w:color="auto" w:fill="auto"/>
          </w:tcPr>
          <w:p w14:paraId="674C2712" w14:textId="77777777" w:rsidR="009B13BF" w:rsidRPr="00111F34" w:rsidRDefault="009B13BF" w:rsidP="009B13BF">
            <w:pPr>
              <w:spacing w:before="40" w:after="40"/>
              <w:jc w:val="left"/>
              <w:rPr>
                <w:rFonts w:cs="Arial"/>
                <w:sz w:val="18"/>
                <w:szCs w:val="18"/>
              </w:rPr>
            </w:pPr>
            <w:r w:rsidRPr="00111F34">
              <w:rPr>
                <w:rFonts w:cs="Arial"/>
                <w:sz w:val="18"/>
                <w:szCs w:val="18"/>
              </w:rPr>
              <w:t>+2 vymezení ploch, koridorů a opatření pro zvyšování bezpečnosti obyvatel a zlepšení obslužnosti území s nadmístním významem</w:t>
            </w:r>
          </w:p>
          <w:p w14:paraId="6F83CC5B" w14:textId="77777777" w:rsidR="009B13BF" w:rsidRPr="00111F34" w:rsidRDefault="009B13BF" w:rsidP="009B13BF">
            <w:pPr>
              <w:spacing w:before="40" w:after="40"/>
              <w:jc w:val="left"/>
              <w:rPr>
                <w:rFonts w:cs="Arial"/>
                <w:sz w:val="18"/>
                <w:szCs w:val="18"/>
              </w:rPr>
            </w:pPr>
            <w:r w:rsidRPr="00111F34">
              <w:rPr>
                <w:rFonts w:cs="Arial"/>
                <w:sz w:val="18"/>
                <w:szCs w:val="18"/>
              </w:rPr>
              <w:t>+1 vymezení ploch, koridorů a opatření pro zvyšování bezpečnosti obyvatel a zlepšení obslužnosti území s místním významem</w:t>
            </w:r>
          </w:p>
          <w:p w14:paraId="2E43B1B3" w14:textId="18718D59" w:rsidR="009B13BF" w:rsidRPr="00111F34" w:rsidRDefault="009B13BF" w:rsidP="009B13BF">
            <w:pPr>
              <w:spacing w:before="40" w:after="40"/>
              <w:jc w:val="left"/>
              <w:rPr>
                <w:rFonts w:cs="Arial"/>
                <w:sz w:val="18"/>
                <w:szCs w:val="18"/>
              </w:rPr>
            </w:pPr>
            <w:r w:rsidRPr="00111F34">
              <w:rPr>
                <w:rFonts w:cs="Arial"/>
                <w:sz w:val="18"/>
                <w:szCs w:val="18"/>
              </w:rPr>
              <w:t xml:space="preserve">-1 vymezení zastavitelných bez odpovídajícího vybavení </w:t>
            </w:r>
            <w:r w:rsidR="00F65F92" w:rsidRPr="00111F34">
              <w:rPr>
                <w:rFonts w:cs="Arial"/>
                <w:sz w:val="18"/>
                <w:szCs w:val="18"/>
              </w:rPr>
              <w:t>dopravní,</w:t>
            </w:r>
            <w:r w:rsidRPr="00111F34">
              <w:rPr>
                <w:rFonts w:cs="Arial"/>
                <w:sz w:val="18"/>
                <w:szCs w:val="18"/>
              </w:rPr>
              <w:t xml:space="preserve"> resp. technickou vybaveností a obslužností s místním významem do cca 5 ha </w:t>
            </w:r>
          </w:p>
          <w:p w14:paraId="7604F66B" w14:textId="41D402F6" w:rsidR="009B13BF" w:rsidRPr="00111F34" w:rsidRDefault="009B13BF" w:rsidP="009B13BF">
            <w:pPr>
              <w:spacing w:before="40" w:after="40"/>
              <w:jc w:val="left"/>
              <w:rPr>
                <w:rFonts w:cs="Arial"/>
                <w:sz w:val="18"/>
                <w:szCs w:val="18"/>
              </w:rPr>
            </w:pPr>
            <w:r w:rsidRPr="00111F34">
              <w:rPr>
                <w:rFonts w:cs="Arial"/>
                <w:sz w:val="18"/>
                <w:szCs w:val="18"/>
              </w:rPr>
              <w:t xml:space="preserve">-2 vymezení zastavitelných ploch bez odpovídajícího vybavení </w:t>
            </w:r>
            <w:r w:rsidR="00F65F92" w:rsidRPr="00111F34">
              <w:rPr>
                <w:rFonts w:cs="Arial"/>
                <w:sz w:val="18"/>
                <w:szCs w:val="18"/>
              </w:rPr>
              <w:t>dopravní,</w:t>
            </w:r>
            <w:r w:rsidRPr="00111F34">
              <w:rPr>
                <w:rFonts w:cs="Arial"/>
                <w:sz w:val="18"/>
                <w:szCs w:val="18"/>
              </w:rPr>
              <w:t xml:space="preserve"> resp. technickou vybaveností a obslužností s nadmístním významem nad cca 5 ha</w:t>
            </w:r>
          </w:p>
        </w:tc>
      </w:tr>
      <w:tr w:rsidR="009B13BF" w:rsidRPr="00111F34" w14:paraId="244D4537" w14:textId="77777777" w:rsidTr="009B13BF">
        <w:trPr>
          <w:trHeight w:val="225"/>
          <w:jc w:val="center"/>
        </w:trPr>
        <w:tc>
          <w:tcPr>
            <w:tcW w:w="1012" w:type="pct"/>
            <w:shd w:val="clear" w:color="auto" w:fill="auto"/>
          </w:tcPr>
          <w:p w14:paraId="1E309B36" w14:textId="77777777" w:rsidR="009B13BF" w:rsidRPr="00111F34" w:rsidRDefault="009B13BF" w:rsidP="009B13BF">
            <w:pPr>
              <w:spacing w:before="40" w:after="40"/>
              <w:jc w:val="left"/>
              <w:rPr>
                <w:rFonts w:cs="Arial"/>
                <w:sz w:val="18"/>
                <w:szCs w:val="18"/>
              </w:rPr>
            </w:pPr>
            <w:r w:rsidRPr="00111F34">
              <w:rPr>
                <w:rFonts w:cs="Arial"/>
                <w:sz w:val="18"/>
                <w:szCs w:val="18"/>
              </w:rPr>
              <w:t>2.1 Racionálně využívat možnosti rozvoje stávajícího urbanizovaného území při respektování jeho hodnot</w:t>
            </w:r>
          </w:p>
        </w:tc>
        <w:tc>
          <w:tcPr>
            <w:tcW w:w="1994" w:type="pct"/>
            <w:shd w:val="clear" w:color="auto" w:fill="auto"/>
          </w:tcPr>
          <w:p w14:paraId="49BF239C" w14:textId="77777777" w:rsidR="009B13BF" w:rsidRPr="00111F34" w:rsidRDefault="009B13BF" w:rsidP="009B13BF">
            <w:pPr>
              <w:spacing w:before="40" w:after="40"/>
              <w:jc w:val="left"/>
              <w:rPr>
                <w:rFonts w:cs="Arial"/>
                <w:sz w:val="18"/>
                <w:szCs w:val="18"/>
              </w:rPr>
            </w:pPr>
            <w:r w:rsidRPr="00111F34">
              <w:rPr>
                <w:rFonts w:cs="Arial"/>
                <w:sz w:val="18"/>
                <w:szCs w:val="18"/>
              </w:rPr>
              <w:t xml:space="preserve">Referenční cíl reprezentuje žádoucí trend v transformaci a zintenzivňování využití stávajícího zastavěného území – hodnotí se využití ploch uvnitř zastavěného území a návaznost funkcí – bydlení vs. plochy průmyslu a energetiky, kapacitní dopravní </w:t>
            </w:r>
            <w:r w:rsidRPr="00111F34">
              <w:rPr>
                <w:rFonts w:cs="Arial"/>
                <w:sz w:val="18"/>
                <w:szCs w:val="18"/>
              </w:rPr>
              <w:lastRenderedPageBreak/>
              <w:t xml:space="preserve">koridory generující nadlimitní hlukovou zátěž apod. </w:t>
            </w:r>
          </w:p>
          <w:p w14:paraId="44C5EBF7" w14:textId="77777777" w:rsidR="009B13BF" w:rsidRPr="00111F34" w:rsidRDefault="009B13BF" w:rsidP="009B13BF">
            <w:pPr>
              <w:spacing w:before="40" w:after="40"/>
              <w:jc w:val="left"/>
              <w:rPr>
                <w:rFonts w:cs="Arial"/>
                <w:sz w:val="18"/>
                <w:szCs w:val="18"/>
              </w:rPr>
            </w:pPr>
          </w:p>
          <w:p w14:paraId="77FA49D4" w14:textId="77777777" w:rsidR="009B13BF" w:rsidRPr="00111F34" w:rsidRDefault="009B13BF" w:rsidP="009B13BF">
            <w:pPr>
              <w:spacing w:before="40" w:after="40"/>
              <w:jc w:val="left"/>
              <w:rPr>
                <w:rFonts w:cs="Arial"/>
                <w:sz w:val="18"/>
                <w:szCs w:val="18"/>
              </w:rPr>
            </w:pPr>
            <w:r w:rsidRPr="00111F34">
              <w:rPr>
                <w:rFonts w:cs="Arial"/>
                <w:sz w:val="18"/>
                <w:szCs w:val="18"/>
              </w:rPr>
              <w:t xml:space="preserve">Referenční cíl byl stanoven na základě analýzy stavu, problémů a vývojových trendů sledovaných témat udržitelného rozvoje a cílů v oblasti udržitelného rozvoje přijatých následujícími strategickými dokumenty na vnitrostátní úrovni: </w:t>
            </w:r>
          </w:p>
          <w:p w14:paraId="57EF47D2" w14:textId="77777777" w:rsidR="009B13BF" w:rsidRPr="00111F34" w:rsidRDefault="009B13BF" w:rsidP="009B13BF">
            <w:pPr>
              <w:spacing w:before="40" w:after="40"/>
              <w:jc w:val="left"/>
              <w:rPr>
                <w:rFonts w:cs="Arial"/>
                <w:sz w:val="18"/>
                <w:szCs w:val="18"/>
              </w:rPr>
            </w:pPr>
            <w:r w:rsidRPr="00111F34">
              <w:rPr>
                <w:rFonts w:cs="Arial"/>
                <w:sz w:val="18"/>
                <w:szCs w:val="18"/>
              </w:rPr>
              <w:t>NAS, PÚR, ZÚR Prahy, ČR 2030, Strategický plán hl. města Prahy.</w:t>
            </w:r>
          </w:p>
        </w:tc>
        <w:tc>
          <w:tcPr>
            <w:tcW w:w="1994" w:type="pct"/>
            <w:shd w:val="clear" w:color="auto" w:fill="auto"/>
          </w:tcPr>
          <w:p w14:paraId="11A31C3B" w14:textId="10E1A88F" w:rsidR="009B13BF" w:rsidRPr="00111F34" w:rsidRDefault="009B13BF" w:rsidP="009B13BF">
            <w:pPr>
              <w:spacing w:before="40" w:after="40"/>
              <w:jc w:val="left"/>
              <w:rPr>
                <w:rFonts w:cs="Arial"/>
                <w:sz w:val="18"/>
                <w:szCs w:val="18"/>
              </w:rPr>
            </w:pPr>
            <w:r w:rsidRPr="00111F34">
              <w:rPr>
                <w:rFonts w:cs="Arial"/>
                <w:sz w:val="18"/>
                <w:szCs w:val="18"/>
              </w:rPr>
              <w:lastRenderedPageBreak/>
              <w:t xml:space="preserve">+2 využití ploch přestavby </w:t>
            </w:r>
            <w:r w:rsidR="00F65F92" w:rsidRPr="00111F34">
              <w:rPr>
                <w:rFonts w:cs="Arial"/>
                <w:sz w:val="18"/>
                <w:szCs w:val="18"/>
              </w:rPr>
              <w:t>a nevyužitých</w:t>
            </w:r>
            <w:r w:rsidRPr="00111F34">
              <w:rPr>
                <w:rFonts w:cs="Arial"/>
                <w:sz w:val="18"/>
                <w:szCs w:val="18"/>
              </w:rPr>
              <w:t xml:space="preserve"> ploch v zastavěném území mimo plochy zeleně pro nové funkce v souladu s navazujícími plochami v rozsahu nad cca 5 ha</w:t>
            </w:r>
          </w:p>
          <w:p w14:paraId="397ECE36" w14:textId="77777777" w:rsidR="009B13BF" w:rsidRPr="00111F34" w:rsidRDefault="009B13BF" w:rsidP="009B13BF">
            <w:pPr>
              <w:spacing w:before="40" w:after="40"/>
              <w:jc w:val="left"/>
              <w:rPr>
                <w:rFonts w:cs="Arial"/>
                <w:sz w:val="18"/>
                <w:szCs w:val="18"/>
              </w:rPr>
            </w:pPr>
            <w:r w:rsidRPr="00111F34">
              <w:rPr>
                <w:rFonts w:cs="Arial"/>
                <w:sz w:val="18"/>
                <w:szCs w:val="18"/>
              </w:rPr>
              <w:t xml:space="preserve">+1 využití ploch přestavby a nevyužitých ploch v zastavěném území mimo plochy zeleně pro </w:t>
            </w:r>
            <w:r w:rsidRPr="00111F34">
              <w:rPr>
                <w:rFonts w:cs="Arial"/>
                <w:sz w:val="18"/>
                <w:szCs w:val="18"/>
              </w:rPr>
              <w:lastRenderedPageBreak/>
              <w:t>nové funkce v souladu s navazujícími plochami v rozsahu do cca 5 ha</w:t>
            </w:r>
          </w:p>
          <w:p w14:paraId="50B9D218" w14:textId="77777777" w:rsidR="009B13BF" w:rsidRPr="00111F34" w:rsidRDefault="009B13BF" w:rsidP="009B13BF">
            <w:pPr>
              <w:spacing w:before="40" w:after="40"/>
              <w:jc w:val="left"/>
              <w:rPr>
                <w:rFonts w:cs="Arial"/>
                <w:sz w:val="18"/>
                <w:szCs w:val="18"/>
              </w:rPr>
            </w:pPr>
            <w:r w:rsidRPr="00111F34">
              <w:rPr>
                <w:rFonts w:cs="Arial"/>
                <w:sz w:val="18"/>
                <w:szCs w:val="18"/>
              </w:rPr>
              <w:t>-1 využití ploch přestavby pro nové funkce v rozporu s navazujícími plochami v rozsahu do cca 5 ha</w:t>
            </w:r>
          </w:p>
          <w:p w14:paraId="03BDD2D1" w14:textId="77777777" w:rsidR="009B13BF" w:rsidRPr="00111F34" w:rsidRDefault="009B13BF" w:rsidP="009B13BF">
            <w:pPr>
              <w:spacing w:before="40" w:after="40"/>
              <w:jc w:val="left"/>
              <w:rPr>
                <w:rFonts w:cs="Arial"/>
                <w:sz w:val="18"/>
                <w:szCs w:val="18"/>
              </w:rPr>
            </w:pPr>
            <w:r w:rsidRPr="00111F34">
              <w:rPr>
                <w:rFonts w:cs="Arial"/>
                <w:sz w:val="18"/>
                <w:szCs w:val="18"/>
              </w:rPr>
              <w:t>-2 využití ploch přestavby pro nové funkce v rozporu s navazujícími plochami v rozsahu nad cca 5 ha</w:t>
            </w:r>
          </w:p>
        </w:tc>
      </w:tr>
      <w:tr w:rsidR="009B13BF" w:rsidRPr="00111F34" w14:paraId="4C47E4EA" w14:textId="77777777" w:rsidTr="009B13BF">
        <w:trPr>
          <w:trHeight w:val="450"/>
          <w:jc w:val="center"/>
        </w:trPr>
        <w:tc>
          <w:tcPr>
            <w:tcW w:w="1012" w:type="pct"/>
            <w:shd w:val="clear" w:color="auto" w:fill="auto"/>
          </w:tcPr>
          <w:p w14:paraId="436505AE" w14:textId="77777777" w:rsidR="009B13BF" w:rsidRPr="00111F34" w:rsidRDefault="009B13BF" w:rsidP="009B13BF">
            <w:pPr>
              <w:spacing w:before="40" w:after="40"/>
              <w:jc w:val="left"/>
              <w:rPr>
                <w:rFonts w:cs="Arial"/>
                <w:sz w:val="18"/>
                <w:szCs w:val="18"/>
              </w:rPr>
            </w:pPr>
            <w:r w:rsidRPr="00111F34">
              <w:rPr>
                <w:rFonts w:cs="Arial"/>
                <w:sz w:val="18"/>
                <w:szCs w:val="18"/>
              </w:rPr>
              <w:t>2.2 Zabezpečit území pomocí rozvoje a optimalizace technické a dopravní infrastruktury při respektování environmentálního pilíře</w:t>
            </w:r>
          </w:p>
        </w:tc>
        <w:tc>
          <w:tcPr>
            <w:tcW w:w="1994" w:type="pct"/>
            <w:shd w:val="clear" w:color="auto" w:fill="auto"/>
          </w:tcPr>
          <w:p w14:paraId="1597AE9E" w14:textId="77777777" w:rsidR="009B13BF" w:rsidRPr="00111F34" w:rsidRDefault="009B13BF" w:rsidP="009B13BF">
            <w:pPr>
              <w:spacing w:before="40" w:after="40"/>
              <w:jc w:val="left"/>
              <w:rPr>
                <w:rFonts w:cs="Arial"/>
                <w:sz w:val="18"/>
                <w:szCs w:val="18"/>
              </w:rPr>
            </w:pPr>
            <w:r w:rsidRPr="00111F34">
              <w:rPr>
                <w:rFonts w:cs="Arial"/>
                <w:sz w:val="18"/>
                <w:szCs w:val="18"/>
              </w:rPr>
              <w:t>Referenční cíl reprezentuje žádoucí trend v oblasti vybavení území moderní technickou a dopravní infrastrukturou (dopravní obslužnost, technická vybavenost – napojení na vodovody, kanalizaci, ČOV, odpadové hospodářství apod.).</w:t>
            </w:r>
          </w:p>
          <w:p w14:paraId="7712A508" w14:textId="77777777" w:rsidR="009B13BF" w:rsidRPr="00111F34" w:rsidRDefault="009B13BF" w:rsidP="009B13BF">
            <w:pPr>
              <w:spacing w:before="40" w:after="40"/>
              <w:jc w:val="left"/>
              <w:rPr>
                <w:rFonts w:cs="Arial"/>
                <w:sz w:val="18"/>
                <w:szCs w:val="18"/>
              </w:rPr>
            </w:pPr>
          </w:p>
          <w:p w14:paraId="2152289B" w14:textId="77777777" w:rsidR="009B13BF" w:rsidRPr="00111F34" w:rsidRDefault="009B13BF" w:rsidP="009B13BF">
            <w:pPr>
              <w:spacing w:before="40" w:after="40"/>
              <w:jc w:val="left"/>
              <w:rPr>
                <w:rFonts w:cs="Arial"/>
                <w:sz w:val="18"/>
                <w:szCs w:val="18"/>
              </w:rPr>
            </w:pPr>
            <w:r w:rsidRPr="00111F34">
              <w:rPr>
                <w:rFonts w:cs="Arial"/>
                <w:sz w:val="18"/>
                <w:szCs w:val="18"/>
              </w:rPr>
              <w:t xml:space="preserve">Referenční cíl byl stanoven na základě analýzy stavu, problémů a vývojových trendů sledovaných témat udržitelného rozvoje a cílů v oblasti udržitelného rozvoje přijatých následujícími strategickými dokumenty na vnitrostátní úrovni: </w:t>
            </w:r>
          </w:p>
          <w:p w14:paraId="67EC9028" w14:textId="77777777" w:rsidR="009B13BF" w:rsidRPr="00111F34" w:rsidRDefault="009B13BF" w:rsidP="009B13BF">
            <w:pPr>
              <w:spacing w:before="40" w:after="40"/>
              <w:jc w:val="left"/>
              <w:rPr>
                <w:rFonts w:cs="Arial"/>
                <w:sz w:val="18"/>
                <w:szCs w:val="18"/>
              </w:rPr>
            </w:pPr>
            <w:r w:rsidRPr="00111F34">
              <w:rPr>
                <w:rFonts w:cs="Arial"/>
                <w:sz w:val="18"/>
                <w:szCs w:val="18"/>
              </w:rPr>
              <w:t>NPSE, NEHAP, NAS, SRR, ZÚR Prahy, SOPK Strategický plán hl. města Prahy, Plán udržitelné mobility Prahy a okolí.</w:t>
            </w:r>
          </w:p>
        </w:tc>
        <w:tc>
          <w:tcPr>
            <w:tcW w:w="1994" w:type="pct"/>
            <w:shd w:val="clear" w:color="auto" w:fill="auto"/>
          </w:tcPr>
          <w:p w14:paraId="7963442A" w14:textId="77777777" w:rsidR="009B13BF" w:rsidRPr="00111F34" w:rsidRDefault="009B13BF" w:rsidP="009B13BF">
            <w:pPr>
              <w:spacing w:before="40" w:after="40"/>
              <w:jc w:val="left"/>
              <w:rPr>
                <w:rFonts w:cs="Arial"/>
                <w:sz w:val="18"/>
                <w:szCs w:val="18"/>
              </w:rPr>
            </w:pPr>
            <w:r w:rsidRPr="00111F34">
              <w:rPr>
                <w:rFonts w:cs="Arial"/>
                <w:sz w:val="18"/>
                <w:szCs w:val="18"/>
              </w:rPr>
              <w:t>+2 vymezení nových technických nebo dopravních opatření zlepšujících environmentální charakteristiky území s nadmístním významem</w:t>
            </w:r>
          </w:p>
          <w:p w14:paraId="703B0633" w14:textId="77777777" w:rsidR="009B13BF" w:rsidRPr="00111F34" w:rsidRDefault="009B13BF" w:rsidP="009B13BF">
            <w:pPr>
              <w:spacing w:before="40" w:after="40"/>
              <w:jc w:val="left"/>
              <w:rPr>
                <w:rFonts w:cs="Arial"/>
                <w:sz w:val="18"/>
                <w:szCs w:val="18"/>
              </w:rPr>
            </w:pPr>
            <w:r w:rsidRPr="00111F34">
              <w:rPr>
                <w:rFonts w:cs="Arial"/>
                <w:sz w:val="18"/>
                <w:szCs w:val="18"/>
              </w:rPr>
              <w:t>+1 vymezení nových technických nebo dopravních opatření zlepšujících environmentální charakteristiky území s místním významem</w:t>
            </w:r>
          </w:p>
          <w:p w14:paraId="2369D7FA" w14:textId="34956BE4" w:rsidR="009B13BF" w:rsidRPr="00111F34" w:rsidRDefault="009B13BF" w:rsidP="009B13BF">
            <w:pPr>
              <w:spacing w:before="40" w:after="40"/>
              <w:jc w:val="left"/>
              <w:rPr>
                <w:rFonts w:cs="Arial"/>
                <w:sz w:val="18"/>
                <w:szCs w:val="18"/>
              </w:rPr>
            </w:pPr>
            <w:r w:rsidRPr="00111F34">
              <w:rPr>
                <w:rFonts w:cs="Arial"/>
                <w:sz w:val="18"/>
                <w:szCs w:val="18"/>
              </w:rPr>
              <w:t xml:space="preserve">-1 vymezení nových technických nebo dopravních opatření ve střetu environmentálními charakteristikami území s místním významem (fotovoltaika na orné půdě, skládky, dopravní infrastruktura ve střetu s rezidenčními plochami z hlediska </w:t>
            </w:r>
            <w:r w:rsidR="00F65F92" w:rsidRPr="00111F34">
              <w:rPr>
                <w:rFonts w:cs="Arial"/>
                <w:sz w:val="18"/>
                <w:szCs w:val="18"/>
              </w:rPr>
              <w:t>imisního,</w:t>
            </w:r>
            <w:r w:rsidRPr="00111F34">
              <w:rPr>
                <w:rFonts w:cs="Arial"/>
                <w:sz w:val="18"/>
                <w:szCs w:val="18"/>
              </w:rPr>
              <w:t xml:space="preserve"> resp. hlukového zatížení, sítě nadzemního vedení ve střetu s krajinným rázem, biotickou složkou krajiny apod.)</w:t>
            </w:r>
          </w:p>
          <w:p w14:paraId="2E8F58A1" w14:textId="7CF69546" w:rsidR="009B13BF" w:rsidRPr="00111F34" w:rsidRDefault="009B13BF" w:rsidP="009B13BF">
            <w:pPr>
              <w:spacing w:before="40" w:after="40"/>
              <w:jc w:val="left"/>
              <w:rPr>
                <w:rFonts w:cs="Arial"/>
                <w:sz w:val="18"/>
                <w:szCs w:val="18"/>
              </w:rPr>
            </w:pPr>
            <w:r w:rsidRPr="00111F34">
              <w:rPr>
                <w:rFonts w:cs="Arial"/>
                <w:sz w:val="18"/>
                <w:szCs w:val="18"/>
              </w:rPr>
              <w:t xml:space="preserve">-2 vymezení nových technických nebo dopravních opatření ve střetu environmentálními charakteristikami území s nadmístním významem (fotovoltaika na orné půdě, skládky, dopravní infrastruktura ve střetu s rezidenčními plochami z hlediska </w:t>
            </w:r>
            <w:r w:rsidR="00F65F92" w:rsidRPr="00111F34">
              <w:rPr>
                <w:rFonts w:cs="Arial"/>
                <w:sz w:val="18"/>
                <w:szCs w:val="18"/>
              </w:rPr>
              <w:t>imisního,</w:t>
            </w:r>
            <w:r w:rsidRPr="00111F34">
              <w:rPr>
                <w:rFonts w:cs="Arial"/>
                <w:sz w:val="18"/>
                <w:szCs w:val="18"/>
              </w:rPr>
              <w:t xml:space="preserve"> resp. hlukového zatížení, sítě nadzemního vedení ve střetu s krajinným rázem, biotickou složkou krajiny apod.)</w:t>
            </w:r>
          </w:p>
        </w:tc>
      </w:tr>
      <w:tr w:rsidR="009B13BF" w:rsidRPr="00111F34" w14:paraId="76242F43" w14:textId="77777777" w:rsidTr="009B13BF">
        <w:trPr>
          <w:trHeight w:val="450"/>
          <w:jc w:val="center"/>
        </w:trPr>
        <w:tc>
          <w:tcPr>
            <w:tcW w:w="1012" w:type="pct"/>
            <w:shd w:val="clear" w:color="auto" w:fill="auto"/>
          </w:tcPr>
          <w:p w14:paraId="7D25C955" w14:textId="77777777" w:rsidR="009B13BF" w:rsidRPr="00111F34" w:rsidRDefault="009B13BF" w:rsidP="009B13BF">
            <w:pPr>
              <w:spacing w:before="40" w:after="40"/>
              <w:jc w:val="left"/>
              <w:rPr>
                <w:rFonts w:cs="Arial"/>
                <w:sz w:val="18"/>
                <w:szCs w:val="18"/>
              </w:rPr>
            </w:pPr>
            <w:r w:rsidRPr="00111F34">
              <w:rPr>
                <w:rFonts w:cs="Arial"/>
                <w:sz w:val="18"/>
                <w:szCs w:val="18"/>
              </w:rPr>
              <w:t>2.3 Zajistit prostorové možnosti pro rozvoj podnikání a zaměstnanosti při respektování environmentálního pilíře</w:t>
            </w:r>
          </w:p>
        </w:tc>
        <w:tc>
          <w:tcPr>
            <w:tcW w:w="1994" w:type="pct"/>
            <w:shd w:val="clear" w:color="auto" w:fill="auto"/>
          </w:tcPr>
          <w:p w14:paraId="2DA9CA66" w14:textId="77777777" w:rsidR="009B13BF" w:rsidRPr="00111F34" w:rsidRDefault="009B13BF" w:rsidP="009B13BF">
            <w:pPr>
              <w:spacing w:before="40" w:after="40"/>
              <w:jc w:val="left"/>
              <w:rPr>
                <w:rFonts w:cs="Arial"/>
                <w:sz w:val="18"/>
                <w:szCs w:val="18"/>
              </w:rPr>
            </w:pPr>
            <w:r w:rsidRPr="00111F34">
              <w:rPr>
                <w:rFonts w:cs="Arial"/>
                <w:sz w:val="18"/>
                <w:szCs w:val="18"/>
              </w:rPr>
              <w:t>Referenční cíl reprezentuje žádoucí trend v oblasti mísení městských funkcí a rozvoje pracovních příležitostí v dostupnosti bydlení.</w:t>
            </w:r>
          </w:p>
          <w:p w14:paraId="65C682F2" w14:textId="77777777" w:rsidR="009B13BF" w:rsidRPr="00111F34" w:rsidRDefault="009B13BF" w:rsidP="009B13BF">
            <w:pPr>
              <w:spacing w:before="40" w:after="40"/>
              <w:jc w:val="left"/>
              <w:rPr>
                <w:rFonts w:cs="Arial"/>
                <w:sz w:val="18"/>
                <w:szCs w:val="18"/>
              </w:rPr>
            </w:pPr>
          </w:p>
          <w:p w14:paraId="0B9A5A3B" w14:textId="77777777" w:rsidR="009B13BF" w:rsidRPr="00111F34" w:rsidRDefault="009B13BF" w:rsidP="009B13BF">
            <w:pPr>
              <w:spacing w:before="40" w:after="40"/>
              <w:jc w:val="left"/>
              <w:rPr>
                <w:rFonts w:cs="Arial"/>
                <w:sz w:val="18"/>
                <w:szCs w:val="18"/>
              </w:rPr>
            </w:pPr>
            <w:r w:rsidRPr="00111F34">
              <w:rPr>
                <w:rFonts w:cs="Arial"/>
                <w:sz w:val="18"/>
                <w:szCs w:val="18"/>
              </w:rPr>
              <w:t xml:space="preserve">Referenční cíl byl stanoven na základě analýzy stavu, problémů a vývojových trendů sledovaných témat udržitelného rozvoje a cílů v oblasti udržitelného rozvoje přijatých následujícími strategickými dokumenty na vnitrostátní úrovni: </w:t>
            </w:r>
          </w:p>
          <w:p w14:paraId="3B843485" w14:textId="77777777" w:rsidR="009B13BF" w:rsidRPr="00111F34" w:rsidRDefault="009B13BF" w:rsidP="009B13BF">
            <w:pPr>
              <w:spacing w:before="40" w:after="40"/>
              <w:jc w:val="left"/>
              <w:rPr>
                <w:rFonts w:cs="Arial"/>
                <w:sz w:val="18"/>
                <w:szCs w:val="18"/>
              </w:rPr>
            </w:pPr>
            <w:r w:rsidRPr="00111F34">
              <w:rPr>
                <w:rFonts w:cs="Arial"/>
                <w:sz w:val="18"/>
                <w:szCs w:val="18"/>
              </w:rPr>
              <w:t>PÚR, ZÚR Prahy, SRR, Strategický plán hl. města Prahy.</w:t>
            </w:r>
          </w:p>
        </w:tc>
        <w:tc>
          <w:tcPr>
            <w:tcW w:w="1994" w:type="pct"/>
            <w:shd w:val="clear" w:color="auto" w:fill="auto"/>
          </w:tcPr>
          <w:p w14:paraId="59DF96CD" w14:textId="77777777" w:rsidR="009B13BF" w:rsidRPr="00111F34" w:rsidRDefault="009B13BF" w:rsidP="009B13BF">
            <w:pPr>
              <w:spacing w:before="40" w:after="40"/>
              <w:jc w:val="left"/>
              <w:rPr>
                <w:rFonts w:cs="Arial"/>
                <w:sz w:val="18"/>
                <w:szCs w:val="18"/>
              </w:rPr>
            </w:pPr>
            <w:r w:rsidRPr="00111F34">
              <w:rPr>
                <w:rFonts w:cs="Arial"/>
                <w:sz w:val="18"/>
                <w:szCs w:val="18"/>
              </w:rPr>
              <w:t>+2 vymezení ploch generujících environmentálně šetrné pracovní příležitosti v dosahu rezidenčních území nad cca 2 ha</w:t>
            </w:r>
          </w:p>
          <w:p w14:paraId="71A9110F" w14:textId="77777777" w:rsidR="009B13BF" w:rsidRPr="00111F34" w:rsidRDefault="009B13BF" w:rsidP="009B13BF">
            <w:pPr>
              <w:spacing w:before="40" w:after="40"/>
              <w:jc w:val="left"/>
              <w:rPr>
                <w:rFonts w:cs="Arial"/>
                <w:sz w:val="18"/>
                <w:szCs w:val="18"/>
              </w:rPr>
            </w:pPr>
            <w:r w:rsidRPr="00111F34">
              <w:rPr>
                <w:rFonts w:cs="Arial"/>
                <w:sz w:val="18"/>
                <w:szCs w:val="18"/>
              </w:rPr>
              <w:t>+1 vymezení ploch generujících environmentálně šetrné pracovní příležitosti v dosahu rezidenčních území pod cca 2 ha</w:t>
            </w:r>
          </w:p>
          <w:p w14:paraId="7E005D70" w14:textId="77777777" w:rsidR="009B13BF" w:rsidRPr="00111F34" w:rsidRDefault="009B13BF" w:rsidP="009B13BF">
            <w:pPr>
              <w:spacing w:before="40" w:after="40"/>
              <w:jc w:val="left"/>
              <w:rPr>
                <w:rFonts w:cs="Arial"/>
                <w:sz w:val="18"/>
                <w:szCs w:val="18"/>
              </w:rPr>
            </w:pPr>
            <w:r w:rsidRPr="00111F34">
              <w:rPr>
                <w:rFonts w:cs="Arial"/>
                <w:sz w:val="18"/>
                <w:szCs w:val="18"/>
              </w:rPr>
              <w:t>-1 úbytek ploch generujících environmentálně šetrné pracovní příležitosti v dosahu rezidenčních území pod cca 2 ha</w:t>
            </w:r>
          </w:p>
          <w:p w14:paraId="6F0D8E97" w14:textId="77777777" w:rsidR="009B13BF" w:rsidRPr="00111F34" w:rsidRDefault="009B13BF" w:rsidP="009B13BF">
            <w:pPr>
              <w:spacing w:before="40" w:after="40"/>
              <w:jc w:val="left"/>
              <w:rPr>
                <w:rFonts w:cs="Arial"/>
                <w:sz w:val="18"/>
                <w:szCs w:val="18"/>
              </w:rPr>
            </w:pPr>
            <w:r w:rsidRPr="00111F34">
              <w:rPr>
                <w:rFonts w:cs="Arial"/>
                <w:sz w:val="18"/>
                <w:szCs w:val="18"/>
              </w:rPr>
              <w:t>-2 úbytek ploch generujících environmentálně šetrné pracovní příležitosti v dosahu rezidenčních území nad cca 2 ha</w:t>
            </w:r>
          </w:p>
        </w:tc>
      </w:tr>
      <w:tr w:rsidR="009B13BF" w:rsidRPr="00111F34" w14:paraId="6B08867E" w14:textId="77777777" w:rsidTr="009B13BF">
        <w:trPr>
          <w:trHeight w:val="231"/>
          <w:jc w:val="center"/>
        </w:trPr>
        <w:tc>
          <w:tcPr>
            <w:tcW w:w="1012" w:type="pct"/>
            <w:shd w:val="clear" w:color="auto" w:fill="auto"/>
          </w:tcPr>
          <w:p w14:paraId="653619A5" w14:textId="77777777" w:rsidR="009B13BF" w:rsidRPr="00111F34" w:rsidRDefault="009B13BF" w:rsidP="009B13BF">
            <w:pPr>
              <w:spacing w:before="40" w:after="40"/>
              <w:jc w:val="left"/>
              <w:rPr>
                <w:rFonts w:cs="Arial"/>
                <w:sz w:val="18"/>
                <w:szCs w:val="18"/>
              </w:rPr>
            </w:pPr>
            <w:r w:rsidRPr="00111F34">
              <w:rPr>
                <w:rFonts w:cs="Arial"/>
                <w:sz w:val="18"/>
                <w:szCs w:val="18"/>
              </w:rPr>
              <w:t xml:space="preserve">2.4 Pomocí vhodných územně plánovacích opatření podpořit rozvoj environmentálně </w:t>
            </w:r>
            <w:r w:rsidRPr="00111F34">
              <w:rPr>
                <w:rFonts w:cs="Arial"/>
                <w:sz w:val="18"/>
                <w:szCs w:val="18"/>
              </w:rPr>
              <w:lastRenderedPageBreak/>
              <w:t xml:space="preserve">šetrného cestovního ruchu </w:t>
            </w:r>
          </w:p>
        </w:tc>
        <w:tc>
          <w:tcPr>
            <w:tcW w:w="1994" w:type="pct"/>
            <w:shd w:val="clear" w:color="auto" w:fill="auto"/>
          </w:tcPr>
          <w:p w14:paraId="6782B5F7" w14:textId="77777777" w:rsidR="009B13BF" w:rsidRPr="00111F34" w:rsidRDefault="009B13BF" w:rsidP="009B13BF">
            <w:pPr>
              <w:spacing w:before="40" w:after="40"/>
              <w:jc w:val="left"/>
              <w:rPr>
                <w:rFonts w:cs="Arial"/>
                <w:sz w:val="18"/>
                <w:szCs w:val="18"/>
              </w:rPr>
            </w:pPr>
            <w:r w:rsidRPr="00111F34">
              <w:rPr>
                <w:rFonts w:cs="Arial"/>
                <w:sz w:val="18"/>
                <w:szCs w:val="18"/>
              </w:rPr>
              <w:lastRenderedPageBreak/>
              <w:t>Referenční cíl reprezentuje žádoucí trend v oblasti rozvoje cestovního ruchu</w:t>
            </w:r>
            <w:r w:rsidRPr="00111F34">
              <w:rPr>
                <w:rStyle w:val="Znakapoznpodarou"/>
                <w:rFonts w:cs="Arial"/>
                <w:sz w:val="18"/>
                <w:szCs w:val="18"/>
              </w:rPr>
              <w:footnoteReference w:id="22"/>
            </w:r>
            <w:r w:rsidRPr="00111F34">
              <w:rPr>
                <w:rFonts w:cs="Arial"/>
                <w:sz w:val="18"/>
                <w:szCs w:val="18"/>
              </w:rPr>
              <w:t xml:space="preserve"> jako jednoho z významných odvětví ekonomiky.</w:t>
            </w:r>
          </w:p>
          <w:p w14:paraId="1C8BBB92" w14:textId="77777777" w:rsidR="009B13BF" w:rsidRPr="00111F34" w:rsidRDefault="009B13BF" w:rsidP="009B13BF">
            <w:pPr>
              <w:spacing w:before="40" w:after="40"/>
              <w:jc w:val="left"/>
              <w:rPr>
                <w:rFonts w:cs="Arial"/>
                <w:sz w:val="18"/>
                <w:szCs w:val="18"/>
              </w:rPr>
            </w:pPr>
          </w:p>
          <w:p w14:paraId="37A786AA" w14:textId="77777777" w:rsidR="009B13BF" w:rsidRPr="00111F34" w:rsidRDefault="009B13BF" w:rsidP="009B13BF">
            <w:pPr>
              <w:spacing w:before="40" w:after="40"/>
              <w:jc w:val="left"/>
              <w:rPr>
                <w:rFonts w:cs="Arial"/>
                <w:sz w:val="18"/>
                <w:szCs w:val="18"/>
              </w:rPr>
            </w:pPr>
            <w:r w:rsidRPr="00111F34">
              <w:rPr>
                <w:rFonts w:cs="Arial"/>
                <w:sz w:val="18"/>
                <w:szCs w:val="18"/>
              </w:rPr>
              <w:lastRenderedPageBreak/>
              <w:t xml:space="preserve">Referenční cíl byl stanoven na základě analýzy stavu, problémů a vývojových trendů sledovaných témat udržitelného rozvoje a cílů v oblasti udržitelného rozvoje přijatých následujícími strategickými dokumenty na vnitrostátní úrovni: </w:t>
            </w:r>
          </w:p>
          <w:p w14:paraId="30E5EB32" w14:textId="77777777" w:rsidR="009B13BF" w:rsidRPr="00111F34" w:rsidRDefault="009B13BF" w:rsidP="009B13BF">
            <w:pPr>
              <w:spacing w:before="40" w:after="40"/>
              <w:jc w:val="left"/>
              <w:rPr>
                <w:rFonts w:cs="Arial"/>
                <w:sz w:val="18"/>
                <w:szCs w:val="18"/>
              </w:rPr>
            </w:pPr>
            <w:r w:rsidRPr="00111F34">
              <w:rPr>
                <w:rFonts w:cs="Arial"/>
                <w:sz w:val="18"/>
                <w:szCs w:val="18"/>
              </w:rPr>
              <w:t>SOPK, ZÚR Praha, SRR, Strategický plán hl. města Prahy.</w:t>
            </w:r>
          </w:p>
        </w:tc>
        <w:tc>
          <w:tcPr>
            <w:tcW w:w="1994" w:type="pct"/>
            <w:shd w:val="clear" w:color="auto" w:fill="auto"/>
          </w:tcPr>
          <w:p w14:paraId="7F7CA2EB" w14:textId="77777777" w:rsidR="009B13BF" w:rsidRPr="00111F34" w:rsidRDefault="009B13BF" w:rsidP="009B13BF">
            <w:pPr>
              <w:spacing w:before="40" w:after="40"/>
              <w:jc w:val="left"/>
              <w:rPr>
                <w:rFonts w:cs="Arial"/>
                <w:sz w:val="18"/>
                <w:szCs w:val="18"/>
              </w:rPr>
            </w:pPr>
            <w:r w:rsidRPr="00111F34">
              <w:rPr>
                <w:rFonts w:cs="Arial"/>
                <w:sz w:val="18"/>
                <w:szCs w:val="18"/>
              </w:rPr>
              <w:lastRenderedPageBreak/>
              <w:t>+2 vymezení ploch generujících environmentálně šetrné atraktivity cestovního ruchu s nadmístním významem</w:t>
            </w:r>
          </w:p>
          <w:p w14:paraId="6B8315B1" w14:textId="77777777" w:rsidR="009B13BF" w:rsidRPr="00111F34" w:rsidRDefault="009B13BF" w:rsidP="009B13BF">
            <w:pPr>
              <w:spacing w:before="40" w:after="40"/>
              <w:jc w:val="left"/>
              <w:rPr>
                <w:rFonts w:cs="Arial"/>
                <w:sz w:val="18"/>
                <w:szCs w:val="18"/>
              </w:rPr>
            </w:pPr>
            <w:r w:rsidRPr="00111F34">
              <w:rPr>
                <w:rFonts w:cs="Arial"/>
                <w:sz w:val="18"/>
                <w:szCs w:val="18"/>
              </w:rPr>
              <w:lastRenderedPageBreak/>
              <w:t>+1 vymezení ploch generujících environmentálně šetrné atraktivity cestovního ruchu s místním významem</w:t>
            </w:r>
          </w:p>
          <w:p w14:paraId="1EE41EF7" w14:textId="77777777" w:rsidR="009B13BF" w:rsidRPr="00111F34" w:rsidRDefault="009B13BF" w:rsidP="009B13BF">
            <w:pPr>
              <w:spacing w:before="40" w:after="40"/>
              <w:jc w:val="left"/>
              <w:rPr>
                <w:rFonts w:cs="Arial"/>
                <w:sz w:val="18"/>
                <w:szCs w:val="18"/>
              </w:rPr>
            </w:pPr>
            <w:r w:rsidRPr="00111F34">
              <w:rPr>
                <w:rFonts w:cs="Arial"/>
                <w:sz w:val="18"/>
                <w:szCs w:val="18"/>
              </w:rPr>
              <w:t>-1 úbytek ploch generujících environmentálně šetrné atraktivity cestovního ruchu s nadmístním významem</w:t>
            </w:r>
          </w:p>
          <w:p w14:paraId="3084A05B" w14:textId="77777777" w:rsidR="009B13BF" w:rsidRPr="00111F34" w:rsidRDefault="009B13BF" w:rsidP="009B13BF">
            <w:pPr>
              <w:spacing w:before="40" w:after="40"/>
              <w:jc w:val="left"/>
              <w:rPr>
                <w:rFonts w:cs="Arial"/>
                <w:sz w:val="18"/>
                <w:szCs w:val="18"/>
              </w:rPr>
            </w:pPr>
            <w:r w:rsidRPr="00111F34">
              <w:rPr>
                <w:rFonts w:cs="Arial"/>
                <w:sz w:val="18"/>
                <w:szCs w:val="18"/>
              </w:rPr>
              <w:t>-2 úbytek ploch generujících environmentálně šetrné atraktivity cestovního ruchu s lokálním významem</w:t>
            </w:r>
          </w:p>
        </w:tc>
      </w:tr>
      <w:tr w:rsidR="009B13BF" w:rsidRPr="00111F34" w14:paraId="520DE822" w14:textId="77777777" w:rsidTr="009B13BF">
        <w:trPr>
          <w:cantSplit/>
          <w:trHeight w:val="64"/>
          <w:jc w:val="center"/>
        </w:trPr>
        <w:tc>
          <w:tcPr>
            <w:tcW w:w="1012" w:type="pct"/>
            <w:shd w:val="clear" w:color="auto" w:fill="auto"/>
          </w:tcPr>
          <w:p w14:paraId="411C7BE5" w14:textId="1AC99964" w:rsidR="009B13BF" w:rsidRPr="00111F34" w:rsidRDefault="009B13BF" w:rsidP="009B13BF">
            <w:pPr>
              <w:spacing w:before="40" w:after="40"/>
              <w:jc w:val="left"/>
              <w:rPr>
                <w:rFonts w:cs="Arial"/>
                <w:sz w:val="18"/>
                <w:szCs w:val="18"/>
              </w:rPr>
            </w:pPr>
            <w:r w:rsidRPr="00111F34">
              <w:rPr>
                <w:rFonts w:cs="Arial"/>
                <w:sz w:val="18"/>
                <w:szCs w:val="18"/>
              </w:rPr>
              <w:t>2.5 Efektivním územním plánováním přispět k optimalizaci sítě komerčních zařízení s respektování</w:t>
            </w:r>
            <w:r w:rsidR="00F65F92" w:rsidRPr="00111F34">
              <w:rPr>
                <w:rFonts w:cs="Arial"/>
                <w:sz w:val="18"/>
                <w:szCs w:val="18"/>
              </w:rPr>
              <w:t>m</w:t>
            </w:r>
            <w:r w:rsidRPr="00111F34">
              <w:rPr>
                <w:rFonts w:cs="Arial"/>
                <w:sz w:val="18"/>
                <w:szCs w:val="18"/>
              </w:rPr>
              <w:t xml:space="preserve"> životního prostředí</w:t>
            </w:r>
          </w:p>
        </w:tc>
        <w:tc>
          <w:tcPr>
            <w:tcW w:w="1994" w:type="pct"/>
            <w:shd w:val="clear" w:color="auto" w:fill="auto"/>
          </w:tcPr>
          <w:p w14:paraId="7CC9DE39" w14:textId="77777777" w:rsidR="009B13BF" w:rsidRPr="00111F34" w:rsidRDefault="009B13BF" w:rsidP="009B13BF">
            <w:pPr>
              <w:spacing w:before="40" w:after="40"/>
              <w:jc w:val="left"/>
              <w:rPr>
                <w:rFonts w:cs="Arial"/>
                <w:sz w:val="18"/>
                <w:szCs w:val="18"/>
              </w:rPr>
            </w:pPr>
            <w:r w:rsidRPr="00111F34">
              <w:rPr>
                <w:rFonts w:cs="Arial"/>
                <w:sz w:val="18"/>
                <w:szCs w:val="18"/>
              </w:rPr>
              <w:t>Referenční cíl reprezentuje žádoucí trend v oblasti mísení městských funkcí a rozvoje komerční vybavenosti (obchody, služby, zábava) v dostupnosti bydlení.</w:t>
            </w:r>
          </w:p>
          <w:p w14:paraId="675F2F55" w14:textId="77777777" w:rsidR="009B13BF" w:rsidRPr="00111F34" w:rsidRDefault="009B13BF" w:rsidP="009B13BF">
            <w:pPr>
              <w:spacing w:before="40" w:after="40"/>
              <w:jc w:val="left"/>
              <w:rPr>
                <w:rFonts w:cs="Arial"/>
                <w:sz w:val="18"/>
                <w:szCs w:val="18"/>
              </w:rPr>
            </w:pPr>
          </w:p>
          <w:p w14:paraId="49A7CF08" w14:textId="77777777" w:rsidR="009B13BF" w:rsidRPr="00111F34" w:rsidRDefault="009B13BF" w:rsidP="009B13BF">
            <w:pPr>
              <w:spacing w:before="40" w:after="40"/>
              <w:jc w:val="left"/>
              <w:rPr>
                <w:rFonts w:cs="Arial"/>
                <w:sz w:val="18"/>
                <w:szCs w:val="18"/>
              </w:rPr>
            </w:pPr>
            <w:r w:rsidRPr="00111F34">
              <w:rPr>
                <w:rFonts w:cs="Arial"/>
                <w:sz w:val="18"/>
                <w:szCs w:val="18"/>
              </w:rPr>
              <w:t xml:space="preserve">Referenční cíl byl stanoven na základě analýzy stavu, problémů a vývojových trendů sledovaných témat udržitelného rozvoje a cílů v oblasti udržitelného rozvoje přijatých následujícími strategickými dokumenty na vnitrostátní úrovni: </w:t>
            </w:r>
          </w:p>
          <w:p w14:paraId="45BE491C" w14:textId="77777777" w:rsidR="009B13BF" w:rsidRPr="00111F34" w:rsidRDefault="009B13BF" w:rsidP="009B13BF">
            <w:pPr>
              <w:spacing w:before="40" w:after="40"/>
              <w:jc w:val="left"/>
              <w:rPr>
                <w:rFonts w:cs="Arial"/>
                <w:sz w:val="18"/>
                <w:szCs w:val="18"/>
              </w:rPr>
            </w:pPr>
            <w:r w:rsidRPr="00111F34">
              <w:rPr>
                <w:rFonts w:cs="Arial"/>
                <w:sz w:val="18"/>
                <w:szCs w:val="18"/>
              </w:rPr>
              <w:t>ZÚR Prahy, SRR, PÚR.</w:t>
            </w:r>
          </w:p>
        </w:tc>
        <w:tc>
          <w:tcPr>
            <w:tcW w:w="1994" w:type="pct"/>
            <w:shd w:val="clear" w:color="auto" w:fill="auto"/>
          </w:tcPr>
          <w:p w14:paraId="3007A3E5" w14:textId="77777777" w:rsidR="009B13BF" w:rsidRPr="00111F34" w:rsidRDefault="009B13BF" w:rsidP="009B13BF">
            <w:pPr>
              <w:spacing w:before="40" w:after="40"/>
              <w:jc w:val="left"/>
              <w:rPr>
                <w:rFonts w:cs="Arial"/>
                <w:sz w:val="18"/>
                <w:szCs w:val="18"/>
              </w:rPr>
            </w:pPr>
            <w:r w:rsidRPr="00111F34">
              <w:rPr>
                <w:rFonts w:cs="Arial"/>
                <w:sz w:val="18"/>
                <w:szCs w:val="18"/>
              </w:rPr>
              <w:t>+2 vymezení ploch generujících komerční vybavenost v dosahu rezidenčních území nad cca 2 ha</w:t>
            </w:r>
          </w:p>
          <w:p w14:paraId="3027512C" w14:textId="77777777" w:rsidR="009B13BF" w:rsidRPr="00111F34" w:rsidRDefault="009B13BF" w:rsidP="009B13BF">
            <w:pPr>
              <w:spacing w:before="40" w:after="40"/>
              <w:jc w:val="left"/>
              <w:rPr>
                <w:rFonts w:cs="Arial"/>
                <w:sz w:val="18"/>
                <w:szCs w:val="18"/>
              </w:rPr>
            </w:pPr>
            <w:r w:rsidRPr="00111F34">
              <w:rPr>
                <w:rFonts w:cs="Arial"/>
                <w:sz w:val="18"/>
                <w:szCs w:val="18"/>
              </w:rPr>
              <w:t>+1 vymezení ploch generujících komerční vybavenost v dosahu rezidenčních území pod cca 2 ha</w:t>
            </w:r>
          </w:p>
          <w:p w14:paraId="6F61DBAD" w14:textId="77777777" w:rsidR="009B13BF" w:rsidRPr="00111F34" w:rsidRDefault="009B13BF" w:rsidP="009B13BF">
            <w:pPr>
              <w:spacing w:before="40" w:after="40"/>
              <w:jc w:val="left"/>
              <w:rPr>
                <w:rFonts w:cs="Arial"/>
                <w:sz w:val="18"/>
                <w:szCs w:val="18"/>
              </w:rPr>
            </w:pPr>
            <w:r w:rsidRPr="00111F34">
              <w:rPr>
                <w:rFonts w:cs="Arial"/>
                <w:sz w:val="18"/>
                <w:szCs w:val="18"/>
              </w:rPr>
              <w:t>-1 úbytek ploch generujících komerční vybavenost v dosahu rezidenčních území pod cca 2 ha</w:t>
            </w:r>
          </w:p>
          <w:p w14:paraId="18355BC2" w14:textId="77777777" w:rsidR="009B13BF" w:rsidRPr="00111F34" w:rsidRDefault="009B13BF" w:rsidP="009B13BF">
            <w:pPr>
              <w:spacing w:before="40" w:after="40"/>
              <w:jc w:val="left"/>
              <w:rPr>
                <w:rFonts w:cs="Arial"/>
                <w:sz w:val="18"/>
                <w:szCs w:val="18"/>
              </w:rPr>
            </w:pPr>
            <w:r w:rsidRPr="00111F34">
              <w:rPr>
                <w:rFonts w:cs="Arial"/>
                <w:sz w:val="18"/>
                <w:szCs w:val="18"/>
              </w:rPr>
              <w:t>-2 úbytek ploch komerční vybavenost v dosahu rezidenčních území nad cca 2 ha</w:t>
            </w:r>
          </w:p>
        </w:tc>
      </w:tr>
    </w:tbl>
    <w:p w14:paraId="6D06943C" w14:textId="55609F79" w:rsidR="00794578" w:rsidRPr="00111F34" w:rsidRDefault="00794578" w:rsidP="00794578">
      <w:pPr>
        <w:spacing w:after="60"/>
        <w:rPr>
          <w:rFonts w:cs="Arial"/>
        </w:rPr>
      </w:pPr>
      <w:r w:rsidRPr="00111F34">
        <w:rPr>
          <w:rFonts w:cs="Arial"/>
        </w:rPr>
        <w:t>Pro zjištění, zda a jakým způsobem může mít ÚP při realizaci závažné vlivy na udržitelný rozvoj, bylo provedeno hodnocení navržených opatření územního plánu, tj. funkčních ploch a podmínek jejich využití vzhledem k referenčním cílům udržitelného rozvoje, tj. zda a jakým způsobem bude vymezení daných ploch v rámci návrhu ÚP přispívat, či nikoliv, k naplňování referenčních cílů. Pro hodnocení bylo použito stejné stupnice jako v případě vyhodnocení vlivů na environmentální pilíř udržitelného rozvoje:</w:t>
      </w:r>
    </w:p>
    <w:p w14:paraId="76D2B86D" w14:textId="77777777" w:rsidR="00000454" w:rsidRPr="00111F34" w:rsidRDefault="00000454" w:rsidP="00794578">
      <w:pPr>
        <w:spacing w:after="60"/>
        <w:rPr>
          <w:rFonts w:cs="Arial"/>
        </w:rPr>
      </w:pPr>
    </w:p>
    <w:p w14:paraId="3BDB3C9E" w14:textId="77777777" w:rsidR="00B43BA8" w:rsidRPr="00111F34" w:rsidRDefault="00B43BA8" w:rsidP="00B43BA8">
      <w:pPr>
        <w:spacing w:after="120"/>
        <w:rPr>
          <w:rFonts w:cs="Arial"/>
          <w:b/>
        </w:rPr>
      </w:pPr>
      <w:r w:rsidRPr="00111F34">
        <w:rPr>
          <w:rFonts w:cs="Arial"/>
          <w:b/>
        </w:rPr>
        <w:t>stupnice významnosti</w:t>
      </w:r>
    </w:p>
    <w:p w14:paraId="64B150FD" w14:textId="4137FF61" w:rsidR="00B43BA8" w:rsidRPr="00111F34" w:rsidRDefault="00B43BA8" w:rsidP="00B43BA8">
      <w:pPr>
        <w:tabs>
          <w:tab w:val="left" w:pos="1440"/>
        </w:tabs>
        <w:autoSpaceDE w:val="0"/>
        <w:autoSpaceDN w:val="0"/>
        <w:adjustRightInd w:val="0"/>
        <w:spacing w:before="0"/>
        <w:ind w:left="1441" w:hanging="902"/>
        <w:rPr>
          <w:rFonts w:cs="Arial"/>
        </w:rPr>
      </w:pPr>
      <w:r w:rsidRPr="00111F34">
        <w:rPr>
          <w:rFonts w:cs="Arial"/>
        </w:rPr>
        <w:t>+2</w:t>
      </w:r>
      <w:r w:rsidRPr="00111F34">
        <w:rPr>
          <w:rFonts w:cs="Arial"/>
        </w:rPr>
        <w:tab/>
        <w:t>potenciálně významný pozitivní vliv (přímý vliv velkého rozsahu) opatření/plochy na</w:t>
      </w:r>
      <w:r w:rsidR="00B662D3" w:rsidRPr="00111F34">
        <w:rPr>
          <w:rFonts w:cs="Arial"/>
        </w:rPr>
        <w:t> </w:t>
      </w:r>
      <w:r w:rsidRPr="00111F34">
        <w:rPr>
          <w:rFonts w:cs="Arial"/>
        </w:rPr>
        <w:t>referenční cíl</w:t>
      </w:r>
    </w:p>
    <w:p w14:paraId="017CE0B7" w14:textId="77777777" w:rsidR="00B43BA8" w:rsidRPr="00111F34" w:rsidRDefault="00B43BA8" w:rsidP="00B43BA8">
      <w:pPr>
        <w:tabs>
          <w:tab w:val="left" w:pos="1440"/>
        </w:tabs>
        <w:autoSpaceDE w:val="0"/>
        <w:autoSpaceDN w:val="0"/>
        <w:adjustRightInd w:val="0"/>
        <w:spacing w:before="0"/>
        <w:ind w:left="1441" w:hanging="902"/>
        <w:rPr>
          <w:rFonts w:cs="Arial"/>
        </w:rPr>
      </w:pPr>
      <w:r w:rsidRPr="00111F34">
        <w:rPr>
          <w:rFonts w:cs="Arial"/>
        </w:rPr>
        <w:t>+1</w:t>
      </w:r>
      <w:r w:rsidRPr="00111F34">
        <w:rPr>
          <w:rFonts w:cs="Arial"/>
        </w:rPr>
        <w:tab/>
        <w:t>potenciálně pozitivní (přímý či nepřímý/sekundární) vliv opatření/plochy na daný referenční cíl</w:t>
      </w:r>
    </w:p>
    <w:p w14:paraId="2EC5880D" w14:textId="694954E6" w:rsidR="00B43BA8" w:rsidRPr="00111F34" w:rsidRDefault="00F65F92" w:rsidP="00B43BA8">
      <w:pPr>
        <w:tabs>
          <w:tab w:val="left" w:pos="1440"/>
        </w:tabs>
        <w:autoSpaceDE w:val="0"/>
        <w:autoSpaceDN w:val="0"/>
        <w:adjustRightInd w:val="0"/>
        <w:spacing w:before="0"/>
        <w:ind w:left="1441" w:hanging="902"/>
        <w:rPr>
          <w:rFonts w:cs="Arial"/>
        </w:rPr>
      </w:pPr>
      <w:r w:rsidRPr="00111F34">
        <w:rPr>
          <w:rFonts w:cs="Arial"/>
        </w:rPr>
        <w:t xml:space="preserve">  </w:t>
      </w:r>
      <w:r w:rsidR="00B43BA8" w:rsidRPr="00111F34">
        <w:rPr>
          <w:rFonts w:cs="Arial"/>
        </w:rPr>
        <w:t xml:space="preserve">0 </w:t>
      </w:r>
      <w:r w:rsidR="00B43BA8" w:rsidRPr="00111F34">
        <w:rPr>
          <w:rFonts w:cs="Arial"/>
        </w:rPr>
        <w:tab/>
        <w:t xml:space="preserve">zanedbatelný nebo komplikovaně zprostředkovaný (nepřímý/sekundární) potenciální vliv (velmi malý rozsah, nepřímá vazba na navrhované </w:t>
      </w:r>
      <w:r w:rsidRPr="00111F34">
        <w:rPr>
          <w:rFonts w:cs="Arial"/>
        </w:rPr>
        <w:t>opatření,</w:t>
      </w:r>
      <w:r w:rsidR="00B43BA8" w:rsidRPr="00111F34">
        <w:rPr>
          <w:rFonts w:cs="Arial"/>
        </w:rPr>
        <w:t xml:space="preserve"> resp. návrhovou plochu)</w:t>
      </w:r>
    </w:p>
    <w:p w14:paraId="6B011DB5" w14:textId="1C4CF4EC" w:rsidR="00B43BA8" w:rsidRPr="00111F34" w:rsidRDefault="00B43BA8" w:rsidP="00B43BA8">
      <w:pPr>
        <w:tabs>
          <w:tab w:val="left" w:pos="1440"/>
        </w:tabs>
        <w:autoSpaceDE w:val="0"/>
        <w:autoSpaceDN w:val="0"/>
        <w:adjustRightInd w:val="0"/>
        <w:spacing w:before="0"/>
        <w:ind w:left="1441" w:hanging="902"/>
        <w:rPr>
          <w:rFonts w:cs="Arial"/>
        </w:rPr>
      </w:pPr>
      <w:r w:rsidRPr="00111F34">
        <w:rPr>
          <w:rFonts w:cs="Arial"/>
        </w:rPr>
        <w:t>-1</w:t>
      </w:r>
      <w:r w:rsidRPr="00111F34">
        <w:rPr>
          <w:rFonts w:cs="Arial"/>
        </w:rPr>
        <w:tab/>
        <w:t>potenciálně negativní vliv opatření/plochy na daný referenční cíl (přímý či</w:t>
      </w:r>
      <w:r w:rsidR="00B662D3" w:rsidRPr="00111F34">
        <w:rPr>
          <w:rFonts w:cs="Arial"/>
        </w:rPr>
        <w:t> </w:t>
      </w:r>
      <w:r w:rsidRPr="00111F34">
        <w:rPr>
          <w:rFonts w:cs="Arial"/>
        </w:rPr>
        <w:t>nepřímý/sekundární)</w:t>
      </w:r>
    </w:p>
    <w:p w14:paraId="24DD9CEF" w14:textId="77777777" w:rsidR="00B43BA8" w:rsidRPr="00111F34" w:rsidRDefault="00B43BA8" w:rsidP="00B43BA8">
      <w:pPr>
        <w:tabs>
          <w:tab w:val="left" w:pos="1440"/>
        </w:tabs>
        <w:autoSpaceDE w:val="0"/>
        <w:autoSpaceDN w:val="0"/>
        <w:adjustRightInd w:val="0"/>
        <w:spacing w:before="0"/>
        <w:ind w:left="1441" w:hanging="902"/>
        <w:rPr>
          <w:rFonts w:cs="Arial"/>
        </w:rPr>
      </w:pPr>
      <w:r w:rsidRPr="00111F34">
        <w:rPr>
          <w:rFonts w:cs="Arial"/>
        </w:rPr>
        <w:t>-2</w:t>
      </w:r>
      <w:r w:rsidRPr="00111F34">
        <w:rPr>
          <w:rFonts w:cs="Arial"/>
        </w:rPr>
        <w:tab/>
        <w:t>potenciálně významný negativní vliv opatření/plochy na daný referenční cíl (přímý vliv velkého rozsahu nebo bez možnosti uplatnění zmírňujících opatření)</w:t>
      </w:r>
    </w:p>
    <w:p w14:paraId="64DA3565" w14:textId="4AAB0F62" w:rsidR="00B43BA8" w:rsidRPr="00111F34" w:rsidRDefault="00B43BA8" w:rsidP="00B43BA8">
      <w:pPr>
        <w:tabs>
          <w:tab w:val="left" w:pos="1440"/>
        </w:tabs>
        <w:autoSpaceDE w:val="0"/>
        <w:autoSpaceDN w:val="0"/>
        <w:adjustRightInd w:val="0"/>
        <w:spacing w:before="0"/>
        <w:ind w:left="1441" w:hanging="902"/>
        <w:rPr>
          <w:rFonts w:cs="Arial"/>
        </w:rPr>
      </w:pPr>
      <w:r w:rsidRPr="00111F34">
        <w:rPr>
          <w:rFonts w:cs="Arial"/>
        </w:rPr>
        <w:t>?</w:t>
      </w:r>
      <w:r w:rsidRPr="00111F34">
        <w:rPr>
          <w:rFonts w:cs="Arial"/>
        </w:rPr>
        <w:tab/>
        <w:t xml:space="preserve">nebyla identifikována potenciální vazba mezi referenčním cílem a navrhovaným </w:t>
      </w:r>
      <w:r w:rsidR="00F65F92" w:rsidRPr="00111F34">
        <w:rPr>
          <w:rFonts w:cs="Arial"/>
        </w:rPr>
        <w:t>opatřením,</w:t>
      </w:r>
      <w:r w:rsidRPr="00111F34">
        <w:rPr>
          <w:rFonts w:cs="Arial"/>
        </w:rPr>
        <w:t xml:space="preserve"> resp. návrhovou plochou</w:t>
      </w:r>
    </w:p>
    <w:p w14:paraId="223F42DA" w14:textId="77777777" w:rsidR="00B43BA8" w:rsidRPr="00111F34" w:rsidRDefault="00B43BA8" w:rsidP="0002533C">
      <w:pPr>
        <w:keepNext/>
        <w:tabs>
          <w:tab w:val="left" w:pos="1440"/>
        </w:tabs>
        <w:autoSpaceDE w:val="0"/>
        <w:autoSpaceDN w:val="0"/>
        <w:adjustRightInd w:val="0"/>
        <w:spacing w:after="120"/>
        <w:rPr>
          <w:rFonts w:cs="Arial"/>
          <w:b/>
        </w:rPr>
      </w:pPr>
      <w:r w:rsidRPr="00111F34">
        <w:rPr>
          <w:rFonts w:cs="Arial"/>
          <w:b/>
        </w:rPr>
        <w:t>rozsah vlivu</w:t>
      </w:r>
    </w:p>
    <w:p w14:paraId="7FB2C3F0" w14:textId="77777777" w:rsidR="002E072A" w:rsidRPr="00111F34" w:rsidRDefault="002E072A" w:rsidP="002E072A">
      <w:pPr>
        <w:tabs>
          <w:tab w:val="left" w:pos="1440"/>
        </w:tabs>
        <w:autoSpaceDE w:val="0"/>
        <w:autoSpaceDN w:val="0"/>
        <w:adjustRightInd w:val="0"/>
        <w:spacing w:before="0"/>
        <w:ind w:left="1437" w:hanging="870"/>
        <w:rPr>
          <w:rFonts w:cs="Arial"/>
        </w:rPr>
      </w:pPr>
      <w:r w:rsidRPr="00111F34">
        <w:rPr>
          <w:rFonts w:cs="Arial"/>
        </w:rPr>
        <w:t>B</w:t>
      </w:r>
      <w:r w:rsidRPr="00111F34">
        <w:rPr>
          <w:rFonts w:cs="Arial"/>
        </w:rPr>
        <w:tab/>
      </w:r>
      <w:r w:rsidRPr="00111F34">
        <w:rPr>
          <w:rFonts w:cs="Arial"/>
        </w:rPr>
        <w:tab/>
        <w:t>bodový (působící v bezprostředním okolí plochy nebo zprostředkovaně s bodovým dosahem)</w:t>
      </w:r>
    </w:p>
    <w:p w14:paraId="0FE8A2E5" w14:textId="77777777" w:rsidR="00B43BA8" w:rsidRPr="00111F34" w:rsidRDefault="00B43BA8" w:rsidP="00B43BA8">
      <w:pPr>
        <w:tabs>
          <w:tab w:val="left" w:pos="1440"/>
        </w:tabs>
        <w:autoSpaceDE w:val="0"/>
        <w:autoSpaceDN w:val="0"/>
        <w:adjustRightInd w:val="0"/>
        <w:spacing w:before="0"/>
        <w:ind w:left="709" w:hanging="142"/>
        <w:rPr>
          <w:rFonts w:cs="Arial"/>
        </w:rPr>
      </w:pPr>
      <w:r w:rsidRPr="00111F34">
        <w:rPr>
          <w:rFonts w:cs="Arial"/>
        </w:rPr>
        <w:t>L</w:t>
      </w:r>
      <w:r w:rsidRPr="00111F34">
        <w:rPr>
          <w:rFonts w:cs="Arial"/>
        </w:rPr>
        <w:tab/>
      </w:r>
      <w:r w:rsidRPr="00111F34">
        <w:rPr>
          <w:rFonts w:cs="Arial"/>
        </w:rPr>
        <w:tab/>
        <w:t>lokální (působící v rámci městské části)</w:t>
      </w:r>
    </w:p>
    <w:p w14:paraId="6ABDEDA7" w14:textId="77777777" w:rsidR="00B43BA8" w:rsidRPr="00111F34" w:rsidRDefault="00B43BA8" w:rsidP="00B43BA8">
      <w:pPr>
        <w:tabs>
          <w:tab w:val="left" w:pos="1440"/>
        </w:tabs>
        <w:autoSpaceDE w:val="0"/>
        <w:autoSpaceDN w:val="0"/>
        <w:adjustRightInd w:val="0"/>
        <w:spacing w:before="0"/>
        <w:ind w:left="709" w:hanging="142"/>
        <w:rPr>
          <w:rFonts w:cs="Arial"/>
        </w:rPr>
      </w:pPr>
      <w:r w:rsidRPr="00111F34">
        <w:rPr>
          <w:rFonts w:cs="Arial"/>
        </w:rPr>
        <w:t>R</w:t>
      </w:r>
      <w:r w:rsidRPr="00111F34">
        <w:rPr>
          <w:rFonts w:cs="Arial"/>
        </w:rPr>
        <w:tab/>
        <w:t>regionální (působící v rámci celého města/aglomerace)</w:t>
      </w:r>
    </w:p>
    <w:p w14:paraId="1352FDEE" w14:textId="77777777" w:rsidR="00B43BA8" w:rsidRPr="00111F34" w:rsidRDefault="00B43BA8" w:rsidP="00B43BA8">
      <w:pPr>
        <w:tabs>
          <w:tab w:val="left" w:pos="1440"/>
        </w:tabs>
        <w:autoSpaceDE w:val="0"/>
        <w:autoSpaceDN w:val="0"/>
        <w:adjustRightInd w:val="0"/>
        <w:spacing w:after="120"/>
        <w:rPr>
          <w:rFonts w:cs="Arial"/>
          <w:b/>
        </w:rPr>
      </w:pPr>
      <w:r w:rsidRPr="00111F34">
        <w:rPr>
          <w:rFonts w:cs="Arial"/>
          <w:b/>
        </w:rPr>
        <w:t>délka trvání vlivu</w:t>
      </w:r>
    </w:p>
    <w:p w14:paraId="71E45A44" w14:textId="77777777" w:rsidR="00B43BA8" w:rsidRPr="00111F34" w:rsidRDefault="00B43BA8" w:rsidP="00B43BA8">
      <w:pPr>
        <w:tabs>
          <w:tab w:val="left" w:pos="567"/>
          <w:tab w:val="left" w:pos="1440"/>
        </w:tabs>
        <w:autoSpaceDE w:val="0"/>
        <w:autoSpaceDN w:val="0"/>
        <w:adjustRightInd w:val="0"/>
        <w:spacing w:before="0"/>
        <w:ind w:left="1440" w:hanging="1440"/>
        <w:rPr>
          <w:rFonts w:cs="Arial"/>
        </w:rPr>
      </w:pPr>
      <w:r w:rsidRPr="00111F34">
        <w:rPr>
          <w:rFonts w:cs="Arial"/>
          <w:b/>
        </w:rPr>
        <w:tab/>
      </w:r>
      <w:r w:rsidRPr="00111F34">
        <w:rPr>
          <w:rFonts w:cs="Arial"/>
        </w:rPr>
        <w:t>kp</w:t>
      </w:r>
      <w:r w:rsidRPr="00111F34">
        <w:rPr>
          <w:rFonts w:cs="Arial"/>
        </w:rPr>
        <w:tab/>
        <w:t>krátkodobé/přechodné působení vlivu (přechodné trvání po omezenou dobu např. pouze v době výstavby)</w:t>
      </w:r>
    </w:p>
    <w:p w14:paraId="6067D57E" w14:textId="77777777" w:rsidR="00B43BA8" w:rsidRPr="00111F34" w:rsidRDefault="00B43BA8" w:rsidP="00B43BA8">
      <w:pPr>
        <w:tabs>
          <w:tab w:val="left" w:pos="567"/>
          <w:tab w:val="left" w:pos="1440"/>
        </w:tabs>
        <w:autoSpaceDE w:val="0"/>
        <w:autoSpaceDN w:val="0"/>
        <w:adjustRightInd w:val="0"/>
        <w:spacing w:before="0"/>
        <w:jc w:val="left"/>
        <w:rPr>
          <w:rFonts w:cs="Arial"/>
        </w:rPr>
      </w:pPr>
      <w:r w:rsidRPr="00111F34">
        <w:rPr>
          <w:rFonts w:cs="Arial"/>
        </w:rPr>
        <w:tab/>
        <w:t>sp</w:t>
      </w:r>
      <w:r w:rsidRPr="00111F34">
        <w:rPr>
          <w:rFonts w:cs="Arial"/>
        </w:rPr>
        <w:tab/>
        <w:t>střednědobé působení vlivu (trvalý vliv cca po dobu nepřesahující platnost územního plánu)</w:t>
      </w:r>
    </w:p>
    <w:p w14:paraId="0A76271B" w14:textId="77777777" w:rsidR="00B43BA8" w:rsidRPr="00111F34" w:rsidRDefault="00B43BA8" w:rsidP="00B43BA8">
      <w:pPr>
        <w:tabs>
          <w:tab w:val="left" w:pos="567"/>
          <w:tab w:val="left" w:pos="1440"/>
        </w:tabs>
        <w:autoSpaceDE w:val="0"/>
        <w:autoSpaceDN w:val="0"/>
        <w:adjustRightInd w:val="0"/>
        <w:spacing w:before="0"/>
        <w:rPr>
          <w:rFonts w:cs="Arial"/>
        </w:rPr>
      </w:pPr>
      <w:r w:rsidRPr="00111F34">
        <w:rPr>
          <w:rFonts w:cs="Arial"/>
        </w:rPr>
        <w:tab/>
        <w:t>dp</w:t>
      </w:r>
      <w:r w:rsidRPr="00111F34">
        <w:rPr>
          <w:rFonts w:cs="Arial"/>
        </w:rPr>
        <w:tab/>
        <w:t>dlouhodobé působení vlivu (trvalý vliv s přesahem doby platnosti územního plánu)</w:t>
      </w:r>
    </w:p>
    <w:p w14:paraId="71C6F299" w14:textId="77777777" w:rsidR="00B43BA8" w:rsidRPr="00111F34" w:rsidRDefault="00B43BA8" w:rsidP="00B43BA8">
      <w:pPr>
        <w:tabs>
          <w:tab w:val="left" w:pos="1440"/>
        </w:tabs>
        <w:autoSpaceDE w:val="0"/>
        <w:autoSpaceDN w:val="0"/>
        <w:adjustRightInd w:val="0"/>
        <w:spacing w:after="120"/>
        <w:rPr>
          <w:rFonts w:cs="Arial"/>
          <w:b/>
        </w:rPr>
      </w:pPr>
      <w:r w:rsidRPr="00111F34">
        <w:rPr>
          <w:rFonts w:cs="Arial"/>
          <w:b/>
        </w:rPr>
        <w:t>spolupůsobení vlivu</w:t>
      </w:r>
    </w:p>
    <w:p w14:paraId="7855D5D5" w14:textId="33491758" w:rsidR="00B43BA8" w:rsidRPr="00111F34" w:rsidRDefault="00B43BA8" w:rsidP="00B43BA8">
      <w:pPr>
        <w:tabs>
          <w:tab w:val="left" w:pos="1440"/>
        </w:tabs>
        <w:autoSpaceDE w:val="0"/>
        <w:autoSpaceDN w:val="0"/>
        <w:adjustRightInd w:val="0"/>
        <w:spacing w:before="0"/>
        <w:ind w:firstLine="567"/>
        <w:rPr>
          <w:rFonts w:cs="Arial"/>
        </w:rPr>
      </w:pPr>
      <w:r w:rsidRPr="00111F34">
        <w:rPr>
          <w:rFonts w:cs="Arial"/>
        </w:rPr>
        <w:t>K </w:t>
      </w:r>
      <w:r w:rsidRPr="00111F34">
        <w:rPr>
          <w:rFonts w:cs="Arial"/>
        </w:rPr>
        <w:tab/>
        <w:t xml:space="preserve">kumulativní </w:t>
      </w:r>
      <w:r w:rsidR="00192FB8" w:rsidRPr="00111F34">
        <w:rPr>
          <w:rFonts w:cs="Arial"/>
        </w:rPr>
        <w:t>spolu</w:t>
      </w:r>
      <w:r w:rsidRPr="00111F34">
        <w:rPr>
          <w:rFonts w:cs="Arial"/>
        </w:rPr>
        <w:t xml:space="preserve">působení vzhledem k již </w:t>
      </w:r>
      <w:r w:rsidR="00F65F92" w:rsidRPr="00111F34">
        <w:rPr>
          <w:rFonts w:cs="Arial"/>
        </w:rPr>
        <w:t>existujícím,</w:t>
      </w:r>
      <w:r w:rsidRPr="00111F34">
        <w:rPr>
          <w:rFonts w:cs="Arial"/>
        </w:rPr>
        <w:t xml:space="preserve"> resp. uvažovaným plochám/záměrům</w:t>
      </w:r>
    </w:p>
    <w:p w14:paraId="0FF94F22" w14:textId="3C86BD1A" w:rsidR="00B43BA8" w:rsidRPr="00111F34" w:rsidRDefault="00B43BA8" w:rsidP="00B43BA8">
      <w:pPr>
        <w:tabs>
          <w:tab w:val="left" w:pos="1440"/>
        </w:tabs>
        <w:autoSpaceDE w:val="0"/>
        <w:autoSpaceDN w:val="0"/>
        <w:adjustRightInd w:val="0"/>
        <w:spacing w:before="0"/>
        <w:ind w:firstLine="567"/>
        <w:rPr>
          <w:rFonts w:cs="Arial"/>
        </w:rPr>
      </w:pPr>
      <w:r w:rsidRPr="00111F34">
        <w:rPr>
          <w:rFonts w:cs="Arial"/>
        </w:rPr>
        <w:t xml:space="preserve">S </w:t>
      </w:r>
      <w:r w:rsidRPr="00111F34">
        <w:rPr>
          <w:rFonts w:cs="Arial"/>
        </w:rPr>
        <w:tab/>
        <w:t xml:space="preserve">synergické </w:t>
      </w:r>
      <w:r w:rsidR="00192FB8" w:rsidRPr="00111F34">
        <w:rPr>
          <w:rFonts w:cs="Arial"/>
        </w:rPr>
        <w:t>spolu</w:t>
      </w:r>
      <w:r w:rsidRPr="00111F34">
        <w:rPr>
          <w:rFonts w:cs="Arial"/>
        </w:rPr>
        <w:t xml:space="preserve">působení vzhledem k již </w:t>
      </w:r>
      <w:r w:rsidR="00F65F92" w:rsidRPr="00111F34">
        <w:rPr>
          <w:rFonts w:cs="Arial"/>
        </w:rPr>
        <w:t>existujícím,</w:t>
      </w:r>
      <w:r w:rsidRPr="00111F34">
        <w:rPr>
          <w:rFonts w:cs="Arial"/>
        </w:rPr>
        <w:t xml:space="preserve"> resp. uvažovaným plochám/záměrům</w:t>
      </w:r>
    </w:p>
    <w:p w14:paraId="3F4E48A8" w14:textId="77777777" w:rsidR="00794578" w:rsidRPr="00111F34" w:rsidRDefault="00794578" w:rsidP="00A42600">
      <w:pPr>
        <w:pStyle w:val="Podnadpis1"/>
        <w:spacing w:after="120"/>
      </w:pPr>
      <w:r w:rsidRPr="00111F34">
        <w:lastRenderedPageBreak/>
        <w:t>Stupnice významnosti spolupůsobení vlivu: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8733"/>
      </w:tblGrid>
      <w:tr w:rsidR="00794578" w:rsidRPr="00111F34" w14:paraId="13B57F56" w14:textId="77777777" w:rsidTr="00794578">
        <w:tc>
          <w:tcPr>
            <w:tcW w:w="467" w:type="pct"/>
            <w:tcBorders>
              <w:top w:val="single" w:sz="4" w:space="0" w:color="auto"/>
              <w:left w:val="single" w:sz="4" w:space="0" w:color="auto"/>
              <w:bottom w:val="single" w:sz="4" w:space="0" w:color="auto"/>
              <w:right w:val="single" w:sz="4" w:space="0" w:color="auto"/>
            </w:tcBorders>
            <w:shd w:val="clear" w:color="auto" w:fill="auto"/>
          </w:tcPr>
          <w:p w14:paraId="39462248" w14:textId="77777777" w:rsidR="00794578" w:rsidRPr="00111F34" w:rsidRDefault="00794578" w:rsidP="00794578">
            <w:r w:rsidRPr="00111F34">
              <w:t>K</w:t>
            </w:r>
          </w:p>
        </w:tc>
        <w:tc>
          <w:tcPr>
            <w:tcW w:w="4533" w:type="pct"/>
            <w:tcBorders>
              <w:top w:val="nil"/>
              <w:left w:val="single" w:sz="4" w:space="0" w:color="auto"/>
              <w:bottom w:val="nil"/>
              <w:right w:val="nil"/>
            </w:tcBorders>
            <w:shd w:val="clear" w:color="auto" w:fill="auto"/>
          </w:tcPr>
          <w:p w14:paraId="529E0869" w14:textId="7C030FA9" w:rsidR="00794578" w:rsidRPr="00111F34" w:rsidRDefault="00794578" w:rsidP="00794578">
            <w:r w:rsidRPr="00111F34">
              <w:t xml:space="preserve">kumulativní působení vzhledem k již </w:t>
            </w:r>
            <w:r w:rsidR="00F65F92" w:rsidRPr="00111F34">
              <w:t>existujícím,</w:t>
            </w:r>
            <w:r w:rsidRPr="00111F34">
              <w:t xml:space="preserve"> resp. uvažovaným plochám/záměrům</w:t>
            </w:r>
          </w:p>
        </w:tc>
      </w:tr>
      <w:tr w:rsidR="00794578" w:rsidRPr="00111F34" w14:paraId="6537352B" w14:textId="77777777" w:rsidTr="00794578">
        <w:tc>
          <w:tcPr>
            <w:tcW w:w="467" w:type="pct"/>
            <w:tcBorders>
              <w:top w:val="single" w:sz="4" w:space="0" w:color="auto"/>
              <w:left w:val="single" w:sz="4" w:space="0" w:color="auto"/>
              <w:bottom w:val="single" w:sz="4" w:space="0" w:color="auto"/>
              <w:right w:val="single" w:sz="4" w:space="0" w:color="auto"/>
            </w:tcBorders>
            <w:shd w:val="clear" w:color="auto" w:fill="auto"/>
          </w:tcPr>
          <w:p w14:paraId="34E2BBE4" w14:textId="77777777" w:rsidR="00794578" w:rsidRPr="00111F34" w:rsidRDefault="00794578" w:rsidP="00794578">
            <w:r w:rsidRPr="00111F34">
              <w:t>S</w:t>
            </w:r>
          </w:p>
        </w:tc>
        <w:tc>
          <w:tcPr>
            <w:tcW w:w="4533" w:type="pct"/>
            <w:tcBorders>
              <w:top w:val="nil"/>
              <w:left w:val="single" w:sz="4" w:space="0" w:color="auto"/>
              <w:bottom w:val="nil"/>
              <w:right w:val="nil"/>
            </w:tcBorders>
            <w:shd w:val="clear" w:color="auto" w:fill="auto"/>
          </w:tcPr>
          <w:p w14:paraId="794EF5C3" w14:textId="6FAF830F" w:rsidR="00794578" w:rsidRPr="00111F34" w:rsidRDefault="00794578" w:rsidP="00794578">
            <w:r w:rsidRPr="00111F34">
              <w:rPr>
                <w:rFonts w:cs="Arial"/>
              </w:rPr>
              <w:t xml:space="preserve">synergické působení vzhledem k již </w:t>
            </w:r>
            <w:r w:rsidR="00F65F92" w:rsidRPr="00111F34">
              <w:rPr>
                <w:rFonts w:cs="Arial"/>
              </w:rPr>
              <w:t>existujícím,</w:t>
            </w:r>
            <w:r w:rsidRPr="00111F34">
              <w:rPr>
                <w:rFonts w:cs="Arial"/>
              </w:rPr>
              <w:t xml:space="preserve"> resp. uvažovaným plochám/záměrům</w:t>
            </w:r>
          </w:p>
        </w:tc>
      </w:tr>
      <w:tr w:rsidR="00794578" w:rsidRPr="00111F34" w14:paraId="56D76C6A" w14:textId="77777777" w:rsidTr="00794578">
        <w:tc>
          <w:tcPr>
            <w:tcW w:w="467" w:type="pct"/>
            <w:tcBorders>
              <w:top w:val="single" w:sz="4" w:space="0" w:color="auto"/>
              <w:left w:val="single" w:sz="4" w:space="0" w:color="auto"/>
              <w:bottom w:val="single" w:sz="4" w:space="0" w:color="auto"/>
              <w:right w:val="single" w:sz="4" w:space="0" w:color="auto"/>
            </w:tcBorders>
            <w:shd w:val="clear" w:color="auto" w:fill="D99594"/>
          </w:tcPr>
          <w:p w14:paraId="11FFB23A" w14:textId="77777777" w:rsidR="00794578" w:rsidRPr="00111F34" w:rsidRDefault="00794578" w:rsidP="00794578"/>
        </w:tc>
        <w:tc>
          <w:tcPr>
            <w:tcW w:w="4533" w:type="pct"/>
            <w:tcBorders>
              <w:top w:val="nil"/>
              <w:left w:val="single" w:sz="4" w:space="0" w:color="auto"/>
              <w:bottom w:val="nil"/>
              <w:right w:val="nil"/>
            </w:tcBorders>
            <w:shd w:val="clear" w:color="auto" w:fill="auto"/>
          </w:tcPr>
          <w:p w14:paraId="19651B5D" w14:textId="279187D7" w:rsidR="00794578" w:rsidRPr="00111F34" w:rsidRDefault="00794578" w:rsidP="00794578">
            <w:r w:rsidRPr="00111F34">
              <w:t xml:space="preserve">potenciálně mírně negativní vliv </w:t>
            </w:r>
            <w:r w:rsidRPr="00111F34">
              <w:rPr>
                <w:rFonts w:cs="Arial"/>
              </w:rPr>
              <w:t>s </w:t>
            </w:r>
            <w:r w:rsidR="00F65F92" w:rsidRPr="00111F34">
              <w:rPr>
                <w:rFonts w:cs="Arial"/>
              </w:rPr>
              <w:t>kumulativním,</w:t>
            </w:r>
            <w:r w:rsidRPr="00111F34">
              <w:rPr>
                <w:rFonts w:cs="Arial"/>
              </w:rPr>
              <w:t xml:space="preserve"> resp. synergickým dopadem mezi navrhovaným </w:t>
            </w:r>
            <w:r w:rsidR="00F65F92" w:rsidRPr="00111F34">
              <w:rPr>
                <w:rFonts w:cs="Arial"/>
              </w:rPr>
              <w:t>opatřením,</w:t>
            </w:r>
            <w:r w:rsidRPr="00111F34">
              <w:rPr>
                <w:rFonts w:cs="Arial"/>
              </w:rPr>
              <w:t xml:space="preserve"> resp. stávajícím a navrhovaným využitím souvisejícího území, odpovídá pomyslné hodnotě -1 míry </w:t>
            </w:r>
            <w:r w:rsidR="00F65F92" w:rsidRPr="00111F34">
              <w:rPr>
                <w:rFonts w:cs="Arial"/>
              </w:rPr>
              <w:t>kumulativního,</w:t>
            </w:r>
            <w:r w:rsidRPr="00111F34">
              <w:rPr>
                <w:rFonts w:cs="Arial"/>
              </w:rPr>
              <w:t xml:space="preserve"> resp. synergického vlivu</w:t>
            </w:r>
          </w:p>
        </w:tc>
      </w:tr>
      <w:tr w:rsidR="00794578" w:rsidRPr="00111F34" w14:paraId="299F5F18" w14:textId="77777777" w:rsidTr="00794578">
        <w:tc>
          <w:tcPr>
            <w:tcW w:w="467" w:type="pct"/>
            <w:tcBorders>
              <w:top w:val="single" w:sz="4" w:space="0" w:color="auto"/>
              <w:left w:val="single" w:sz="4" w:space="0" w:color="auto"/>
              <w:bottom w:val="single" w:sz="4" w:space="0" w:color="auto"/>
              <w:right w:val="single" w:sz="4" w:space="0" w:color="auto"/>
            </w:tcBorders>
            <w:shd w:val="clear" w:color="auto" w:fill="943634"/>
          </w:tcPr>
          <w:p w14:paraId="2167101A" w14:textId="77777777" w:rsidR="00794578" w:rsidRPr="00111F34" w:rsidRDefault="00794578" w:rsidP="00794578"/>
        </w:tc>
        <w:tc>
          <w:tcPr>
            <w:tcW w:w="4533" w:type="pct"/>
            <w:tcBorders>
              <w:top w:val="nil"/>
              <w:left w:val="single" w:sz="4" w:space="0" w:color="auto"/>
              <w:bottom w:val="nil"/>
              <w:right w:val="nil"/>
            </w:tcBorders>
            <w:shd w:val="clear" w:color="auto" w:fill="auto"/>
          </w:tcPr>
          <w:p w14:paraId="09E17703" w14:textId="0530DBB0" w:rsidR="00794578" w:rsidRPr="00111F34" w:rsidRDefault="00794578" w:rsidP="00794578">
            <w:r w:rsidRPr="00111F34">
              <w:t xml:space="preserve">potenciálně významný negativní vliv </w:t>
            </w:r>
            <w:r w:rsidRPr="00111F34">
              <w:rPr>
                <w:rFonts w:cs="Arial"/>
              </w:rPr>
              <w:t>s </w:t>
            </w:r>
            <w:r w:rsidR="00F65F92" w:rsidRPr="00111F34">
              <w:rPr>
                <w:rFonts w:cs="Arial"/>
              </w:rPr>
              <w:t>kumulativním,</w:t>
            </w:r>
            <w:r w:rsidRPr="00111F34">
              <w:rPr>
                <w:rFonts w:cs="Arial"/>
              </w:rPr>
              <w:t xml:space="preserve"> resp. synergickým dopadem mezi navrhovaným </w:t>
            </w:r>
            <w:r w:rsidR="00F65F92" w:rsidRPr="00111F34">
              <w:rPr>
                <w:rFonts w:cs="Arial"/>
              </w:rPr>
              <w:t>opatřením,</w:t>
            </w:r>
            <w:r w:rsidRPr="00111F34">
              <w:rPr>
                <w:rFonts w:cs="Arial"/>
              </w:rPr>
              <w:t xml:space="preserve"> resp. stávajícím a navrhovaným využitím souvisejícího území, odpovídá pomyslné hodnotě -2 míry </w:t>
            </w:r>
            <w:r w:rsidR="00F65F92" w:rsidRPr="00111F34">
              <w:rPr>
                <w:rFonts w:cs="Arial"/>
              </w:rPr>
              <w:t>kumulativního,</w:t>
            </w:r>
            <w:r w:rsidRPr="00111F34">
              <w:rPr>
                <w:rFonts w:cs="Arial"/>
              </w:rPr>
              <w:t xml:space="preserve"> resp. synergického vlivu</w:t>
            </w:r>
          </w:p>
        </w:tc>
      </w:tr>
      <w:tr w:rsidR="00794578" w:rsidRPr="00111F34" w14:paraId="743014BD" w14:textId="77777777" w:rsidTr="00794578">
        <w:tc>
          <w:tcPr>
            <w:tcW w:w="467" w:type="pct"/>
            <w:tcBorders>
              <w:top w:val="single" w:sz="4" w:space="0" w:color="auto"/>
              <w:left w:val="single" w:sz="4" w:space="0" w:color="auto"/>
              <w:bottom w:val="single" w:sz="4" w:space="0" w:color="auto"/>
              <w:right w:val="single" w:sz="4" w:space="0" w:color="auto"/>
            </w:tcBorders>
            <w:shd w:val="clear" w:color="auto" w:fill="auto"/>
          </w:tcPr>
          <w:p w14:paraId="620FED9D" w14:textId="77777777" w:rsidR="00794578" w:rsidRPr="00111F34" w:rsidRDefault="00794578" w:rsidP="00794578"/>
        </w:tc>
        <w:tc>
          <w:tcPr>
            <w:tcW w:w="4533" w:type="pct"/>
            <w:tcBorders>
              <w:top w:val="nil"/>
              <w:left w:val="single" w:sz="4" w:space="0" w:color="auto"/>
              <w:bottom w:val="nil"/>
              <w:right w:val="nil"/>
            </w:tcBorders>
            <w:shd w:val="clear" w:color="auto" w:fill="auto"/>
          </w:tcPr>
          <w:p w14:paraId="181B8E55" w14:textId="72B9661D" w:rsidR="00794578" w:rsidRPr="00111F34" w:rsidRDefault="00794578" w:rsidP="00794578">
            <w:r w:rsidRPr="00111F34">
              <w:rPr>
                <w:rFonts w:cs="Arial"/>
              </w:rPr>
              <w:t>nebyla identifikována potenciální vazba s </w:t>
            </w:r>
            <w:r w:rsidR="00F65F92" w:rsidRPr="00111F34">
              <w:rPr>
                <w:rFonts w:cs="Arial"/>
              </w:rPr>
              <w:t>kumulativním,</w:t>
            </w:r>
            <w:r w:rsidRPr="00111F34">
              <w:rPr>
                <w:rFonts w:cs="Arial"/>
              </w:rPr>
              <w:t xml:space="preserve"> resp. synergickým spolupůsobením mezi navrhovaným </w:t>
            </w:r>
            <w:r w:rsidR="00F65F92" w:rsidRPr="00111F34">
              <w:rPr>
                <w:rFonts w:cs="Arial"/>
              </w:rPr>
              <w:t>opatřením,</w:t>
            </w:r>
            <w:r w:rsidRPr="00111F34">
              <w:rPr>
                <w:rFonts w:cs="Arial"/>
              </w:rPr>
              <w:t xml:space="preserve"> resp. stávajícím a navrhovaným využitím souvisejícího území </w:t>
            </w:r>
          </w:p>
        </w:tc>
      </w:tr>
      <w:tr w:rsidR="00794578" w:rsidRPr="00111F34" w14:paraId="1A575A21" w14:textId="77777777" w:rsidTr="00794578">
        <w:tc>
          <w:tcPr>
            <w:tcW w:w="467" w:type="pct"/>
            <w:tcBorders>
              <w:top w:val="single" w:sz="4" w:space="0" w:color="auto"/>
              <w:left w:val="single" w:sz="4" w:space="0" w:color="auto"/>
              <w:bottom w:val="single" w:sz="4" w:space="0" w:color="auto"/>
              <w:right w:val="single" w:sz="4" w:space="0" w:color="auto"/>
            </w:tcBorders>
            <w:shd w:val="clear" w:color="auto" w:fill="D5E898"/>
          </w:tcPr>
          <w:p w14:paraId="739889E6" w14:textId="77777777" w:rsidR="00794578" w:rsidRPr="00111F34" w:rsidRDefault="00794578" w:rsidP="00794578"/>
        </w:tc>
        <w:tc>
          <w:tcPr>
            <w:tcW w:w="4533" w:type="pct"/>
            <w:tcBorders>
              <w:top w:val="nil"/>
              <w:left w:val="single" w:sz="4" w:space="0" w:color="auto"/>
              <w:bottom w:val="nil"/>
              <w:right w:val="nil"/>
            </w:tcBorders>
            <w:shd w:val="clear" w:color="auto" w:fill="auto"/>
          </w:tcPr>
          <w:p w14:paraId="3DEF247B" w14:textId="617174F2" w:rsidR="00794578" w:rsidRPr="00111F34" w:rsidRDefault="00794578" w:rsidP="00794578">
            <w:r w:rsidRPr="00111F34">
              <w:t xml:space="preserve">potenciálně mírně pozitivní vliv </w:t>
            </w:r>
            <w:r w:rsidRPr="00111F34">
              <w:rPr>
                <w:rFonts w:cs="Arial"/>
              </w:rPr>
              <w:t>s </w:t>
            </w:r>
            <w:r w:rsidR="00F65F92" w:rsidRPr="00111F34">
              <w:rPr>
                <w:rFonts w:cs="Arial"/>
              </w:rPr>
              <w:t>kumulativním,</w:t>
            </w:r>
            <w:r w:rsidRPr="00111F34">
              <w:rPr>
                <w:rFonts w:cs="Arial"/>
              </w:rPr>
              <w:t xml:space="preserve"> resp. synergickým dopadem mezi navrhovaným </w:t>
            </w:r>
            <w:r w:rsidR="00F65F92" w:rsidRPr="00111F34">
              <w:rPr>
                <w:rFonts w:cs="Arial"/>
              </w:rPr>
              <w:t>opatřením,</w:t>
            </w:r>
            <w:r w:rsidRPr="00111F34">
              <w:rPr>
                <w:rFonts w:cs="Arial"/>
              </w:rPr>
              <w:t xml:space="preserve"> resp. stávajícím a navrhovaným využitím souvisejícího území, odpovídá pomyslné hodnotě +1 míry </w:t>
            </w:r>
            <w:r w:rsidR="00F65F92" w:rsidRPr="00111F34">
              <w:rPr>
                <w:rFonts w:cs="Arial"/>
              </w:rPr>
              <w:t>kumulativního,</w:t>
            </w:r>
            <w:r w:rsidRPr="00111F34">
              <w:rPr>
                <w:rFonts w:cs="Arial"/>
              </w:rPr>
              <w:t xml:space="preserve"> resp. synergického vlivu</w:t>
            </w:r>
          </w:p>
        </w:tc>
      </w:tr>
      <w:tr w:rsidR="00794578" w:rsidRPr="00111F34" w14:paraId="3B12B3BB" w14:textId="77777777" w:rsidTr="00794578">
        <w:tc>
          <w:tcPr>
            <w:tcW w:w="467" w:type="pct"/>
            <w:tcBorders>
              <w:top w:val="single" w:sz="4" w:space="0" w:color="auto"/>
              <w:left w:val="single" w:sz="4" w:space="0" w:color="auto"/>
              <w:bottom w:val="single" w:sz="18" w:space="0" w:color="FF0000"/>
              <w:right w:val="single" w:sz="4" w:space="0" w:color="auto"/>
            </w:tcBorders>
            <w:shd w:val="clear" w:color="auto" w:fill="9BBB59"/>
          </w:tcPr>
          <w:p w14:paraId="2429567E" w14:textId="77777777" w:rsidR="00794578" w:rsidRPr="00111F34" w:rsidRDefault="00794578" w:rsidP="00794578"/>
        </w:tc>
        <w:tc>
          <w:tcPr>
            <w:tcW w:w="4533" w:type="pct"/>
            <w:tcBorders>
              <w:top w:val="nil"/>
              <w:left w:val="single" w:sz="4" w:space="0" w:color="auto"/>
              <w:bottom w:val="nil"/>
              <w:right w:val="nil"/>
            </w:tcBorders>
            <w:shd w:val="clear" w:color="auto" w:fill="auto"/>
          </w:tcPr>
          <w:p w14:paraId="60E7E395" w14:textId="03A3971C" w:rsidR="00794578" w:rsidRPr="00111F34" w:rsidRDefault="00794578" w:rsidP="00794578">
            <w:r w:rsidRPr="00111F34">
              <w:t xml:space="preserve">potenciálně významně pozitivní vliv </w:t>
            </w:r>
            <w:r w:rsidRPr="00111F34">
              <w:rPr>
                <w:rFonts w:cs="Arial"/>
              </w:rPr>
              <w:t>s </w:t>
            </w:r>
            <w:r w:rsidR="00F65F92" w:rsidRPr="00111F34">
              <w:rPr>
                <w:rFonts w:cs="Arial"/>
              </w:rPr>
              <w:t>kumulativním,</w:t>
            </w:r>
            <w:r w:rsidRPr="00111F34">
              <w:rPr>
                <w:rFonts w:cs="Arial"/>
              </w:rPr>
              <w:t xml:space="preserve"> resp. synergickým dopadem mezi navrhovaným </w:t>
            </w:r>
            <w:r w:rsidR="00F65F92" w:rsidRPr="00111F34">
              <w:rPr>
                <w:rFonts w:cs="Arial"/>
              </w:rPr>
              <w:t>opatřením,</w:t>
            </w:r>
            <w:r w:rsidRPr="00111F34">
              <w:rPr>
                <w:rFonts w:cs="Arial"/>
              </w:rPr>
              <w:t xml:space="preserve"> resp. stávajícím a navrhovaným využitím souvisejícího území, odpovídá pomyslné hodnotě +2 míry </w:t>
            </w:r>
            <w:r w:rsidR="00F65F92" w:rsidRPr="00111F34">
              <w:rPr>
                <w:rFonts w:cs="Arial"/>
              </w:rPr>
              <w:t>kumulativního,</w:t>
            </w:r>
            <w:r w:rsidRPr="00111F34">
              <w:rPr>
                <w:rFonts w:cs="Arial"/>
              </w:rPr>
              <w:t xml:space="preserve"> resp. synergického vlivu</w:t>
            </w:r>
          </w:p>
        </w:tc>
      </w:tr>
      <w:tr w:rsidR="00794578" w:rsidRPr="00111F34" w14:paraId="308DEC64" w14:textId="77777777" w:rsidTr="00794578">
        <w:tc>
          <w:tcPr>
            <w:tcW w:w="467" w:type="pct"/>
            <w:tcBorders>
              <w:top w:val="single" w:sz="18" w:space="0" w:color="FF0000"/>
              <w:left w:val="single" w:sz="18" w:space="0" w:color="FF0000"/>
              <w:bottom w:val="single" w:sz="18" w:space="0" w:color="FF0000"/>
              <w:right w:val="single" w:sz="18" w:space="0" w:color="FF0000"/>
            </w:tcBorders>
            <w:shd w:val="clear" w:color="auto" w:fill="auto"/>
          </w:tcPr>
          <w:p w14:paraId="5785D64A" w14:textId="77777777" w:rsidR="00794578" w:rsidRPr="00111F34" w:rsidRDefault="00794578" w:rsidP="00794578"/>
        </w:tc>
        <w:tc>
          <w:tcPr>
            <w:tcW w:w="4533" w:type="pct"/>
            <w:tcBorders>
              <w:top w:val="nil"/>
              <w:left w:val="single" w:sz="18" w:space="0" w:color="FF0000"/>
              <w:bottom w:val="nil"/>
              <w:right w:val="nil"/>
            </w:tcBorders>
            <w:shd w:val="clear" w:color="auto" w:fill="auto"/>
          </w:tcPr>
          <w:p w14:paraId="447AA80E" w14:textId="77777777" w:rsidR="00794578" w:rsidRPr="00111F34" w:rsidRDefault="00794578" w:rsidP="00794578">
            <w:r w:rsidRPr="00111F34">
              <w:t>opačný směr působení impaktu v bezprostředním okolí plochy/koridoru oproti hodnocení směru kumulativního/synergického vlivu jako celku</w:t>
            </w:r>
          </w:p>
        </w:tc>
      </w:tr>
    </w:tbl>
    <w:p w14:paraId="227E82E5" w14:textId="77777777" w:rsidR="00794578" w:rsidRPr="00111F34" w:rsidRDefault="00794578" w:rsidP="00383412">
      <w:pPr>
        <w:spacing w:afterLines="40" w:after="96"/>
        <w:rPr>
          <w:rFonts w:cs="Arial"/>
        </w:rPr>
      </w:pPr>
      <w:r w:rsidRPr="00111F34">
        <w:rPr>
          <w:rFonts w:cs="Arial"/>
        </w:rPr>
        <w:t xml:space="preserve">Posouzení vlivů na udržitelný rozvoj území bylo provedeno tak, aby identifikovalo všechny pravděpodobné významné vlivy na základě známých faktů (studie, odborná literatura) i na základě údajů a informací obsažených v územním plánu a aby zároveň postihlo specifika regionu. </w:t>
      </w:r>
    </w:p>
    <w:p w14:paraId="6A704F99" w14:textId="7BEC9897" w:rsidR="00794578" w:rsidRPr="00111F34" w:rsidRDefault="00F65F92" w:rsidP="00794578">
      <w:pPr>
        <w:rPr>
          <w:rFonts w:cs="Arial"/>
        </w:rPr>
      </w:pPr>
      <w:r w:rsidRPr="00111F34">
        <w:rPr>
          <w:rFonts w:cs="Arial"/>
        </w:rPr>
        <w:t>Kumulativní,</w:t>
      </w:r>
      <w:r w:rsidR="00794578" w:rsidRPr="00111F34">
        <w:rPr>
          <w:rFonts w:cs="Arial"/>
        </w:rPr>
        <w:t xml:space="preserve"> resp. synergické vlivy, pokud jsou identifikovány, jsou vyhodnoceny stejným způsobem, jako v případě environmentálního pilíře udržitelného rozvoje viz výše. </w:t>
      </w:r>
    </w:p>
    <w:p w14:paraId="63CDF89F" w14:textId="77777777" w:rsidR="003A490B" w:rsidRPr="00111F34" w:rsidRDefault="003A490B" w:rsidP="00C1076B">
      <w:pPr>
        <w:rPr>
          <w:rFonts w:cs="Arial"/>
        </w:rPr>
        <w:sectPr w:rsidR="003A490B" w:rsidRPr="00111F34" w:rsidSect="00D718EF">
          <w:headerReference w:type="default" r:id="rId140"/>
          <w:footerReference w:type="default" r:id="rId141"/>
          <w:pgSz w:w="11906" w:h="16838" w:code="9"/>
          <w:pgMar w:top="1418" w:right="1134" w:bottom="1134" w:left="1134" w:header="709" w:footer="567" w:gutter="0"/>
          <w:cols w:space="227"/>
          <w:docGrid w:linePitch="360"/>
        </w:sectPr>
      </w:pPr>
    </w:p>
    <w:p w14:paraId="2AF9E753" w14:textId="4DEDBC26" w:rsidR="009B13BF" w:rsidRPr="00111F34" w:rsidRDefault="00F80CDD" w:rsidP="009B13BF">
      <w:pPr>
        <w:pStyle w:val="Nadpis4"/>
      </w:pPr>
      <w:r w:rsidRPr="00111F34">
        <w:lastRenderedPageBreak/>
        <w:t>Z</w:t>
      </w:r>
      <w:r w:rsidR="001663EA" w:rsidRPr="00111F34">
        <w:t>3827</w:t>
      </w:r>
      <w:r w:rsidRPr="00111F34">
        <w:t>/00</w:t>
      </w:r>
    </w:p>
    <w:tbl>
      <w:tblPr>
        <w:tblW w:w="5086"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4"/>
        <w:gridCol w:w="1275"/>
        <w:gridCol w:w="1301"/>
        <w:gridCol w:w="1304"/>
        <w:gridCol w:w="1304"/>
        <w:gridCol w:w="1365"/>
        <w:gridCol w:w="1324"/>
        <w:gridCol w:w="1322"/>
        <w:gridCol w:w="1310"/>
        <w:gridCol w:w="1304"/>
        <w:gridCol w:w="1429"/>
      </w:tblGrid>
      <w:tr w:rsidR="009B13BF" w:rsidRPr="00111F34" w14:paraId="48BDBFAE" w14:textId="77777777" w:rsidTr="009B13BF">
        <w:tc>
          <w:tcPr>
            <w:tcW w:w="5000" w:type="pct"/>
            <w:gridSpan w:val="11"/>
            <w:shd w:val="clear" w:color="auto" w:fill="FFFF00"/>
            <w:vAlign w:val="center"/>
          </w:tcPr>
          <w:p w14:paraId="502C2614" w14:textId="77777777" w:rsidR="009B13BF" w:rsidRPr="00111F34" w:rsidRDefault="009B13BF" w:rsidP="009B13BF">
            <w:pPr>
              <w:snapToGrid w:val="0"/>
              <w:spacing w:before="60"/>
              <w:jc w:val="center"/>
              <w:rPr>
                <w:b/>
                <w:sz w:val="16"/>
                <w:szCs w:val="16"/>
              </w:rPr>
            </w:pPr>
            <w:r w:rsidRPr="00111F34">
              <w:rPr>
                <w:b/>
                <w:sz w:val="16"/>
                <w:szCs w:val="16"/>
              </w:rPr>
              <w:t>Ekonomický a Sociální pilíř udržitelného rozvoje</w:t>
            </w:r>
          </w:p>
        </w:tc>
      </w:tr>
      <w:tr w:rsidR="009B13BF" w:rsidRPr="00111F34" w14:paraId="485989C5" w14:textId="77777777" w:rsidTr="009B13BF">
        <w:trPr>
          <w:trHeight w:val="136"/>
        </w:trPr>
        <w:tc>
          <w:tcPr>
            <w:tcW w:w="442" w:type="pct"/>
            <w:vMerge w:val="restart"/>
            <w:shd w:val="clear" w:color="auto" w:fill="auto"/>
            <w:vAlign w:val="center"/>
          </w:tcPr>
          <w:p w14:paraId="326F5E10" w14:textId="77777777" w:rsidR="009B13BF" w:rsidRPr="00111F34" w:rsidRDefault="009B13BF" w:rsidP="009B13BF">
            <w:pPr>
              <w:snapToGrid w:val="0"/>
              <w:spacing w:before="60"/>
              <w:jc w:val="center"/>
              <w:rPr>
                <w:rFonts w:ascii="Arial Narrow" w:hAnsi="Arial Narrow"/>
                <w:b/>
                <w:sz w:val="14"/>
                <w:szCs w:val="14"/>
              </w:rPr>
            </w:pPr>
            <w:r w:rsidRPr="00111F34">
              <w:rPr>
                <w:rFonts w:ascii="Arial Narrow" w:hAnsi="Arial Narrow"/>
                <w:b/>
                <w:sz w:val="14"/>
                <w:szCs w:val="14"/>
              </w:rPr>
              <w:t>Referenční cíle udržitelného rozvoje</w:t>
            </w:r>
          </w:p>
        </w:tc>
        <w:tc>
          <w:tcPr>
            <w:tcW w:w="2255" w:type="pct"/>
            <w:gridSpan w:val="5"/>
            <w:shd w:val="clear" w:color="auto" w:fill="auto"/>
          </w:tcPr>
          <w:p w14:paraId="75785C35" w14:textId="77777777" w:rsidR="009B13BF" w:rsidRPr="00111F34" w:rsidRDefault="009B13BF" w:rsidP="009B13BF">
            <w:pPr>
              <w:snapToGrid w:val="0"/>
              <w:spacing w:before="60"/>
              <w:jc w:val="center"/>
              <w:rPr>
                <w:b/>
                <w:sz w:val="14"/>
                <w:szCs w:val="14"/>
              </w:rPr>
            </w:pPr>
            <w:r w:rsidRPr="00111F34">
              <w:rPr>
                <w:b/>
                <w:sz w:val="14"/>
                <w:szCs w:val="14"/>
              </w:rPr>
              <w:t>Sociální pilíř</w:t>
            </w:r>
          </w:p>
        </w:tc>
        <w:tc>
          <w:tcPr>
            <w:tcW w:w="2303" w:type="pct"/>
            <w:gridSpan w:val="5"/>
            <w:shd w:val="clear" w:color="auto" w:fill="auto"/>
          </w:tcPr>
          <w:p w14:paraId="257659A3" w14:textId="77777777" w:rsidR="009B13BF" w:rsidRPr="00111F34" w:rsidRDefault="009B13BF" w:rsidP="009B13BF">
            <w:pPr>
              <w:snapToGrid w:val="0"/>
              <w:spacing w:before="60"/>
              <w:jc w:val="center"/>
              <w:rPr>
                <w:b/>
                <w:sz w:val="14"/>
                <w:szCs w:val="14"/>
              </w:rPr>
            </w:pPr>
            <w:r w:rsidRPr="00111F34">
              <w:rPr>
                <w:b/>
                <w:sz w:val="14"/>
                <w:szCs w:val="14"/>
              </w:rPr>
              <w:t>Hospodářský pilíř</w:t>
            </w:r>
          </w:p>
        </w:tc>
      </w:tr>
      <w:tr w:rsidR="009B13BF" w:rsidRPr="00111F34" w14:paraId="2F1AF936" w14:textId="77777777" w:rsidTr="009B13BF">
        <w:trPr>
          <w:trHeight w:val="136"/>
        </w:trPr>
        <w:tc>
          <w:tcPr>
            <w:tcW w:w="442" w:type="pct"/>
            <w:vMerge/>
            <w:shd w:val="clear" w:color="auto" w:fill="auto"/>
          </w:tcPr>
          <w:p w14:paraId="2E073651" w14:textId="77777777" w:rsidR="009B13BF" w:rsidRPr="00111F34" w:rsidRDefault="009B13BF" w:rsidP="009B13BF">
            <w:pPr>
              <w:snapToGrid w:val="0"/>
              <w:spacing w:before="60"/>
              <w:rPr>
                <w:b/>
                <w:sz w:val="14"/>
                <w:szCs w:val="14"/>
              </w:rPr>
            </w:pPr>
          </w:p>
        </w:tc>
        <w:tc>
          <w:tcPr>
            <w:tcW w:w="439" w:type="pct"/>
            <w:shd w:val="clear" w:color="auto" w:fill="auto"/>
            <w:vAlign w:val="bottom"/>
          </w:tcPr>
          <w:p w14:paraId="65BB7C8B" w14:textId="08402208" w:rsidR="009B13BF" w:rsidRPr="00111F34" w:rsidRDefault="009B13BF" w:rsidP="009B13BF">
            <w:pPr>
              <w:spacing w:before="60"/>
              <w:jc w:val="center"/>
              <w:rPr>
                <w:rFonts w:ascii="Arial Narrow" w:hAnsi="Arial Narrow"/>
                <w:color w:val="000000"/>
                <w:sz w:val="14"/>
                <w:szCs w:val="14"/>
              </w:rPr>
            </w:pPr>
            <w:r w:rsidRPr="00111F34">
              <w:rPr>
                <w:rFonts w:ascii="Arial Narrow" w:hAnsi="Arial Narrow"/>
                <w:color w:val="000000"/>
                <w:sz w:val="14"/>
                <w:szCs w:val="14"/>
              </w:rPr>
              <w:t>1.1 Zvýšením nabídky kvalitního bydlení zastavit odliv ekonomicky aktivních obyvatel a podpořit omezení suburbanizace</w:t>
            </w:r>
          </w:p>
        </w:tc>
        <w:tc>
          <w:tcPr>
            <w:tcW w:w="448" w:type="pct"/>
            <w:shd w:val="clear" w:color="auto" w:fill="auto"/>
            <w:vAlign w:val="bottom"/>
          </w:tcPr>
          <w:p w14:paraId="64A5C666" w14:textId="30BDE167" w:rsidR="009B13BF" w:rsidRPr="00111F34" w:rsidRDefault="009B13BF" w:rsidP="009B13BF">
            <w:pPr>
              <w:spacing w:before="60"/>
              <w:jc w:val="center"/>
              <w:rPr>
                <w:rFonts w:ascii="Arial Narrow" w:hAnsi="Arial Narrow"/>
                <w:color w:val="000000"/>
                <w:sz w:val="14"/>
                <w:szCs w:val="14"/>
              </w:rPr>
            </w:pPr>
            <w:r w:rsidRPr="00111F34">
              <w:rPr>
                <w:rFonts w:ascii="Arial Narrow" w:hAnsi="Arial Narrow"/>
                <w:color w:val="000000"/>
                <w:sz w:val="14"/>
                <w:szCs w:val="14"/>
              </w:rPr>
              <w:t>1.2 Zajistit dostupnost sportovního vyžití v kvalitním prostředí</w:t>
            </w:r>
          </w:p>
        </w:tc>
        <w:tc>
          <w:tcPr>
            <w:tcW w:w="449" w:type="pct"/>
            <w:shd w:val="clear" w:color="auto" w:fill="auto"/>
            <w:vAlign w:val="bottom"/>
          </w:tcPr>
          <w:p w14:paraId="46B91218" w14:textId="7AF2BD4F" w:rsidR="009B13BF" w:rsidRPr="00111F34" w:rsidRDefault="009B13BF" w:rsidP="009B13BF">
            <w:pPr>
              <w:spacing w:before="60"/>
              <w:jc w:val="center"/>
              <w:rPr>
                <w:rFonts w:ascii="Arial Narrow" w:hAnsi="Arial Narrow"/>
                <w:color w:val="000000"/>
                <w:sz w:val="14"/>
                <w:szCs w:val="14"/>
              </w:rPr>
            </w:pPr>
            <w:r w:rsidRPr="00111F34">
              <w:rPr>
                <w:rFonts w:ascii="Arial Narrow" w:hAnsi="Arial Narrow"/>
                <w:color w:val="000000"/>
                <w:sz w:val="14"/>
                <w:szCs w:val="14"/>
              </w:rPr>
              <w:t>1.3 Chránit a rozvíjet možnosti rekreace a komunitního setkávání</w:t>
            </w:r>
          </w:p>
        </w:tc>
        <w:tc>
          <w:tcPr>
            <w:tcW w:w="449" w:type="pct"/>
            <w:shd w:val="clear" w:color="auto" w:fill="auto"/>
            <w:vAlign w:val="bottom"/>
          </w:tcPr>
          <w:p w14:paraId="44F7F0CB" w14:textId="628624C5" w:rsidR="009B13BF" w:rsidRPr="00111F34" w:rsidRDefault="009B13BF" w:rsidP="009B13BF">
            <w:pPr>
              <w:spacing w:before="60"/>
              <w:jc w:val="center"/>
              <w:rPr>
                <w:rFonts w:ascii="Arial Narrow" w:hAnsi="Arial Narrow"/>
                <w:color w:val="000000"/>
                <w:sz w:val="14"/>
                <w:szCs w:val="14"/>
              </w:rPr>
            </w:pPr>
            <w:r w:rsidRPr="00111F34">
              <w:rPr>
                <w:rFonts w:ascii="Arial Narrow" w:hAnsi="Arial Narrow"/>
                <w:color w:val="000000"/>
                <w:sz w:val="14"/>
                <w:szCs w:val="14"/>
              </w:rPr>
              <w:t xml:space="preserve">1.4 Zlepšovat dostupnost a spektrum veřejné občanské vybavenosti  </w:t>
            </w:r>
          </w:p>
        </w:tc>
        <w:tc>
          <w:tcPr>
            <w:tcW w:w="470" w:type="pct"/>
            <w:shd w:val="clear" w:color="auto" w:fill="auto"/>
            <w:vAlign w:val="bottom"/>
          </w:tcPr>
          <w:p w14:paraId="76DD7FEC" w14:textId="04B4C09F" w:rsidR="009B13BF" w:rsidRPr="00111F34" w:rsidRDefault="009B13BF" w:rsidP="009B13BF">
            <w:pPr>
              <w:spacing w:before="60"/>
              <w:jc w:val="center"/>
              <w:rPr>
                <w:rFonts w:ascii="Arial Narrow" w:hAnsi="Arial Narrow"/>
                <w:color w:val="000000"/>
                <w:sz w:val="14"/>
                <w:szCs w:val="14"/>
              </w:rPr>
            </w:pPr>
            <w:r w:rsidRPr="00111F34">
              <w:rPr>
                <w:rFonts w:ascii="Arial Narrow" w:hAnsi="Arial Narrow"/>
                <w:color w:val="000000"/>
                <w:sz w:val="14"/>
                <w:szCs w:val="14"/>
              </w:rPr>
              <w:t>1.5 Pomocí technických a územně plánovacích opatření zlepšit podmínky bydlení a bezpečnost obyvatel</w:t>
            </w:r>
          </w:p>
        </w:tc>
        <w:tc>
          <w:tcPr>
            <w:tcW w:w="456" w:type="pct"/>
            <w:shd w:val="clear" w:color="auto" w:fill="auto"/>
            <w:vAlign w:val="bottom"/>
          </w:tcPr>
          <w:p w14:paraId="2A817B52" w14:textId="44274254" w:rsidR="009B13BF" w:rsidRPr="00111F34" w:rsidRDefault="009B13BF" w:rsidP="009B13BF">
            <w:pPr>
              <w:spacing w:before="60"/>
              <w:jc w:val="center"/>
              <w:rPr>
                <w:rFonts w:ascii="Arial Narrow" w:hAnsi="Arial Narrow"/>
                <w:color w:val="000000"/>
                <w:sz w:val="14"/>
                <w:szCs w:val="14"/>
              </w:rPr>
            </w:pPr>
            <w:r w:rsidRPr="00111F34">
              <w:rPr>
                <w:rFonts w:ascii="Arial Narrow" w:hAnsi="Arial Narrow"/>
                <w:color w:val="000000"/>
                <w:sz w:val="14"/>
                <w:szCs w:val="14"/>
              </w:rPr>
              <w:t>2.1 Racionálně využívat možnosti rozvoje stávajícího urbanizovaného území při respektování jeho hodnot</w:t>
            </w:r>
          </w:p>
        </w:tc>
        <w:tc>
          <w:tcPr>
            <w:tcW w:w="455" w:type="pct"/>
            <w:shd w:val="clear" w:color="auto" w:fill="auto"/>
            <w:vAlign w:val="bottom"/>
          </w:tcPr>
          <w:p w14:paraId="4464B28F" w14:textId="756E2346" w:rsidR="009B13BF" w:rsidRPr="00111F34" w:rsidRDefault="009B13BF" w:rsidP="009B13BF">
            <w:pPr>
              <w:spacing w:before="60"/>
              <w:jc w:val="center"/>
              <w:rPr>
                <w:rFonts w:ascii="Arial Narrow" w:hAnsi="Arial Narrow"/>
                <w:color w:val="000000"/>
                <w:sz w:val="14"/>
                <w:szCs w:val="14"/>
              </w:rPr>
            </w:pPr>
            <w:r w:rsidRPr="00111F34">
              <w:rPr>
                <w:rFonts w:ascii="Arial Narrow" w:hAnsi="Arial Narrow"/>
                <w:color w:val="000000"/>
                <w:sz w:val="14"/>
                <w:szCs w:val="14"/>
              </w:rPr>
              <w:t xml:space="preserve">2.2 Zabezpečit území pomocí rozvoje a optimalizace technické a dopravní infrastruktury </w:t>
            </w:r>
          </w:p>
        </w:tc>
        <w:tc>
          <w:tcPr>
            <w:tcW w:w="451" w:type="pct"/>
            <w:shd w:val="clear" w:color="auto" w:fill="auto"/>
            <w:vAlign w:val="bottom"/>
          </w:tcPr>
          <w:p w14:paraId="6622F382" w14:textId="0C2503B6" w:rsidR="009B13BF" w:rsidRPr="00111F34" w:rsidRDefault="009B13BF" w:rsidP="009B13BF">
            <w:pPr>
              <w:spacing w:before="60"/>
              <w:jc w:val="center"/>
              <w:rPr>
                <w:rFonts w:ascii="Arial Narrow" w:hAnsi="Arial Narrow"/>
                <w:color w:val="000000"/>
                <w:sz w:val="14"/>
                <w:szCs w:val="14"/>
              </w:rPr>
            </w:pPr>
            <w:r w:rsidRPr="00111F34">
              <w:rPr>
                <w:rFonts w:ascii="Arial Narrow" w:hAnsi="Arial Narrow"/>
                <w:color w:val="000000"/>
                <w:sz w:val="14"/>
                <w:szCs w:val="14"/>
              </w:rPr>
              <w:t>2.3 Zajistit prostorové možnosti pro rozvoj podnikání a zaměstnanosti při respektování environmentálního pilíře</w:t>
            </w:r>
          </w:p>
        </w:tc>
        <w:tc>
          <w:tcPr>
            <w:tcW w:w="449" w:type="pct"/>
            <w:shd w:val="clear" w:color="auto" w:fill="auto"/>
            <w:vAlign w:val="bottom"/>
          </w:tcPr>
          <w:p w14:paraId="65E4C114" w14:textId="03FBE554" w:rsidR="009B13BF" w:rsidRPr="00111F34" w:rsidRDefault="009B13BF" w:rsidP="009B13BF">
            <w:pPr>
              <w:spacing w:before="60"/>
              <w:jc w:val="center"/>
              <w:rPr>
                <w:rFonts w:ascii="Arial Narrow" w:hAnsi="Arial Narrow"/>
                <w:color w:val="000000"/>
                <w:sz w:val="14"/>
                <w:szCs w:val="14"/>
              </w:rPr>
            </w:pPr>
            <w:r w:rsidRPr="00111F34">
              <w:rPr>
                <w:rFonts w:ascii="Arial Narrow" w:hAnsi="Arial Narrow"/>
                <w:color w:val="000000"/>
                <w:sz w:val="14"/>
                <w:szCs w:val="14"/>
              </w:rPr>
              <w:t>2.4 Pomocí vhodných územně plánovacích opatření podpořit rozvoj environmentálně šetrného cestovního ruchu</w:t>
            </w:r>
          </w:p>
        </w:tc>
        <w:tc>
          <w:tcPr>
            <w:tcW w:w="492" w:type="pct"/>
            <w:shd w:val="clear" w:color="auto" w:fill="auto"/>
            <w:vAlign w:val="bottom"/>
          </w:tcPr>
          <w:p w14:paraId="13D009F7" w14:textId="2AA28D54" w:rsidR="009B13BF" w:rsidRPr="00111F34" w:rsidRDefault="009B13BF" w:rsidP="009B13BF">
            <w:pPr>
              <w:spacing w:before="60"/>
              <w:jc w:val="center"/>
              <w:rPr>
                <w:rFonts w:ascii="Arial Narrow" w:hAnsi="Arial Narrow"/>
                <w:color w:val="000000"/>
                <w:sz w:val="14"/>
                <w:szCs w:val="14"/>
              </w:rPr>
            </w:pPr>
            <w:r w:rsidRPr="00111F34">
              <w:rPr>
                <w:rFonts w:ascii="Arial Narrow" w:hAnsi="Arial Narrow"/>
                <w:color w:val="000000"/>
                <w:sz w:val="14"/>
                <w:szCs w:val="14"/>
              </w:rPr>
              <w:t>2.5 Efektivním územním plánováním přispět k optimalizaci sítě komerčních zařízení s respektováním životního prostředí</w:t>
            </w:r>
          </w:p>
        </w:tc>
      </w:tr>
      <w:tr w:rsidR="00132DE2" w:rsidRPr="00111F34" w14:paraId="7D3BEB36" w14:textId="77777777" w:rsidTr="00132DE2">
        <w:trPr>
          <w:trHeight w:val="136"/>
        </w:trPr>
        <w:tc>
          <w:tcPr>
            <w:tcW w:w="442" w:type="pct"/>
            <w:shd w:val="clear" w:color="auto" w:fill="auto"/>
          </w:tcPr>
          <w:p w14:paraId="38D75419" w14:textId="26DC3EEE" w:rsidR="00132DE2" w:rsidRPr="00111F34" w:rsidRDefault="00132DE2" w:rsidP="00132DE2">
            <w:pPr>
              <w:snapToGrid w:val="0"/>
              <w:spacing w:before="60"/>
              <w:rPr>
                <w:rFonts w:ascii="Arial Narrow" w:hAnsi="Arial Narrow"/>
                <w:b/>
                <w:sz w:val="14"/>
                <w:szCs w:val="14"/>
              </w:rPr>
            </w:pPr>
            <w:r w:rsidRPr="00111F34">
              <w:rPr>
                <w:rFonts w:ascii="Arial Narrow" w:hAnsi="Arial Narrow"/>
                <w:b/>
                <w:sz w:val="14"/>
                <w:szCs w:val="14"/>
              </w:rPr>
              <w:t>Z</w:t>
            </w:r>
            <w:r w:rsidR="001663EA" w:rsidRPr="00111F34">
              <w:rPr>
                <w:rFonts w:ascii="Arial Narrow" w:hAnsi="Arial Narrow"/>
                <w:b/>
                <w:sz w:val="14"/>
                <w:szCs w:val="14"/>
              </w:rPr>
              <w:t>3827</w:t>
            </w:r>
            <w:r w:rsidRPr="00111F34">
              <w:rPr>
                <w:rFonts w:ascii="Arial Narrow" w:hAnsi="Arial Narrow"/>
                <w:b/>
                <w:sz w:val="14"/>
                <w:szCs w:val="14"/>
              </w:rPr>
              <w:t>/00</w:t>
            </w:r>
          </w:p>
        </w:tc>
        <w:tc>
          <w:tcPr>
            <w:tcW w:w="439" w:type="pct"/>
            <w:shd w:val="clear" w:color="auto" w:fill="EAF1DD" w:themeFill="accent3" w:themeFillTint="33"/>
            <w:vAlign w:val="center"/>
          </w:tcPr>
          <w:p w14:paraId="37C227DD" w14:textId="1986FFF9" w:rsidR="00132DE2" w:rsidRPr="00111F34" w:rsidRDefault="00132DE2" w:rsidP="00132DE2">
            <w:pPr>
              <w:spacing w:before="60"/>
              <w:jc w:val="center"/>
              <w:rPr>
                <w:color w:val="000000"/>
                <w:sz w:val="14"/>
                <w:szCs w:val="16"/>
              </w:rPr>
            </w:pPr>
            <w:r w:rsidRPr="00111F34">
              <w:rPr>
                <w:rFonts w:cs="Arial"/>
                <w:color w:val="000000"/>
                <w:sz w:val="14"/>
                <w:szCs w:val="16"/>
                <w:lang w:eastAsia="cs-CZ"/>
              </w:rPr>
              <w:t>+2/B/dp/S</w:t>
            </w:r>
          </w:p>
        </w:tc>
        <w:tc>
          <w:tcPr>
            <w:tcW w:w="448" w:type="pct"/>
            <w:shd w:val="clear" w:color="auto" w:fill="auto"/>
            <w:vAlign w:val="center"/>
          </w:tcPr>
          <w:p w14:paraId="2E800887" w14:textId="394D8898" w:rsidR="00132DE2" w:rsidRPr="00111F34" w:rsidRDefault="00132DE2" w:rsidP="00132DE2">
            <w:pPr>
              <w:spacing w:before="60"/>
              <w:jc w:val="center"/>
              <w:rPr>
                <w:color w:val="000000"/>
                <w:sz w:val="14"/>
                <w:szCs w:val="16"/>
              </w:rPr>
            </w:pPr>
            <w:r w:rsidRPr="00111F34">
              <w:rPr>
                <w:color w:val="000000"/>
                <w:sz w:val="14"/>
                <w:szCs w:val="16"/>
              </w:rPr>
              <w:t>0</w:t>
            </w:r>
          </w:p>
        </w:tc>
        <w:tc>
          <w:tcPr>
            <w:tcW w:w="449" w:type="pct"/>
            <w:shd w:val="clear" w:color="auto" w:fill="auto"/>
          </w:tcPr>
          <w:p w14:paraId="00D3E236" w14:textId="600865B8" w:rsidR="00132DE2" w:rsidRPr="00111F34" w:rsidRDefault="00132DE2" w:rsidP="00132DE2">
            <w:pPr>
              <w:spacing w:before="60"/>
              <w:jc w:val="center"/>
              <w:rPr>
                <w:color w:val="000000"/>
                <w:sz w:val="14"/>
                <w:szCs w:val="16"/>
              </w:rPr>
            </w:pPr>
            <w:r w:rsidRPr="00111F34">
              <w:rPr>
                <w:rFonts w:cs="Arial"/>
                <w:color w:val="000000"/>
                <w:sz w:val="14"/>
                <w:szCs w:val="16"/>
                <w:lang w:eastAsia="cs-CZ"/>
              </w:rPr>
              <w:t>+1/B/dp</w:t>
            </w:r>
          </w:p>
        </w:tc>
        <w:tc>
          <w:tcPr>
            <w:tcW w:w="449" w:type="pct"/>
            <w:shd w:val="clear" w:color="auto" w:fill="auto"/>
          </w:tcPr>
          <w:p w14:paraId="5B99E9D0" w14:textId="709E6ADC" w:rsidR="00132DE2" w:rsidRPr="00111F34" w:rsidRDefault="00132DE2" w:rsidP="00132DE2">
            <w:pPr>
              <w:spacing w:before="60"/>
              <w:jc w:val="center"/>
              <w:rPr>
                <w:color w:val="000000"/>
                <w:sz w:val="14"/>
                <w:szCs w:val="16"/>
              </w:rPr>
            </w:pPr>
            <w:r w:rsidRPr="00111F34">
              <w:rPr>
                <w:rFonts w:cs="Arial"/>
                <w:color w:val="000000"/>
                <w:sz w:val="14"/>
                <w:szCs w:val="16"/>
                <w:lang w:eastAsia="cs-CZ"/>
              </w:rPr>
              <w:t>+1/B/dp</w:t>
            </w:r>
          </w:p>
        </w:tc>
        <w:tc>
          <w:tcPr>
            <w:tcW w:w="470" w:type="pct"/>
            <w:shd w:val="clear" w:color="auto" w:fill="auto"/>
            <w:vAlign w:val="center"/>
          </w:tcPr>
          <w:p w14:paraId="3AABB33F" w14:textId="21D211B4" w:rsidR="00132DE2" w:rsidRPr="00111F34" w:rsidRDefault="00132DE2" w:rsidP="00132DE2">
            <w:pPr>
              <w:spacing w:before="60"/>
              <w:jc w:val="center"/>
              <w:rPr>
                <w:color w:val="000000"/>
                <w:sz w:val="14"/>
                <w:szCs w:val="16"/>
              </w:rPr>
            </w:pPr>
            <w:r w:rsidRPr="00111F34">
              <w:rPr>
                <w:color w:val="000000"/>
                <w:sz w:val="14"/>
                <w:szCs w:val="16"/>
              </w:rPr>
              <w:t>0</w:t>
            </w:r>
          </w:p>
        </w:tc>
        <w:tc>
          <w:tcPr>
            <w:tcW w:w="456" w:type="pct"/>
            <w:shd w:val="clear" w:color="auto" w:fill="EAF1DD" w:themeFill="accent3" w:themeFillTint="33"/>
            <w:vAlign w:val="center"/>
          </w:tcPr>
          <w:p w14:paraId="68083F4B" w14:textId="5C5A6E07" w:rsidR="00132DE2" w:rsidRPr="00111F34" w:rsidRDefault="00132DE2" w:rsidP="00132DE2">
            <w:pPr>
              <w:spacing w:before="60"/>
              <w:jc w:val="center"/>
              <w:rPr>
                <w:color w:val="000000"/>
                <w:sz w:val="14"/>
                <w:szCs w:val="16"/>
              </w:rPr>
            </w:pPr>
            <w:r w:rsidRPr="00111F34">
              <w:rPr>
                <w:color w:val="000000"/>
                <w:sz w:val="14"/>
                <w:szCs w:val="16"/>
              </w:rPr>
              <w:t>+1/B/dp/S</w:t>
            </w:r>
          </w:p>
        </w:tc>
        <w:tc>
          <w:tcPr>
            <w:tcW w:w="455" w:type="pct"/>
            <w:shd w:val="clear" w:color="auto" w:fill="auto"/>
            <w:vAlign w:val="center"/>
          </w:tcPr>
          <w:p w14:paraId="1F70FE0F" w14:textId="1F00BEC3" w:rsidR="00132DE2" w:rsidRPr="00111F34" w:rsidRDefault="00132DE2" w:rsidP="00132DE2">
            <w:pPr>
              <w:spacing w:before="60"/>
              <w:jc w:val="center"/>
              <w:rPr>
                <w:color w:val="000000"/>
                <w:sz w:val="14"/>
                <w:szCs w:val="16"/>
              </w:rPr>
            </w:pPr>
            <w:r w:rsidRPr="00111F34">
              <w:rPr>
                <w:color w:val="000000"/>
                <w:sz w:val="14"/>
                <w:szCs w:val="16"/>
              </w:rPr>
              <w:t>+1/B/dp</w:t>
            </w:r>
          </w:p>
        </w:tc>
        <w:tc>
          <w:tcPr>
            <w:tcW w:w="451" w:type="pct"/>
            <w:shd w:val="clear" w:color="auto" w:fill="auto"/>
            <w:vAlign w:val="center"/>
          </w:tcPr>
          <w:p w14:paraId="4CCF48CF" w14:textId="77E4D3CE" w:rsidR="00132DE2" w:rsidRPr="00111F34" w:rsidRDefault="00132DE2" w:rsidP="00132DE2">
            <w:pPr>
              <w:spacing w:before="60"/>
              <w:jc w:val="center"/>
              <w:rPr>
                <w:color w:val="000000"/>
                <w:sz w:val="14"/>
                <w:szCs w:val="16"/>
              </w:rPr>
            </w:pPr>
            <w:r w:rsidRPr="00111F34">
              <w:rPr>
                <w:rFonts w:cs="Arial"/>
                <w:color w:val="000000"/>
                <w:sz w:val="14"/>
                <w:szCs w:val="16"/>
                <w:lang w:eastAsia="cs-CZ"/>
              </w:rPr>
              <w:t>+1/B/dp</w:t>
            </w:r>
          </w:p>
        </w:tc>
        <w:tc>
          <w:tcPr>
            <w:tcW w:w="449" w:type="pct"/>
            <w:shd w:val="clear" w:color="auto" w:fill="auto"/>
            <w:vAlign w:val="center"/>
          </w:tcPr>
          <w:p w14:paraId="4729125A" w14:textId="7B0D9073" w:rsidR="00132DE2" w:rsidRPr="00111F34" w:rsidRDefault="00132DE2" w:rsidP="00132DE2">
            <w:pPr>
              <w:spacing w:before="60"/>
              <w:jc w:val="center"/>
              <w:rPr>
                <w:color w:val="000000"/>
                <w:sz w:val="14"/>
                <w:szCs w:val="16"/>
              </w:rPr>
            </w:pPr>
            <w:r w:rsidRPr="00111F34">
              <w:rPr>
                <w:rFonts w:cs="Arial"/>
                <w:color w:val="000000"/>
                <w:sz w:val="14"/>
                <w:szCs w:val="16"/>
                <w:lang w:eastAsia="cs-CZ"/>
              </w:rPr>
              <w:t>0</w:t>
            </w:r>
          </w:p>
        </w:tc>
        <w:tc>
          <w:tcPr>
            <w:tcW w:w="492" w:type="pct"/>
            <w:shd w:val="clear" w:color="auto" w:fill="auto"/>
            <w:vAlign w:val="center"/>
          </w:tcPr>
          <w:p w14:paraId="0DB1E8C8" w14:textId="7F28B911" w:rsidR="00132DE2" w:rsidRPr="00111F34" w:rsidRDefault="00132DE2" w:rsidP="00132DE2">
            <w:pPr>
              <w:spacing w:before="60"/>
              <w:jc w:val="center"/>
              <w:rPr>
                <w:color w:val="000000"/>
                <w:sz w:val="14"/>
                <w:szCs w:val="16"/>
              </w:rPr>
            </w:pPr>
            <w:r w:rsidRPr="00111F34">
              <w:rPr>
                <w:rFonts w:cs="Arial"/>
                <w:color w:val="000000"/>
                <w:sz w:val="14"/>
                <w:szCs w:val="16"/>
                <w:lang w:eastAsia="cs-CZ"/>
              </w:rPr>
              <w:t>+1/B/dp</w:t>
            </w:r>
          </w:p>
        </w:tc>
      </w:tr>
      <w:tr w:rsidR="00F41393" w:rsidRPr="00111F34" w14:paraId="79C71CA7" w14:textId="77777777" w:rsidTr="009B13BF">
        <w:tc>
          <w:tcPr>
            <w:tcW w:w="5000" w:type="pct"/>
            <w:gridSpan w:val="11"/>
            <w:shd w:val="clear" w:color="auto" w:fill="auto"/>
          </w:tcPr>
          <w:p w14:paraId="36EEB337" w14:textId="77777777" w:rsidR="00F41393" w:rsidRPr="00111F34" w:rsidRDefault="00F41393" w:rsidP="00433A80">
            <w:pPr>
              <w:pStyle w:val="Texttabulky"/>
              <w:spacing w:before="60"/>
              <w:jc w:val="both"/>
              <w:rPr>
                <w:rFonts w:cs="Arial"/>
                <w:b/>
                <w:szCs w:val="16"/>
              </w:rPr>
            </w:pPr>
            <w:r w:rsidRPr="00111F34">
              <w:rPr>
                <w:rFonts w:cs="Arial"/>
                <w:b/>
                <w:szCs w:val="16"/>
              </w:rPr>
              <w:t xml:space="preserve">Komentář: </w:t>
            </w:r>
          </w:p>
          <w:p w14:paraId="501857D9" w14:textId="2889C195" w:rsidR="00DA430E" w:rsidRPr="00111F34" w:rsidRDefault="00770949" w:rsidP="0016566E">
            <w:pPr>
              <w:pStyle w:val="Texttabulky"/>
              <w:spacing w:before="60"/>
              <w:jc w:val="both"/>
              <w:rPr>
                <w:rFonts w:cs="Arial"/>
                <w:szCs w:val="16"/>
              </w:rPr>
            </w:pPr>
            <w:r w:rsidRPr="00111F34">
              <w:rPr>
                <w:rFonts w:cs="Arial"/>
                <w:szCs w:val="16"/>
              </w:rPr>
              <w:t xml:space="preserve">Řešené území je možno označit jako transformační (oblast Nového Sedlce) či rozvojové (Výhledy) a v budoucnu by mělo navázat na stabilní strukturu okolních sídel a doplnit jejich kompozici. </w:t>
            </w:r>
            <w:r w:rsidR="00DA430E" w:rsidRPr="00111F34">
              <w:rPr>
                <w:rFonts w:cs="Arial"/>
                <w:szCs w:val="16"/>
              </w:rPr>
              <w:t>Návrh změny vytváří předpoklady realizace připravovaného komplexního rozvoje rezidenčních lokalit Nový Sedlec a Výhledy, stabilizace tramvajové trati a dopravního řešení v koordinaci s ostatními záměry v území. Cílem změny je vzájemně smysluplně provázat území Sedlce a Suchdola a propojit tuto lokalitu i s centrem Prahy.</w:t>
            </w:r>
          </w:p>
          <w:p w14:paraId="2599FAAE" w14:textId="50EF0210" w:rsidR="00DA430E" w:rsidRPr="00111F34" w:rsidRDefault="00DA430E" w:rsidP="0016566E">
            <w:pPr>
              <w:pStyle w:val="Texttabulky"/>
              <w:spacing w:before="60"/>
              <w:jc w:val="both"/>
              <w:rPr>
                <w:rFonts w:cs="Arial"/>
                <w:szCs w:val="16"/>
              </w:rPr>
            </w:pPr>
            <w:r w:rsidRPr="00111F34">
              <w:rPr>
                <w:rFonts w:cs="Arial"/>
                <w:szCs w:val="16"/>
              </w:rPr>
              <w:t>Změna navrhuje zastavitelné plochy v rozsahu 133 083 m</w:t>
            </w:r>
            <w:r w:rsidRPr="00111F34">
              <w:rPr>
                <w:rFonts w:cs="Arial"/>
                <w:szCs w:val="16"/>
                <w:vertAlign w:val="superscript"/>
              </w:rPr>
              <w:t>2</w:t>
            </w:r>
            <w:r w:rsidRPr="00111F34">
              <w:rPr>
                <w:rFonts w:cs="Arial"/>
                <w:szCs w:val="16"/>
              </w:rPr>
              <w:t>. Oproti tomu návrh změny navrhuje plochy nezastavitelné a tímto ruší zastavitelné plochy v rozsahu 31 244 m</w:t>
            </w:r>
            <w:r w:rsidRPr="00111F34">
              <w:rPr>
                <w:rFonts w:cs="Arial"/>
                <w:szCs w:val="16"/>
                <w:vertAlign w:val="superscript"/>
              </w:rPr>
              <w:t>2</w:t>
            </w:r>
            <w:r w:rsidRPr="00111F34">
              <w:rPr>
                <w:rFonts w:cs="Arial"/>
                <w:szCs w:val="16"/>
              </w:rPr>
              <w:t>. Finálně je ve změně navrhován nárůst zastavitelných ploch v rozsahu 101 839 m</w:t>
            </w:r>
            <w:r w:rsidRPr="00111F34">
              <w:rPr>
                <w:rFonts w:cs="Arial"/>
                <w:szCs w:val="16"/>
                <w:vertAlign w:val="superscript"/>
              </w:rPr>
              <w:t>2</w:t>
            </w:r>
            <w:r w:rsidRPr="00111F34">
              <w:rPr>
                <w:rFonts w:cs="Arial"/>
                <w:szCs w:val="16"/>
              </w:rPr>
              <w:t>.</w:t>
            </w:r>
          </w:p>
          <w:p w14:paraId="4CF5488C" w14:textId="0204D10E" w:rsidR="00770949" w:rsidRPr="00111F34" w:rsidRDefault="00770949" w:rsidP="0016566E">
            <w:pPr>
              <w:pStyle w:val="Texttabulky"/>
              <w:spacing w:before="60"/>
              <w:jc w:val="both"/>
              <w:rPr>
                <w:rFonts w:cs="Arial"/>
                <w:szCs w:val="16"/>
              </w:rPr>
            </w:pPr>
            <w:r w:rsidRPr="00111F34">
              <w:rPr>
                <w:rFonts w:cs="Arial"/>
                <w:szCs w:val="16"/>
              </w:rPr>
              <w:t xml:space="preserve">Nový </w:t>
            </w:r>
            <w:r w:rsidR="00C51945" w:rsidRPr="00111F34">
              <w:rPr>
                <w:rFonts w:cs="Arial"/>
                <w:szCs w:val="16"/>
              </w:rPr>
              <w:t>Sedlec – Dle</w:t>
            </w:r>
            <w:r w:rsidRPr="00111F34">
              <w:rPr>
                <w:rFonts w:cs="Arial"/>
                <w:szCs w:val="16"/>
              </w:rPr>
              <w:t xml:space="preserve"> navržené urbanistické struktury a její výšky byly v podkladové urbanistické studii odvozeny kapacity nové zástavby v celkovém souhrnu cca 230 000 m</w:t>
            </w:r>
            <w:r w:rsidRPr="00111F34">
              <w:rPr>
                <w:rFonts w:cs="Arial"/>
                <w:szCs w:val="16"/>
                <w:vertAlign w:val="superscript"/>
              </w:rPr>
              <w:t>2</w:t>
            </w:r>
            <w:r w:rsidRPr="00111F34">
              <w:rPr>
                <w:rFonts w:cs="Arial"/>
                <w:szCs w:val="16"/>
              </w:rPr>
              <w:t xml:space="preserve"> hrubých podlažních ploch (přibližně 70 % bydlení), z nichž lze odhadnout, že potenciál řešeného území dává reálnou možnost pro přítomnost cca 3 300 obyvatel a cca 1 600 návštěvníků/pracovních míst.</w:t>
            </w:r>
          </w:p>
          <w:p w14:paraId="57047B23" w14:textId="3677C8A0" w:rsidR="00770949" w:rsidRPr="00111F34" w:rsidRDefault="00C51945" w:rsidP="0016566E">
            <w:pPr>
              <w:pStyle w:val="Texttabulky"/>
              <w:spacing w:before="60"/>
              <w:jc w:val="both"/>
              <w:rPr>
                <w:rFonts w:cs="Arial"/>
                <w:szCs w:val="16"/>
              </w:rPr>
            </w:pPr>
            <w:r w:rsidRPr="00111F34">
              <w:rPr>
                <w:rFonts w:cs="Arial"/>
                <w:szCs w:val="16"/>
              </w:rPr>
              <w:t>Výhledy – Dle</w:t>
            </w:r>
            <w:r w:rsidR="00770949" w:rsidRPr="00111F34">
              <w:rPr>
                <w:rFonts w:cs="Arial"/>
                <w:szCs w:val="16"/>
              </w:rPr>
              <w:t xml:space="preserve"> navrhované výšky a urbanistické struktury byly kapacity nové zástavby v této oblasti odvozeny v celkovém souhrnu cca 63 000 m</w:t>
            </w:r>
            <w:r w:rsidR="00770949" w:rsidRPr="00111F34">
              <w:rPr>
                <w:rFonts w:cs="Arial"/>
                <w:szCs w:val="16"/>
                <w:vertAlign w:val="superscript"/>
              </w:rPr>
              <w:t>2</w:t>
            </w:r>
            <w:r w:rsidR="00770949" w:rsidRPr="00111F34">
              <w:rPr>
                <w:rFonts w:cs="Arial"/>
                <w:szCs w:val="16"/>
              </w:rPr>
              <w:t xml:space="preserve"> hrubých podlažních ploch (přibližně 50 % bydlení). Z toho lze odhadnout, že potenciál řešeného území dává reálnou možnost pro přítomnost cca 700 obyvatel a cca 900 návštěvníků/pracovních míst.</w:t>
            </w:r>
          </w:p>
          <w:p w14:paraId="7EBB7D69" w14:textId="0B4B97A3" w:rsidR="00132DE2" w:rsidRPr="00111F34" w:rsidRDefault="00F41393" w:rsidP="0016566E">
            <w:pPr>
              <w:pStyle w:val="Texttabulky"/>
              <w:spacing w:before="60"/>
              <w:jc w:val="both"/>
              <w:rPr>
                <w:rFonts w:cs="Arial"/>
                <w:szCs w:val="16"/>
              </w:rPr>
            </w:pPr>
            <w:r w:rsidRPr="00111F34">
              <w:rPr>
                <w:rFonts w:cs="Arial"/>
                <w:szCs w:val="16"/>
              </w:rPr>
              <w:t>Změna umožní v předmětném území realizovat dopravní stavby v souladu s koncepcí územního plánu</w:t>
            </w:r>
            <w:r w:rsidR="001C07BE" w:rsidRPr="00111F34">
              <w:rPr>
                <w:rFonts w:cs="Arial"/>
                <w:szCs w:val="16"/>
              </w:rPr>
              <w:t>.</w:t>
            </w:r>
            <w:r w:rsidRPr="00111F34">
              <w:rPr>
                <w:rFonts w:cs="Arial"/>
                <w:szCs w:val="16"/>
              </w:rPr>
              <w:t xml:space="preserve"> </w:t>
            </w:r>
            <w:r w:rsidR="00DA430E" w:rsidRPr="00111F34">
              <w:rPr>
                <w:rFonts w:cs="Arial"/>
                <w:szCs w:val="16"/>
              </w:rPr>
              <w:t xml:space="preserve">Zároveň jsou vytvářeny územní předpoklady pro rozvoj rezidenčních funkcí s kvalitním přírodním rámcem, </w:t>
            </w:r>
            <w:r w:rsidRPr="00111F34">
              <w:rPr>
                <w:rFonts w:cs="Arial"/>
                <w:szCs w:val="16"/>
              </w:rPr>
              <w:t xml:space="preserve">dobrou dopravní dostupností i možnostmi komunitního života a trávení volného času obyvatel. </w:t>
            </w:r>
            <w:r w:rsidR="00DA430E" w:rsidRPr="00111F34">
              <w:rPr>
                <w:rFonts w:cs="Arial"/>
                <w:szCs w:val="16"/>
              </w:rPr>
              <w:t>Jsou vytvářeny územní předpoklady pro vybavení území veřejnou vybaveností v podobě školských zařízení.</w:t>
            </w:r>
            <w:r w:rsidR="00440C65" w:rsidRPr="00111F34">
              <w:rPr>
                <w:rFonts w:cs="Arial"/>
                <w:szCs w:val="16"/>
              </w:rPr>
              <w:t xml:space="preserve"> </w:t>
            </w:r>
            <w:r w:rsidR="00440C65" w:rsidRPr="00111F34">
              <w:rPr>
                <w:rFonts w:cs="Arial"/>
                <w:bCs/>
              </w:rPr>
              <w:t>Do lokality Nového Suchdola jsou umístěny plochy veřejného vybavení /VV/ sloužící jako rezerva pro základní a střední školy. Plocha pro mateřské školy, kulturní a komunitní centra, lékařskou vybavenost a poštu je vymezena plovoucí značkou /VV/ v ploše /OB-F/. Do plochy /SV-F/ se vkládá pevná značka /VV/ pro mateřskou školu</w:t>
            </w:r>
            <w:r w:rsidR="0016566E" w:rsidRPr="00111F34">
              <w:rPr>
                <w:rFonts w:cs="Arial"/>
                <w:bCs/>
              </w:rPr>
              <w:t>.</w:t>
            </w:r>
          </w:p>
        </w:tc>
      </w:tr>
      <w:tr w:rsidR="00F41393" w:rsidRPr="00111F34" w14:paraId="1C457962" w14:textId="77777777" w:rsidTr="009B13BF">
        <w:tc>
          <w:tcPr>
            <w:tcW w:w="5000" w:type="pct"/>
            <w:gridSpan w:val="11"/>
            <w:shd w:val="clear" w:color="auto" w:fill="auto"/>
          </w:tcPr>
          <w:p w14:paraId="66A32814" w14:textId="5539AD4C" w:rsidR="00F41393" w:rsidRPr="00111F34" w:rsidRDefault="00F41393" w:rsidP="009B13BF">
            <w:pPr>
              <w:snapToGrid w:val="0"/>
              <w:spacing w:before="60"/>
              <w:rPr>
                <w:b/>
                <w:sz w:val="16"/>
                <w:szCs w:val="16"/>
              </w:rPr>
            </w:pPr>
            <w:r w:rsidRPr="00111F34">
              <w:rPr>
                <w:b/>
                <w:sz w:val="16"/>
                <w:szCs w:val="16"/>
              </w:rPr>
              <w:t xml:space="preserve">Pozitivní vlivy: </w:t>
            </w:r>
            <w:r w:rsidRPr="00111F34">
              <w:rPr>
                <w:sz w:val="16"/>
                <w:szCs w:val="16"/>
              </w:rPr>
              <w:t xml:space="preserve">Zlepšení bezpečnosti a kvality bydlení, vytvoření územních předpokladů pro využití území s dobrou dopravní dostupností jako prevenci suburbanizace. </w:t>
            </w:r>
            <w:r w:rsidR="00132DE2" w:rsidRPr="00111F34">
              <w:rPr>
                <w:rFonts w:cs="Arial"/>
                <w:bCs/>
                <w:sz w:val="16"/>
                <w:szCs w:val="16"/>
                <w:lang w:eastAsia="cs-CZ"/>
              </w:rPr>
              <w:t>Významně p</w:t>
            </w:r>
            <w:r w:rsidR="00132DE2" w:rsidRPr="00111F34">
              <w:rPr>
                <w:rFonts w:cs="Arial"/>
                <w:sz w:val="16"/>
                <w:szCs w:val="16"/>
                <w:lang w:eastAsia="cs-CZ"/>
              </w:rPr>
              <w:t>ozitivně vůči sociálním</w:t>
            </w:r>
            <w:r w:rsidR="001C07BE" w:rsidRPr="00111F34">
              <w:rPr>
                <w:rFonts w:cs="Arial"/>
                <w:sz w:val="16"/>
                <w:szCs w:val="16"/>
                <w:lang w:eastAsia="cs-CZ"/>
              </w:rPr>
              <w:t>u</w:t>
            </w:r>
            <w:r w:rsidR="00132DE2" w:rsidRPr="00111F34">
              <w:rPr>
                <w:rFonts w:cs="Arial"/>
                <w:sz w:val="16"/>
                <w:szCs w:val="16"/>
                <w:lang w:eastAsia="cs-CZ"/>
              </w:rPr>
              <w:t xml:space="preserve"> i ekonomickému pilíři udržitelného rozvoje se projeví vybavení území </w:t>
            </w:r>
            <w:r w:rsidR="00DA430E" w:rsidRPr="00111F34">
              <w:rPr>
                <w:rFonts w:cs="Arial"/>
                <w:sz w:val="16"/>
                <w:szCs w:val="16"/>
                <w:lang w:eastAsia="cs-CZ"/>
              </w:rPr>
              <w:t>veřejnou a občanskou</w:t>
            </w:r>
            <w:r w:rsidR="00132DE2" w:rsidRPr="00111F34">
              <w:rPr>
                <w:rFonts w:cs="Arial"/>
                <w:sz w:val="16"/>
                <w:szCs w:val="16"/>
                <w:lang w:eastAsia="cs-CZ"/>
              </w:rPr>
              <w:t xml:space="preserve"> vybaveností a rozšířením možností bydlení, služeb a podnikání v podobě smíšených ploch s pozitivním spolupůsobením z hlediska ostatních souvisejících projektů a strategických rozhodnutí v řešeném území (</w:t>
            </w:r>
            <w:r w:rsidR="00DA430E" w:rsidRPr="00111F34">
              <w:rPr>
                <w:rFonts w:cs="Arial"/>
                <w:sz w:val="16"/>
                <w:szCs w:val="16"/>
                <w:lang w:eastAsia="cs-CZ"/>
              </w:rPr>
              <w:t>vybavení území dopravní infrastrukturou, dostavba SOKP</w:t>
            </w:r>
            <w:r w:rsidR="00132DE2" w:rsidRPr="00111F34">
              <w:rPr>
                <w:rFonts w:cs="Arial"/>
                <w:sz w:val="16"/>
                <w:szCs w:val="16"/>
                <w:lang w:eastAsia="cs-CZ"/>
              </w:rPr>
              <w:t>)</w:t>
            </w:r>
            <w:r w:rsidR="004A5874" w:rsidRPr="00111F34">
              <w:rPr>
                <w:rFonts w:cs="Arial"/>
                <w:sz w:val="16"/>
                <w:szCs w:val="16"/>
                <w:lang w:eastAsia="cs-CZ"/>
              </w:rPr>
              <w:t xml:space="preserve">. </w:t>
            </w:r>
            <w:r w:rsidR="00DA430E" w:rsidRPr="00111F34">
              <w:rPr>
                <w:rFonts w:cs="Arial"/>
                <w:sz w:val="16"/>
                <w:szCs w:val="16"/>
                <w:lang w:eastAsia="cs-CZ"/>
              </w:rPr>
              <w:t>Je navrhován vznik kvalitní městské čtvrti v atraktivní poloze v rámci aglomerace při vybavení území veřejnou vybaveností a dopravní a technickou infrastrukturou</w:t>
            </w:r>
            <w:r w:rsidR="00132DE2" w:rsidRPr="00111F34">
              <w:rPr>
                <w:rFonts w:cs="Arial"/>
                <w:sz w:val="16"/>
                <w:szCs w:val="16"/>
                <w:lang w:eastAsia="cs-CZ"/>
              </w:rPr>
              <w:t xml:space="preserve"> na úkor dnešního nedostatečně využitého území</w:t>
            </w:r>
            <w:r w:rsidR="00DA430E" w:rsidRPr="00111F34">
              <w:rPr>
                <w:rFonts w:cs="Arial"/>
                <w:sz w:val="16"/>
                <w:szCs w:val="16"/>
                <w:lang w:eastAsia="cs-CZ"/>
              </w:rPr>
              <w:t>, charakteru brownfields a vymístění výrobních funkcí mimo rezidenční území</w:t>
            </w:r>
            <w:r w:rsidR="00132DE2" w:rsidRPr="00111F34">
              <w:rPr>
                <w:rFonts w:cs="Arial"/>
                <w:sz w:val="16"/>
                <w:szCs w:val="16"/>
                <w:lang w:eastAsia="cs-CZ"/>
              </w:rPr>
              <w:t xml:space="preserve">. V řešeném území jsou umístěny </w:t>
            </w:r>
            <w:r w:rsidR="00DA430E" w:rsidRPr="00111F34">
              <w:rPr>
                <w:rFonts w:cs="Arial"/>
                <w:sz w:val="16"/>
                <w:szCs w:val="16"/>
                <w:lang w:eastAsia="cs-CZ"/>
              </w:rPr>
              <w:t>plochy</w:t>
            </w:r>
            <w:r w:rsidR="00132DE2" w:rsidRPr="00111F34">
              <w:rPr>
                <w:rFonts w:cs="Arial"/>
                <w:sz w:val="16"/>
                <w:szCs w:val="16"/>
                <w:lang w:eastAsia="cs-CZ"/>
              </w:rPr>
              <w:t xml:space="preserve"> pro umístění veřejné vybavenosti v podobě </w:t>
            </w:r>
            <w:r w:rsidR="00DA430E" w:rsidRPr="00111F34">
              <w:rPr>
                <w:rFonts w:cs="Arial"/>
                <w:sz w:val="16"/>
                <w:szCs w:val="16"/>
                <w:lang w:eastAsia="cs-CZ"/>
              </w:rPr>
              <w:t>školských zařízení</w:t>
            </w:r>
            <w:r w:rsidR="00132DE2" w:rsidRPr="00111F34">
              <w:rPr>
                <w:rFonts w:cs="Arial"/>
                <w:sz w:val="16"/>
                <w:szCs w:val="16"/>
                <w:lang w:eastAsia="cs-CZ"/>
              </w:rPr>
              <w:t>.</w:t>
            </w:r>
          </w:p>
        </w:tc>
      </w:tr>
      <w:tr w:rsidR="00F41393" w:rsidRPr="00111F34" w14:paraId="4C41BEA6" w14:textId="77777777" w:rsidTr="009B13BF">
        <w:tc>
          <w:tcPr>
            <w:tcW w:w="5000" w:type="pct"/>
            <w:gridSpan w:val="11"/>
            <w:shd w:val="clear" w:color="auto" w:fill="auto"/>
          </w:tcPr>
          <w:p w14:paraId="304E7095" w14:textId="18B4CE0A" w:rsidR="00F41393" w:rsidRPr="00111F34" w:rsidRDefault="00F41393" w:rsidP="009B13BF">
            <w:pPr>
              <w:snapToGrid w:val="0"/>
              <w:spacing w:before="60"/>
              <w:rPr>
                <w:b/>
                <w:sz w:val="16"/>
                <w:szCs w:val="16"/>
              </w:rPr>
            </w:pPr>
            <w:r w:rsidRPr="00111F34">
              <w:rPr>
                <w:b/>
                <w:sz w:val="16"/>
                <w:szCs w:val="16"/>
              </w:rPr>
              <w:t xml:space="preserve">Negativní vlivy: </w:t>
            </w:r>
            <w:r w:rsidRPr="00111F34">
              <w:rPr>
                <w:sz w:val="16"/>
                <w:szCs w:val="16"/>
              </w:rPr>
              <w:t>Nebyly identifikovány žádné negativní vlivy na hospodářský pilíř udržitelného rozvoje ani na soudržnost společenství v území.</w:t>
            </w:r>
          </w:p>
        </w:tc>
      </w:tr>
      <w:tr w:rsidR="00F41393" w:rsidRPr="00111F34" w14:paraId="3B7B064C" w14:textId="77777777" w:rsidTr="009B13BF">
        <w:tc>
          <w:tcPr>
            <w:tcW w:w="5000" w:type="pct"/>
            <w:gridSpan w:val="11"/>
            <w:shd w:val="clear" w:color="auto" w:fill="auto"/>
          </w:tcPr>
          <w:p w14:paraId="113BBAD4" w14:textId="2142BCFA" w:rsidR="00F41393" w:rsidRPr="00111F34" w:rsidRDefault="00F41393" w:rsidP="009B13BF">
            <w:pPr>
              <w:snapToGrid w:val="0"/>
              <w:spacing w:before="60"/>
              <w:rPr>
                <w:b/>
                <w:sz w:val="16"/>
                <w:szCs w:val="16"/>
              </w:rPr>
            </w:pPr>
            <w:r w:rsidRPr="00111F34">
              <w:rPr>
                <w:b/>
                <w:sz w:val="16"/>
                <w:szCs w:val="16"/>
              </w:rPr>
              <w:t xml:space="preserve">Akceptovatelnost: </w:t>
            </w:r>
            <w:r w:rsidRPr="00111F34">
              <w:rPr>
                <w:sz w:val="16"/>
                <w:szCs w:val="16"/>
              </w:rPr>
              <w:t>Akceptovatelné bez podmínek.</w:t>
            </w:r>
          </w:p>
        </w:tc>
      </w:tr>
      <w:tr w:rsidR="00F41393" w:rsidRPr="00111F34" w14:paraId="0AC9A5EE" w14:textId="77777777" w:rsidTr="00132DE2">
        <w:tc>
          <w:tcPr>
            <w:tcW w:w="5000" w:type="pct"/>
            <w:gridSpan w:val="11"/>
            <w:shd w:val="clear" w:color="auto" w:fill="auto"/>
          </w:tcPr>
          <w:p w14:paraId="79AD5CAF" w14:textId="31398FA2" w:rsidR="00F41393" w:rsidRPr="00111F34" w:rsidRDefault="00F41393" w:rsidP="009B13BF">
            <w:pPr>
              <w:snapToGrid w:val="0"/>
              <w:spacing w:before="60"/>
              <w:rPr>
                <w:b/>
                <w:sz w:val="16"/>
                <w:szCs w:val="16"/>
              </w:rPr>
            </w:pPr>
            <w:r w:rsidRPr="00111F34">
              <w:rPr>
                <w:b/>
                <w:sz w:val="16"/>
                <w:szCs w:val="16"/>
              </w:rPr>
              <w:t xml:space="preserve">Opatření pro minimalizace negativních vlivů na udržitelný rozvoj území: </w:t>
            </w:r>
            <w:r w:rsidR="00DA430E" w:rsidRPr="00111F34">
              <w:rPr>
                <w:bCs/>
                <w:sz w:val="16"/>
                <w:szCs w:val="16"/>
              </w:rPr>
              <w:t>Bez identifikovaných negativních vlivů – nejsou navrhována minimalizační opatření nad rámec podmínek využití ploch</w:t>
            </w:r>
            <w:r w:rsidRPr="00111F34">
              <w:rPr>
                <w:sz w:val="16"/>
                <w:szCs w:val="16"/>
              </w:rPr>
              <w:t>.</w:t>
            </w:r>
          </w:p>
        </w:tc>
      </w:tr>
      <w:tr w:rsidR="00132DE2" w:rsidRPr="00111F34" w14:paraId="5BFCBF66" w14:textId="77777777" w:rsidTr="009B13BF">
        <w:tc>
          <w:tcPr>
            <w:tcW w:w="5000" w:type="pct"/>
            <w:gridSpan w:val="11"/>
            <w:tcBorders>
              <w:bottom w:val="single" w:sz="4" w:space="0" w:color="auto"/>
            </w:tcBorders>
            <w:shd w:val="clear" w:color="auto" w:fill="auto"/>
          </w:tcPr>
          <w:p w14:paraId="1979429A" w14:textId="474DF363" w:rsidR="00132DE2" w:rsidRPr="00111F34" w:rsidRDefault="00132DE2" w:rsidP="009B13BF">
            <w:pPr>
              <w:snapToGrid w:val="0"/>
              <w:spacing w:before="60"/>
              <w:rPr>
                <w:bCs/>
                <w:sz w:val="16"/>
                <w:szCs w:val="16"/>
              </w:rPr>
            </w:pPr>
            <w:r w:rsidRPr="00111F34">
              <w:rPr>
                <w:b/>
                <w:sz w:val="16"/>
                <w:szCs w:val="16"/>
              </w:rPr>
              <w:t xml:space="preserve">Monitorovací opatření: </w:t>
            </w:r>
            <w:r w:rsidRPr="00111F34">
              <w:rPr>
                <w:bCs/>
                <w:sz w:val="16"/>
                <w:szCs w:val="16"/>
              </w:rPr>
              <w:t>Kapacity školských zařízení mateřských a základních škol. Data HLMP.</w:t>
            </w:r>
          </w:p>
        </w:tc>
      </w:tr>
    </w:tbl>
    <w:p w14:paraId="5CA6FF97" w14:textId="77777777" w:rsidR="009B13BF" w:rsidRPr="00111F34" w:rsidRDefault="009B13BF" w:rsidP="009B13BF">
      <w:pPr>
        <w:rPr>
          <w:rFonts w:cs="Arial"/>
        </w:rPr>
      </w:pPr>
    </w:p>
    <w:p w14:paraId="6FC7DBA1" w14:textId="77777777" w:rsidR="003A490B" w:rsidRPr="00111F34" w:rsidRDefault="003A490B" w:rsidP="00C1076B">
      <w:pPr>
        <w:rPr>
          <w:rFonts w:cs="Arial"/>
        </w:rPr>
      </w:pPr>
    </w:p>
    <w:p w14:paraId="77068338" w14:textId="77777777" w:rsidR="003A490B" w:rsidRPr="00111F34" w:rsidRDefault="003A490B" w:rsidP="00C1076B">
      <w:pPr>
        <w:rPr>
          <w:rFonts w:cs="Arial"/>
        </w:rPr>
        <w:sectPr w:rsidR="003A490B" w:rsidRPr="00111F34" w:rsidSect="003A490B">
          <w:headerReference w:type="default" r:id="rId142"/>
          <w:pgSz w:w="16838" w:h="11906" w:orient="landscape" w:code="9"/>
          <w:pgMar w:top="1134" w:right="1418" w:bottom="1134" w:left="1134" w:header="709" w:footer="567" w:gutter="0"/>
          <w:cols w:space="227"/>
          <w:docGrid w:linePitch="360"/>
        </w:sectPr>
      </w:pPr>
    </w:p>
    <w:p w14:paraId="61419098" w14:textId="2B5500A5" w:rsidR="003A490B" w:rsidRPr="00111F34" w:rsidRDefault="003A490B" w:rsidP="00C1076B">
      <w:pPr>
        <w:rPr>
          <w:rFonts w:cs="Arial"/>
        </w:rPr>
      </w:pPr>
    </w:p>
    <w:p w14:paraId="5CE2FD5A" w14:textId="5E01B51C" w:rsidR="00244269" w:rsidRPr="00111F34" w:rsidRDefault="00244269" w:rsidP="00A67277">
      <w:pPr>
        <w:pStyle w:val="Nadpis3"/>
      </w:pPr>
      <w:bookmarkStart w:id="393" w:name="_Toc138848156"/>
      <w:r w:rsidRPr="00111F34">
        <w:t>Podmínky akceptovatelnosti z hlediska s</w:t>
      </w:r>
      <w:r w:rsidR="00F82A08" w:rsidRPr="00111F34">
        <w:t>oci</w:t>
      </w:r>
      <w:r w:rsidRPr="00111F34">
        <w:t>álního a ekonomického pilíře</w:t>
      </w:r>
      <w:bookmarkEnd w:id="393"/>
    </w:p>
    <w:p w14:paraId="5D66DAE6" w14:textId="0D4280D2" w:rsidR="00437C24" w:rsidRPr="00111F34" w:rsidRDefault="00437C24" w:rsidP="00437C24">
      <w:r w:rsidRPr="00111F34">
        <w:t xml:space="preserve">Zde uvádíme základní opatření pro další fázi zastavování lokalit, která vyplynula z vyhodnocení vlivů </w:t>
      </w:r>
      <w:r w:rsidR="005308CC" w:rsidRPr="00111F34">
        <w:t>předkládané koncepce</w:t>
      </w:r>
      <w:r w:rsidR="00BD4318" w:rsidRPr="00111F34">
        <w:t xml:space="preserve"> </w:t>
      </w:r>
      <w:r w:rsidRPr="00111F34">
        <w:t>na ekonomický a sociální pilíř udržitelného rozvoje. Výsledky vyhodnocení vlivů jednotlivých rozvojových lokalit a dopravních koridorů na environmentální pilíř udržitelného rozvoje je součástí části A. tohoto dokumentu, konkrétně kapitol A.VIII a A.XI.</w:t>
      </w:r>
    </w:p>
    <w:p w14:paraId="6C7656EC" w14:textId="6CEF4FF4" w:rsidR="00437C24" w:rsidRPr="00111F34" w:rsidRDefault="003F2A6C" w:rsidP="003F2A6C">
      <w:pPr>
        <w:pStyle w:val="Odrky1"/>
      </w:pPr>
      <w:r w:rsidRPr="00111F34">
        <w:t xml:space="preserve">Nejsou navrhovány žádné podmínky nad rámec podmínek pro využití ploch s rozdílným způsobem využití. </w:t>
      </w:r>
    </w:p>
    <w:p w14:paraId="662E9633" w14:textId="7747A986" w:rsidR="00244269" w:rsidRPr="00111F34" w:rsidRDefault="00244269" w:rsidP="00F40B0F">
      <w:pPr>
        <w:pStyle w:val="Odrky1"/>
        <w:numPr>
          <w:ilvl w:val="0"/>
          <w:numId w:val="0"/>
        </w:numPr>
        <w:ind w:left="360"/>
        <w:rPr>
          <w:b/>
        </w:rPr>
      </w:pPr>
    </w:p>
    <w:p w14:paraId="244505E2" w14:textId="77777777" w:rsidR="00244269" w:rsidRPr="00111F34" w:rsidRDefault="00244269" w:rsidP="00F40B0F">
      <w:pPr>
        <w:pStyle w:val="Odrky1"/>
        <w:numPr>
          <w:ilvl w:val="0"/>
          <w:numId w:val="0"/>
        </w:numPr>
        <w:ind w:left="360"/>
        <w:rPr>
          <w:b/>
        </w:rPr>
        <w:sectPr w:rsidR="00244269" w:rsidRPr="00111F34" w:rsidSect="00D718EF">
          <w:headerReference w:type="default" r:id="rId143"/>
          <w:footerReference w:type="default" r:id="rId144"/>
          <w:pgSz w:w="11906" w:h="16838" w:code="9"/>
          <w:pgMar w:top="1418" w:right="1134" w:bottom="1134" w:left="1134" w:header="709" w:footer="567" w:gutter="0"/>
          <w:cols w:space="227"/>
          <w:docGrid w:linePitch="360"/>
        </w:sectPr>
      </w:pPr>
    </w:p>
    <w:p w14:paraId="5EF94FE9" w14:textId="7BD79761" w:rsidR="00794578" w:rsidRPr="00111F34" w:rsidRDefault="00794578" w:rsidP="00BA72D5">
      <w:pPr>
        <w:pStyle w:val="Nadpis1"/>
      </w:pPr>
      <w:bookmarkStart w:id="394" w:name="_Toc531606290"/>
      <w:bookmarkStart w:id="395" w:name="_Toc29298380"/>
      <w:bookmarkStart w:id="396" w:name="_Toc138848157"/>
      <w:r w:rsidRPr="00111F34">
        <w:lastRenderedPageBreak/>
        <w:t>Vyhodnocení přínosu územního plánu k</w:t>
      </w:r>
      <w:r w:rsidR="00547192" w:rsidRPr="00111F34">
        <w:t> </w:t>
      </w:r>
      <w:r w:rsidRPr="00111F34">
        <w:t>naplnění priorit územního plánování pro zajištění udržitelného rozvoje území obsažených v PÚR nebo v</w:t>
      </w:r>
      <w:r w:rsidR="00547192" w:rsidRPr="00111F34">
        <w:t> </w:t>
      </w:r>
      <w:r w:rsidRPr="00111F34">
        <w:t>ZÚR.</w:t>
      </w:r>
      <w:bookmarkEnd w:id="394"/>
      <w:bookmarkEnd w:id="395"/>
      <w:bookmarkEnd w:id="396"/>
    </w:p>
    <w:p w14:paraId="1D7B783C" w14:textId="0BED2AED" w:rsidR="00794578" w:rsidRPr="00111F34" w:rsidRDefault="00794578" w:rsidP="00794578">
      <w:r w:rsidRPr="00111F34">
        <w:t xml:space="preserve">Pro potřeby vyhodnocení vlivů předkládané </w:t>
      </w:r>
      <w:r w:rsidR="004B21B7" w:rsidRPr="00111F34">
        <w:t xml:space="preserve">ÚPD </w:t>
      </w:r>
      <w:r w:rsidRPr="00111F34">
        <w:t xml:space="preserve">na udržitelný rozvoj území jsou prioritami územního plánování míněny priority stanovené v zásadách územního rozvoje (dále jen „ZÚR“), případně v politice územního rozvoje (dále jen „PÚR“), které se významným způsobem vážou k řešenému území. </w:t>
      </w:r>
    </w:p>
    <w:p w14:paraId="24C0606D" w14:textId="75D4F870" w:rsidR="00794578" w:rsidRPr="00111F34" w:rsidRDefault="00794578" w:rsidP="00794578">
      <w:r w:rsidRPr="00111F34">
        <w:t>Předmětem této kapitoly je popis toho, které priority</w:t>
      </w:r>
      <w:r w:rsidR="0078404E" w:rsidRPr="00111F34">
        <w:t>,</w:t>
      </w:r>
      <w:r w:rsidRPr="00111F34">
        <w:t xml:space="preserve"> stanovené v ZÚR/PÚR a významným způsobem vázané k řešenému území</w:t>
      </w:r>
      <w:r w:rsidR="0078404E" w:rsidRPr="00111F34">
        <w:t>,</w:t>
      </w:r>
      <w:r w:rsidRPr="00111F34">
        <w:t xml:space="preserve"> byly zohledněny v územním </w:t>
      </w:r>
      <w:r w:rsidR="00640DED" w:rsidRPr="00111F34">
        <w:t>plánu, a jak</w:t>
      </w:r>
      <w:r w:rsidRPr="00111F34">
        <w:t xml:space="preserve"> byly naplněny.</w:t>
      </w:r>
    </w:p>
    <w:p w14:paraId="03400C25" w14:textId="28F7D8F4" w:rsidR="00794578" w:rsidRPr="00111F34" w:rsidRDefault="00794578" w:rsidP="00794578">
      <w:r w:rsidRPr="00111F34">
        <w:t>Do značné míry se vyhodnocení v této části překrývá s odůvodněním územního plánu, tato skutečnost vyplývá z obsahu odůvodnění a VVÚRU tak</w:t>
      </w:r>
      <w:r w:rsidR="007871F7" w:rsidRPr="00111F34">
        <w:t>,</w:t>
      </w:r>
      <w:r w:rsidRPr="00111F34">
        <w:t xml:space="preserve"> jak je stanovuje stavební zákon a jeho prováděcí předpisy. V rámci VVÚRÚ je proto především stručně shrnuto</w:t>
      </w:r>
      <w:r w:rsidR="00547192" w:rsidRPr="00111F34">
        <w:t>,</w:t>
      </w:r>
      <w:r w:rsidRPr="00111F34">
        <w:t xml:space="preserve"> jak </w:t>
      </w:r>
      <w:r w:rsidR="00FE0ABB" w:rsidRPr="00111F34">
        <w:t xml:space="preserve">návrh </w:t>
      </w:r>
      <w:r w:rsidR="00F41393" w:rsidRPr="00111F34">
        <w:t>posuzované změny</w:t>
      </w:r>
      <w:r w:rsidR="00654469" w:rsidRPr="00111F34">
        <w:t xml:space="preserve"> územního plánu</w:t>
      </w:r>
      <w:r w:rsidRPr="00111F34">
        <w:t xml:space="preserve"> konkrétně naplňuje priority ve vztahu k</w:t>
      </w:r>
      <w:r w:rsidR="00DC5908" w:rsidRPr="00111F34">
        <w:t> </w:t>
      </w:r>
      <w:r w:rsidRPr="00111F34">
        <w:t>udržitelnému rozvoji území.</w:t>
      </w:r>
    </w:p>
    <w:p w14:paraId="4B1E930D" w14:textId="43EC19BA" w:rsidR="00794578" w:rsidRPr="00111F34" w:rsidRDefault="00794578" w:rsidP="00BA72D5">
      <w:pPr>
        <w:pStyle w:val="Nadpis2"/>
      </w:pPr>
      <w:bookmarkStart w:id="397" w:name="_Toc531606291"/>
      <w:bookmarkStart w:id="398" w:name="_Toc29298381"/>
      <w:bookmarkStart w:id="399" w:name="_Toc138848158"/>
      <w:r w:rsidRPr="00111F34">
        <w:t>Politika územního rozvoje ČR</w:t>
      </w:r>
      <w:bookmarkEnd w:id="397"/>
      <w:bookmarkEnd w:id="398"/>
      <w:bookmarkEnd w:id="399"/>
    </w:p>
    <w:p w14:paraId="4AD326A5" w14:textId="50A19660" w:rsidR="007906FD" w:rsidRPr="00111F34" w:rsidRDefault="004B21B7" w:rsidP="00D26693">
      <w:pPr>
        <w:rPr>
          <w:rFonts w:cs="Arial"/>
        </w:rPr>
      </w:pPr>
      <w:r w:rsidRPr="00111F34">
        <w:rPr>
          <w:rFonts w:cs="Arial"/>
        </w:rPr>
        <w:t>Návrh</w:t>
      </w:r>
      <w:r w:rsidR="00794578" w:rsidRPr="00111F34">
        <w:rPr>
          <w:rFonts w:cs="Arial"/>
        </w:rPr>
        <w:t xml:space="preserve"> </w:t>
      </w:r>
      <w:r w:rsidR="006D763F" w:rsidRPr="00111F34">
        <w:rPr>
          <w:rFonts w:cs="Arial"/>
        </w:rPr>
        <w:t>změn</w:t>
      </w:r>
      <w:r w:rsidR="009B7D47" w:rsidRPr="00111F34">
        <w:rPr>
          <w:rFonts w:cs="Arial"/>
        </w:rPr>
        <w:t xml:space="preserve"> </w:t>
      </w:r>
      <w:r w:rsidR="00794578" w:rsidRPr="00111F34">
        <w:rPr>
          <w:rFonts w:cs="Arial"/>
        </w:rPr>
        <w:t xml:space="preserve">územního plánu </w:t>
      </w:r>
      <w:r w:rsidR="009B7D47" w:rsidRPr="00111F34">
        <w:rPr>
          <w:rFonts w:cs="Arial"/>
        </w:rPr>
        <w:t>hlavního města Prahy</w:t>
      </w:r>
      <w:r w:rsidR="00794578" w:rsidRPr="00111F34">
        <w:rPr>
          <w:rFonts w:cs="Arial"/>
        </w:rPr>
        <w:t>, kter</w:t>
      </w:r>
      <w:r w:rsidR="006D763F" w:rsidRPr="00111F34">
        <w:rPr>
          <w:rFonts w:cs="Arial"/>
        </w:rPr>
        <w:t>é</w:t>
      </w:r>
      <w:r w:rsidR="00794578" w:rsidRPr="00111F34">
        <w:rPr>
          <w:rFonts w:cs="Arial"/>
        </w:rPr>
        <w:t xml:space="preserve"> byl</w:t>
      </w:r>
      <w:r w:rsidR="006D763F" w:rsidRPr="00111F34">
        <w:rPr>
          <w:rFonts w:cs="Arial"/>
        </w:rPr>
        <w:t>y</w:t>
      </w:r>
      <w:r w:rsidR="00794578" w:rsidRPr="00111F34">
        <w:rPr>
          <w:rFonts w:cs="Arial"/>
        </w:rPr>
        <w:t xml:space="preserve"> předložen</w:t>
      </w:r>
      <w:r w:rsidR="006D763F" w:rsidRPr="00111F34">
        <w:rPr>
          <w:rFonts w:cs="Arial"/>
        </w:rPr>
        <w:t>y</w:t>
      </w:r>
      <w:r w:rsidR="00794578" w:rsidRPr="00111F34">
        <w:rPr>
          <w:rFonts w:cs="Arial"/>
        </w:rPr>
        <w:t xml:space="preserve"> k posouzení, je v souladu s Politikou územního rozvoje České republi</w:t>
      </w:r>
      <w:r w:rsidR="00C31ADA" w:rsidRPr="00111F34">
        <w:rPr>
          <w:rFonts w:cs="Arial"/>
        </w:rPr>
        <w:t>ky 2008 (dále též jen „PÚR ČR“)</w:t>
      </w:r>
      <w:r w:rsidR="00794578" w:rsidRPr="00111F34">
        <w:rPr>
          <w:rFonts w:cs="Arial"/>
        </w:rPr>
        <w:t xml:space="preserve">. </w:t>
      </w:r>
      <w:r w:rsidR="007906FD" w:rsidRPr="00111F34">
        <w:rPr>
          <w:rFonts w:cs="Arial"/>
        </w:rPr>
        <w:t xml:space="preserve">1. aktualizace PÚR byla schválena Vládou ČR usnesením č. 276 ze dne 15. 4. 2015. </w:t>
      </w:r>
      <w:r w:rsidR="00574728" w:rsidRPr="00111F34">
        <w:rPr>
          <w:rFonts w:cs="Arial"/>
        </w:rPr>
        <w:t>V současnosti je od 1.9.2021 platná Aktualizace č. 4 Politiky územního rozvoje České republiky, která závazná pro pořizování a vydávání územního rozvojového plánu, zásad územního rozvoje, územních plánů, regulačních plánů a pro rozhodování v území, v souladu s § 31 odst. 4 stavebního zákona, jedná se o úplnou aktualizací Politiky územního rozvoje</w:t>
      </w:r>
      <w:r w:rsidR="009B13BF" w:rsidRPr="00111F34">
        <w:rPr>
          <w:rFonts w:cs="Arial"/>
        </w:rPr>
        <w:t>.</w:t>
      </w:r>
    </w:p>
    <w:p w14:paraId="0F90AF07" w14:textId="1EC30E7F" w:rsidR="00D26693" w:rsidRPr="00111F34" w:rsidRDefault="00D26693" w:rsidP="00D26693">
      <w:r w:rsidRPr="00111F34">
        <w:t>Koridory a plochy technické infrastruktury a související rozvojové záměry, vymezené Politikou územního ro</w:t>
      </w:r>
      <w:r w:rsidR="00F41393" w:rsidRPr="00111F34">
        <w:t>zvoje, nejsou řešením předkládanou změnou územ</w:t>
      </w:r>
      <w:r w:rsidRPr="00111F34">
        <w:t xml:space="preserve">ního plánu nijak dotčeny. </w:t>
      </w:r>
    </w:p>
    <w:p w14:paraId="3C0FD49C" w14:textId="2FACAD62" w:rsidR="00F41393" w:rsidRPr="00111F34" w:rsidRDefault="00F41393" w:rsidP="00F41393">
      <w:r w:rsidRPr="00111F34">
        <w:t>Řešení změny respektuje republikové priority pro zajištění udržitelného rozvoje území stanovené v PÚR ČR, a z toho plynoucí podmínky a úkoly k řešení v podrobnějších územně plánovacích dokumentacích.</w:t>
      </w:r>
    </w:p>
    <w:p w14:paraId="0E25E031" w14:textId="6EE8F4F1" w:rsidR="004C411B" w:rsidRPr="00111F34" w:rsidRDefault="004C411B" w:rsidP="004C411B">
      <w:pPr>
        <w:rPr>
          <w:rFonts w:cs="Arial"/>
        </w:rPr>
      </w:pPr>
      <w:r w:rsidRPr="00111F34">
        <w:rPr>
          <w:rFonts w:cs="Arial"/>
        </w:rPr>
        <w:t>Z republikových priorit územního plánování pro zajištění udržitelného rozvoje území stanovených Politikou územního rozvoje (kapitola 2.2 Republikové priority), které byly respektovány a zpracovány v územním plánu, resp. ty, které respektovány nebyly, z pohledu posouzení vlivů územního plánu na životní prostředí je</w:t>
      </w:r>
      <w:r w:rsidR="00677D5A" w:rsidRPr="00111F34">
        <w:rPr>
          <w:rFonts w:cs="Arial"/>
        </w:rPr>
        <w:t> </w:t>
      </w:r>
      <w:r w:rsidRPr="00111F34">
        <w:rPr>
          <w:rFonts w:cs="Arial"/>
        </w:rPr>
        <w:t>možno zmínit tyto body (podrobněji je</w:t>
      </w:r>
      <w:r w:rsidR="001A726B" w:rsidRPr="00111F34">
        <w:rPr>
          <w:rFonts w:cs="Arial"/>
        </w:rPr>
        <w:t xml:space="preserve"> vyhodnocení vazby </w:t>
      </w:r>
      <w:r w:rsidR="00B9398C" w:rsidRPr="00111F34">
        <w:rPr>
          <w:rFonts w:cs="Arial"/>
        </w:rPr>
        <w:t>předkládané změny</w:t>
      </w:r>
      <w:r w:rsidR="00501E36" w:rsidRPr="00111F34">
        <w:rPr>
          <w:rFonts w:cs="Arial"/>
        </w:rPr>
        <w:t xml:space="preserve"> </w:t>
      </w:r>
      <w:r w:rsidRPr="00111F34">
        <w:rPr>
          <w:rFonts w:cs="Arial"/>
        </w:rPr>
        <w:t>územního plánu a republikových priorit P</w:t>
      </w:r>
      <w:r w:rsidR="009E6BB0" w:rsidRPr="00111F34">
        <w:rPr>
          <w:rFonts w:cs="Arial"/>
        </w:rPr>
        <w:t>ÚR uvedeno v kapitole A.XI)</w:t>
      </w:r>
      <w:r w:rsidRPr="00111F34">
        <w:rPr>
          <w:rFonts w:cs="Arial"/>
        </w:rPr>
        <w:t xml:space="preserve">: </w:t>
      </w:r>
    </w:p>
    <w:p w14:paraId="581CC18F" w14:textId="128AC438" w:rsidR="003F1D9B" w:rsidRPr="00111F34" w:rsidRDefault="003F1D9B">
      <w:pPr>
        <w:pStyle w:val="seznamsodrkami"/>
        <w:numPr>
          <w:ilvl w:val="0"/>
          <w:numId w:val="27"/>
        </w:numPr>
      </w:pPr>
      <w:r w:rsidRPr="00111F34">
        <w:t>Hodnoty území města jsou respektovány</w:t>
      </w:r>
      <w:r w:rsidR="002A3A42" w:rsidRPr="00111F34">
        <w:rPr>
          <w:lang w:val="cs-CZ"/>
        </w:rPr>
        <w:t>.</w:t>
      </w:r>
      <w:r w:rsidR="00A42C0F" w:rsidRPr="00111F34">
        <w:rPr>
          <w:lang w:val="cs-CZ"/>
        </w:rPr>
        <w:t xml:space="preserve"> </w:t>
      </w:r>
      <w:r w:rsidR="00A42C0F" w:rsidRPr="00111F34">
        <w:t xml:space="preserve">ÚPD respektuje urbanistický ráz území, </w:t>
      </w:r>
      <w:r w:rsidR="00DA430E" w:rsidRPr="00111F34">
        <w:rPr>
          <w:lang w:val="cs-CZ"/>
        </w:rPr>
        <w:t>transformuje dnes nevhodně situované plochy dopravy a výroby do ploch rezidenčních v atraktivní poloze v rámci města spolu s vybavením území dopravní a technickou infrastrukturou a občanskou vybaveností</w:t>
      </w:r>
      <w:r w:rsidR="00A42C0F" w:rsidRPr="00111F34">
        <w:t xml:space="preserve">. </w:t>
      </w:r>
      <w:r w:rsidR="00A42C0F" w:rsidRPr="00111F34">
        <w:rPr>
          <w:rFonts w:cs="Arial"/>
          <w:szCs w:val="16"/>
        </w:rPr>
        <w:t>Vliv změny na urbanistický ráz území bude záviset na architektonickém a hmotovém pojetí zástavby. Jsou vytvářeny územní předpoklady pro zlepšení estetických kvalit území a transformaci brownfields. Vytvořeny územní předpoklady pro vznik nových ploch veřejné zeleně.</w:t>
      </w:r>
    </w:p>
    <w:p w14:paraId="623A71AD" w14:textId="53016C06" w:rsidR="003F1D9B" w:rsidRPr="00111F34" w:rsidRDefault="003F1D9B">
      <w:pPr>
        <w:pStyle w:val="seznamsodrkami"/>
        <w:numPr>
          <w:ilvl w:val="0"/>
          <w:numId w:val="27"/>
        </w:numPr>
      </w:pPr>
      <w:r w:rsidRPr="00111F34">
        <w:rPr>
          <w:lang w:val="cs-CZ"/>
        </w:rPr>
        <w:t>Nedochází k</w:t>
      </w:r>
      <w:r w:rsidR="001A726B" w:rsidRPr="00111F34">
        <w:rPr>
          <w:lang w:val="cs-CZ"/>
        </w:rPr>
        <w:t xml:space="preserve"> neodůvodněným </w:t>
      </w:r>
      <w:r w:rsidR="00B77313" w:rsidRPr="00111F34">
        <w:rPr>
          <w:lang w:val="cs-CZ"/>
        </w:rPr>
        <w:t xml:space="preserve">ani nepřiměřeným </w:t>
      </w:r>
      <w:r w:rsidRPr="00111F34">
        <w:rPr>
          <w:lang w:val="cs-CZ"/>
        </w:rPr>
        <w:t xml:space="preserve">záborům ZPF ani PUPFL. </w:t>
      </w:r>
    </w:p>
    <w:p w14:paraId="7727D4CF" w14:textId="6F4B9CB7" w:rsidR="003F1D9B" w:rsidRPr="00111F34" w:rsidRDefault="00DA430E">
      <w:pPr>
        <w:pStyle w:val="seznamsodrkami"/>
        <w:numPr>
          <w:ilvl w:val="0"/>
          <w:numId w:val="27"/>
        </w:numPr>
      </w:pPr>
      <w:r w:rsidRPr="00111F34">
        <w:rPr>
          <w:lang w:val="cs-CZ"/>
        </w:rPr>
        <w:t xml:space="preserve">Změna vytváří územní předpoklady pro rozšíření a optimalizaci </w:t>
      </w:r>
      <w:r w:rsidR="003F1D9B" w:rsidRPr="00111F34">
        <w:rPr>
          <w:lang w:val="cs-CZ"/>
        </w:rPr>
        <w:t>ÚSES.</w:t>
      </w:r>
    </w:p>
    <w:p w14:paraId="4E1BF6AB" w14:textId="1F821E76" w:rsidR="003F1D9B" w:rsidRPr="00111F34" w:rsidRDefault="004F3948">
      <w:pPr>
        <w:pStyle w:val="seznamsodrkami"/>
        <w:numPr>
          <w:ilvl w:val="0"/>
          <w:numId w:val="27"/>
        </w:numPr>
      </w:pPr>
      <w:r>
        <w:t>Dotčené území, konkrétně ulice Podbabská, Roztocká se nachází v záplavovém území Q2002 a v aktivní zóně, které je potřeba respektovat</w:t>
      </w:r>
      <w:r w:rsidR="003F1D9B" w:rsidRPr="00111F34">
        <w:rPr>
          <w:lang w:val="cs-CZ"/>
        </w:rPr>
        <w:t>.</w:t>
      </w:r>
    </w:p>
    <w:p w14:paraId="2DBF45F9" w14:textId="77777777" w:rsidR="00263340" w:rsidRPr="00111F34" w:rsidRDefault="00F41393" w:rsidP="009B4A0C">
      <w:pPr>
        <w:pStyle w:val="Odrky1"/>
        <w:numPr>
          <w:ilvl w:val="0"/>
          <w:numId w:val="27"/>
        </w:numPr>
      </w:pPr>
      <w:r w:rsidRPr="00111F34">
        <w:t>Návrhem posuzované ÚPD jsou vytvářeny podmínky pro minimalizaci negativních vlivů na bydlení v územích, zatížených z hlediska hluku a znečištění ovzduší</w:t>
      </w:r>
      <w:r w:rsidR="00263340" w:rsidRPr="00111F34">
        <w:t xml:space="preserve"> díky vybavení území kapacitní bezemisní VHD a optimalizaci polohy přivaděče Rybářka. Zároveň jsou vytvářeny územní předpoklady pro vložení nového zdroje hlukové zátěže v podobě tramvajové trati. Případné vlivy z hlediska hluku v důsledku provozu po této trati je třeba řešit v navazujících řízeních. V této souvislosti byly navrženy požadavky na rozhodování v území</w:t>
      </w:r>
      <w:bookmarkStart w:id="400" w:name="_Toc30188485"/>
      <w:bookmarkStart w:id="401" w:name="_Toc531606292"/>
      <w:bookmarkStart w:id="402" w:name="_Toc29298382"/>
      <w:bookmarkEnd w:id="400"/>
      <w:r w:rsidR="00263340" w:rsidRPr="00111F34">
        <w:t>, které vyplynuly ze SEA.</w:t>
      </w:r>
    </w:p>
    <w:p w14:paraId="6C58C15E" w14:textId="5D129A88" w:rsidR="003F1D9B" w:rsidRPr="00111F34" w:rsidRDefault="003F1D9B" w:rsidP="00263340">
      <w:pPr>
        <w:pStyle w:val="Odrky1"/>
        <w:numPr>
          <w:ilvl w:val="0"/>
          <w:numId w:val="0"/>
        </w:numPr>
      </w:pPr>
      <w:r w:rsidRPr="00111F34">
        <w:lastRenderedPageBreak/>
        <w:t xml:space="preserve">Z výše uvedených důvodů lze konstatovat, že </w:t>
      </w:r>
      <w:r w:rsidR="00F41393" w:rsidRPr="00111F34">
        <w:t xml:space="preserve">předkládaná </w:t>
      </w:r>
      <w:r w:rsidR="00654469" w:rsidRPr="00111F34">
        <w:t>změn</w:t>
      </w:r>
      <w:r w:rsidR="00F41393" w:rsidRPr="00111F34">
        <w:t>a</w:t>
      </w:r>
      <w:r w:rsidR="00654469" w:rsidRPr="00111F34">
        <w:t xml:space="preserve"> územního plánu</w:t>
      </w:r>
      <w:r w:rsidRPr="00111F34">
        <w:t xml:space="preserve"> sídelního útvaru hlavního města Prahy </w:t>
      </w:r>
      <w:r w:rsidR="006D763F" w:rsidRPr="00111F34">
        <w:t>j</w:t>
      </w:r>
      <w:r w:rsidR="00F41393" w:rsidRPr="00111F34">
        <w:t>e</w:t>
      </w:r>
      <w:r w:rsidRPr="00111F34">
        <w:t xml:space="preserve"> v souladu s prioritami územního plánování v oblasti ochrany životního prostředí a veřejného zdraví deklarovanými v nadřazené územně plánovací dokumentaci a v Politice územního rozvoje ČR, resp. byly navrženy takové podmínky využití území, aby byl tento soulad zajištěn.</w:t>
      </w:r>
    </w:p>
    <w:p w14:paraId="4169277B" w14:textId="00BEEEDA" w:rsidR="00794578" w:rsidRPr="00111F34" w:rsidRDefault="00794578" w:rsidP="00BA72D5">
      <w:pPr>
        <w:pStyle w:val="Nadpis2"/>
      </w:pPr>
      <w:bookmarkStart w:id="403" w:name="_Toc138848159"/>
      <w:r w:rsidRPr="00111F34">
        <w:t xml:space="preserve">Zásady územního rozvoje </w:t>
      </w:r>
      <w:bookmarkEnd w:id="401"/>
      <w:bookmarkEnd w:id="402"/>
      <w:r w:rsidR="00064B73" w:rsidRPr="00111F34">
        <w:t>hl. města Prahy</w:t>
      </w:r>
      <w:bookmarkEnd w:id="403"/>
    </w:p>
    <w:p w14:paraId="0F8CE013" w14:textId="78B9591C" w:rsidR="00A42C0F" w:rsidRPr="00111F34" w:rsidRDefault="00A42C0F" w:rsidP="00A42C0F">
      <w:pPr>
        <w:pStyle w:val="Textkomente"/>
      </w:pPr>
      <w:r w:rsidRPr="00111F34">
        <w:t>Zásady územního rozvoje (dále jen „ZÚR“) jsou nástrojem územního plánování na regionální úrovni, který dle stavebního zákona určuje požadavky na účelné a hospodárné uspořádání území kraje, vymezuje plochy a koridory nadmístního významu a stanovuje požadavky na jejich využití. ZÚR zpřesňují a rozvíjejí cíle a úkoly uvedené v PÚR a určují strategii pro jejich naplňování</w:t>
      </w:r>
      <w:bookmarkStart w:id="404" w:name="_Hlk103778405"/>
      <w:r w:rsidRPr="00111F34">
        <w:t xml:space="preserve">. Aktuálně je platné znění ZÚR účinné od 28. 7. 2022. Opatření obecné povahy, kterým byla dne 28.4.2022 vydána Aktualizace č. 11 ZÚR HMP, </w:t>
      </w:r>
      <w:bookmarkEnd w:id="404"/>
      <w:r w:rsidR="004F3948">
        <w:t>účinná od 22.7.2022</w:t>
      </w:r>
      <w:r w:rsidRPr="00111F34">
        <w:t>.</w:t>
      </w:r>
      <w:r w:rsidRPr="00111F34">
        <w:rPr>
          <w:rFonts w:ascii="Roboto" w:hAnsi="Roboto"/>
          <w:color w:val="414141"/>
          <w:sz w:val="21"/>
          <w:szCs w:val="21"/>
          <w:shd w:val="clear" w:color="auto" w:fill="DDDDDD"/>
        </w:rPr>
        <w:t xml:space="preserve"> </w:t>
      </w:r>
    </w:p>
    <w:p w14:paraId="2A2B1EEC" w14:textId="77777777" w:rsidR="00D26693" w:rsidRPr="00111F34" w:rsidRDefault="00D26693" w:rsidP="00D26693">
      <w:r w:rsidRPr="00111F34">
        <w:t xml:space="preserve">Obecné zásady územního rozvoje stanovené ZÚR Prahy jsou rozděleny do čtyř částí: </w:t>
      </w:r>
    </w:p>
    <w:p w14:paraId="534E0586" w14:textId="77777777" w:rsidR="00D26693" w:rsidRPr="00111F34" w:rsidRDefault="00D26693">
      <w:pPr>
        <w:pStyle w:val="Odrky1"/>
        <w:numPr>
          <w:ilvl w:val="0"/>
          <w:numId w:val="25"/>
        </w:numPr>
        <w:spacing w:before="120"/>
      </w:pPr>
      <w:r w:rsidRPr="00111F34">
        <w:t>role Prahy v ČR a v Evropě,</w:t>
      </w:r>
    </w:p>
    <w:p w14:paraId="7336B716" w14:textId="77777777" w:rsidR="00D26693" w:rsidRPr="00111F34" w:rsidRDefault="00D26693">
      <w:pPr>
        <w:pStyle w:val="Odrky1"/>
        <w:numPr>
          <w:ilvl w:val="0"/>
          <w:numId w:val="25"/>
        </w:numPr>
        <w:spacing w:before="120"/>
      </w:pPr>
      <w:r w:rsidRPr="00111F34">
        <w:t>účelné a hospodárné uspořádání hl. m. Prahy,</w:t>
      </w:r>
    </w:p>
    <w:p w14:paraId="151AC194" w14:textId="77777777" w:rsidR="00D26693" w:rsidRPr="00111F34" w:rsidRDefault="00D26693">
      <w:pPr>
        <w:pStyle w:val="Odrky1"/>
        <w:numPr>
          <w:ilvl w:val="0"/>
          <w:numId w:val="25"/>
        </w:numPr>
        <w:spacing w:before="120"/>
      </w:pPr>
      <w:r w:rsidRPr="00111F34">
        <w:t>hospodářský rozvoj,</w:t>
      </w:r>
    </w:p>
    <w:p w14:paraId="3E810489" w14:textId="77777777" w:rsidR="00D26693" w:rsidRPr="00111F34" w:rsidRDefault="00D26693">
      <w:pPr>
        <w:pStyle w:val="Odrky1"/>
        <w:numPr>
          <w:ilvl w:val="0"/>
          <w:numId w:val="25"/>
        </w:numPr>
        <w:spacing w:before="120"/>
      </w:pPr>
      <w:r w:rsidRPr="00111F34">
        <w:t>ochrana kulturních, přírodních a civilizačních hodnot.</w:t>
      </w:r>
    </w:p>
    <w:p w14:paraId="7697D754" w14:textId="77777777" w:rsidR="00D26693" w:rsidRPr="00111F34" w:rsidRDefault="00D26693" w:rsidP="00D26693">
      <w:r w:rsidRPr="00111F34">
        <w:t>Zásady územního rozvoje hl. m. Prahy vycházejí z následujících priorit územního plánování hl. m. Prahy pro zajištění udržitelného rozvoje území pomocí nástrojů územního plánování:</w:t>
      </w:r>
    </w:p>
    <w:p w14:paraId="3A2CB05F" w14:textId="77777777" w:rsidR="00D26693" w:rsidRPr="00111F34" w:rsidRDefault="00D26693" w:rsidP="00D26693">
      <w:pPr>
        <w:pStyle w:val="Odrky1"/>
        <w:spacing w:before="120"/>
      </w:pPr>
      <w:r w:rsidRPr="00111F34">
        <w:t>Vycházet z výjimečného postavení Prahy jako hlavního města České republiky, přirozeného centra Pražského regionu a významného města Evropy.</w:t>
      </w:r>
    </w:p>
    <w:p w14:paraId="5F76F3EB" w14:textId="77777777" w:rsidR="00D26693" w:rsidRPr="00111F34" w:rsidRDefault="00D26693" w:rsidP="00D26693">
      <w:pPr>
        <w:pStyle w:val="Odrky1"/>
        <w:spacing w:before="120"/>
      </w:pPr>
      <w:r w:rsidRPr="00111F34">
        <w:t xml:space="preserve">Respektovat a rozvíjet kulturní a historické hodnoty a rozmanité přírodní podmínky na území hl. m. Prahy. </w:t>
      </w:r>
    </w:p>
    <w:p w14:paraId="71785C2E" w14:textId="77777777" w:rsidR="00D26693" w:rsidRPr="00111F34" w:rsidRDefault="00D26693" w:rsidP="00D26693">
      <w:pPr>
        <w:pStyle w:val="Odrky1"/>
        <w:spacing w:before="120"/>
      </w:pPr>
      <w:r w:rsidRPr="00111F34">
        <w:t xml:space="preserve">Vytvořit podmínky pro vyvážený rozvoj území návrhem odpovídajícího funkčního i prostorového uspořádání ve všech historicky vzniklých pásmech města. </w:t>
      </w:r>
    </w:p>
    <w:p w14:paraId="31753A70" w14:textId="77777777" w:rsidR="00D26693" w:rsidRPr="00111F34" w:rsidRDefault="00D26693" w:rsidP="00D26693">
      <w:pPr>
        <w:pStyle w:val="Odrky1"/>
        <w:spacing w:before="120"/>
      </w:pPr>
      <w:r w:rsidRPr="00111F34">
        <w:t>Upřednostnit využití transformačních území oproti rozvoji v dosud nezastavěném území.</w:t>
      </w:r>
    </w:p>
    <w:p w14:paraId="794F998D" w14:textId="77777777" w:rsidR="00D26693" w:rsidRPr="00111F34" w:rsidRDefault="00D26693" w:rsidP="00D26693">
      <w:pPr>
        <w:pStyle w:val="Odrky1"/>
        <w:spacing w:before="120"/>
      </w:pPr>
      <w:r w:rsidRPr="00111F34">
        <w:t>Zmírnit negativní vlivy suburbanizace v přilehlé části Pražského regionu opatřeními ve vnějším pásmu hl. m. Prahy.</w:t>
      </w:r>
    </w:p>
    <w:p w14:paraId="7DC29F45" w14:textId="77777777" w:rsidR="00D26693" w:rsidRPr="00111F34" w:rsidRDefault="00D26693" w:rsidP="00D26693">
      <w:pPr>
        <w:pStyle w:val="Odrky1"/>
        <w:spacing w:before="120"/>
      </w:pPr>
      <w:r w:rsidRPr="00111F34">
        <w:t>Zajistit podmínky pro rozvoj všech dopravních systémů nezbytných pro fungování města, přednostně pro rozvoj integrované veřejné dopravy s potřebným přesahem do Středočeského kraje.</w:t>
      </w:r>
    </w:p>
    <w:p w14:paraId="2E650D62" w14:textId="77777777" w:rsidR="00D26693" w:rsidRPr="00111F34" w:rsidRDefault="00D26693" w:rsidP="00D26693">
      <w:pPr>
        <w:pStyle w:val="Odrky1"/>
        <w:spacing w:before="120"/>
      </w:pPr>
      <w:r w:rsidRPr="00111F34">
        <w:t>Vytvořit podmínky umožňující omezit individuální automobilovou dopravu směrem do centra města, zejména do území Památkové rezervace v hlavním městě Praze.</w:t>
      </w:r>
    </w:p>
    <w:p w14:paraId="75BF310E" w14:textId="77777777" w:rsidR="00D26693" w:rsidRPr="00111F34" w:rsidRDefault="00D26693" w:rsidP="00D26693">
      <w:pPr>
        <w:pStyle w:val="Odrky1"/>
        <w:spacing w:before="120"/>
      </w:pPr>
      <w:r w:rsidRPr="00111F34">
        <w:t>Vytvořit podmínky pro rozvoj druhů dopravy šetrných k životnímu prostředí.</w:t>
      </w:r>
    </w:p>
    <w:p w14:paraId="42C9D8BA" w14:textId="77777777" w:rsidR="00D26693" w:rsidRPr="00111F34" w:rsidRDefault="00D26693" w:rsidP="00D26693">
      <w:pPr>
        <w:pStyle w:val="Odrky1"/>
        <w:spacing w:before="120"/>
      </w:pPr>
      <w:r w:rsidRPr="00111F34">
        <w:t xml:space="preserve">Zajistit rozvoj všech systémů technické infrastruktury, které jsou podmínkou pro další rozvoj města. </w:t>
      </w:r>
    </w:p>
    <w:p w14:paraId="548C2E1D" w14:textId="77777777" w:rsidR="00D26693" w:rsidRPr="00111F34" w:rsidRDefault="00D26693" w:rsidP="00D26693">
      <w:pPr>
        <w:pStyle w:val="Odrky1"/>
        <w:spacing w:before="120"/>
      </w:pPr>
      <w:r w:rsidRPr="00111F34">
        <w:t>Zvyšovat podíl zeleně a spojovat ji do uceleného systému.</w:t>
      </w:r>
    </w:p>
    <w:p w14:paraId="20D1E082" w14:textId="77777777" w:rsidR="00D26693" w:rsidRPr="00111F34" w:rsidRDefault="00D26693" w:rsidP="00D26693">
      <w:pPr>
        <w:pStyle w:val="Odrky1"/>
        <w:spacing w:before="120"/>
      </w:pPr>
      <w:r w:rsidRPr="00111F34">
        <w:t>Vytvořit podmínky pro odstranění nebo zmírnění současných ekologických problémů a přispět k vyřešení střetů zájmů mezi ochranou životního prostředí a ekonomickým a stavebním rozvojem hlavního města.</w:t>
      </w:r>
    </w:p>
    <w:p w14:paraId="2E9EAA21" w14:textId="1D672083" w:rsidR="00D26693" w:rsidRPr="00111F34" w:rsidRDefault="00D26693" w:rsidP="00D26693">
      <w:r w:rsidRPr="00111F34">
        <w:t xml:space="preserve">Obecné zásady jsou založeny na předpokládaném demografickém vývoji, potvrzují historické, kulturní, přírodní a civilizační hodnoty města. Definují základní zásady urbanistické koncepce, včetně koncepce dopravy, technické infrastruktury a tvorby a ochrany životního prostředí, která by měla být následně rozpracována v územním plánu hl. m. Prahy. Z hlediska </w:t>
      </w:r>
      <w:r w:rsidR="00A42C0F" w:rsidRPr="00111F34">
        <w:t>posuzované ÚPD</w:t>
      </w:r>
      <w:r w:rsidRPr="00111F34">
        <w:t xml:space="preserve"> lze konstatovat soulad se zásadou „Vytvořit podmínky pro odstranění nebo zmírnění současných ekologických problémů a přispět k vyřešení střetů zájmů mezi ochranou životního prostředí a ekonomickým a stavebním rozvojem hlavního města“, především z důvodů </w:t>
      </w:r>
      <w:r w:rsidR="00A42C0F" w:rsidRPr="00111F34">
        <w:t>transformace ploch brownfields</w:t>
      </w:r>
      <w:r w:rsidRPr="00111F34">
        <w:t>.</w:t>
      </w:r>
    </w:p>
    <w:p w14:paraId="482674EB" w14:textId="34963856" w:rsidR="00A42C0F" w:rsidRPr="00111F34" w:rsidRDefault="00A42C0F" w:rsidP="00D26693">
      <w:pPr>
        <w:rPr>
          <w:lang w:eastAsia="cs-CZ"/>
        </w:rPr>
      </w:pPr>
      <w:r w:rsidRPr="00111F34">
        <w:rPr>
          <w:lang w:eastAsia="cs-CZ"/>
        </w:rPr>
        <w:t xml:space="preserve">V souladu se ZÚR hl. m. Prahy je návrhem změny upřednostňován rozvoj uvnitř města oproti rozvoji v dosud nezastavěném území. Jedná se o lokalitu s velkým transformačním potenciálem, který je návrhem změny konkretizován. </w:t>
      </w:r>
      <w:r w:rsidR="0087025D" w:rsidRPr="00111F34">
        <w:rPr>
          <w:lang w:eastAsia="cs-CZ"/>
        </w:rPr>
        <w:t>Změna vytváří</w:t>
      </w:r>
      <w:r w:rsidRPr="00111F34">
        <w:rPr>
          <w:lang w:eastAsia="cs-CZ"/>
        </w:rPr>
        <w:t xml:space="preserve"> přímé návaznosti na kapacitní systém kolejové </w:t>
      </w:r>
      <w:r w:rsidR="00F65F92" w:rsidRPr="00111F34">
        <w:rPr>
          <w:lang w:eastAsia="cs-CZ"/>
        </w:rPr>
        <w:t>dopravy –</w:t>
      </w:r>
      <w:r w:rsidR="0087025D" w:rsidRPr="00111F34">
        <w:rPr>
          <w:lang w:eastAsia="cs-CZ"/>
        </w:rPr>
        <w:t xml:space="preserve"> </w:t>
      </w:r>
      <w:r w:rsidRPr="00111F34">
        <w:rPr>
          <w:lang w:eastAsia="cs-CZ"/>
        </w:rPr>
        <w:t xml:space="preserve">tramvaj. </w:t>
      </w:r>
    </w:p>
    <w:p w14:paraId="17F171BB" w14:textId="68135165" w:rsidR="00D26693" w:rsidRPr="00111F34" w:rsidRDefault="00D26693" w:rsidP="00D26693">
      <w:r w:rsidRPr="00111F34">
        <w:t xml:space="preserve">Z Obecných zásad územního rozvoje hl. m. Prahy vychází v ZÚR vymezené rozvojové oblasti, rozvojové osy a specifické oblasti nadmístního významu stejně jako zpřesnění ploch a koridorů vymezených v Politice </w:t>
      </w:r>
      <w:r w:rsidRPr="00111F34">
        <w:lastRenderedPageBreak/>
        <w:t>územního rozvoje ČR a stanovení ploch a koridorů nadmístního a celoměstského významu, vymezení veřejně prospěšných staveb a veřejně prospěšných opatření a ostatních požadavků podle vyhlášky č. 500/2006 Sb., v platném znění.</w:t>
      </w:r>
    </w:p>
    <w:p w14:paraId="76513F17" w14:textId="4AC4508C" w:rsidR="00AC559F" w:rsidRPr="00111F34" w:rsidRDefault="00AC559F" w:rsidP="00AC559F">
      <w:r w:rsidRPr="00111F34">
        <w:t>Řešené území změny se dle ZÚR hl. m. Prahy nachází v oblasti zasažené provozem letiště SL/1 Ruzyně. Úkolem pro podrobnější územně plánovací dokumentaci je dle písm. b) kapitoly 4.4.1 navrhovat umístění citlivých funkcí (bydlení, školství, zdravotnictví) za podmínky prokazatelného splnění legislativních požadavků na kvalitu prostředí, zejména zatížení hlukem, dle písm. c) navrhnout propojení letiště s centrem města a blízkým okolím kapacitním prostředkem hromadné dopravy osob, nebo kombinací těchto prostředků v zájmu snížení hlukové zátěže z povrchové dopravy v dotčené části specifické oblasti. Návrh změny tyto úkoly naplňuje.</w:t>
      </w:r>
    </w:p>
    <w:p w14:paraId="25EE5856" w14:textId="77777777" w:rsidR="00AC559F" w:rsidRPr="00111F34" w:rsidRDefault="00AC559F" w:rsidP="00AC559F">
      <w:r w:rsidRPr="00111F34">
        <w:t>Změna je rovněž v souladu s požadavkem vyplývajícím z kapitoly 2.2.3. ZÚR hl. m. Prahy na vytváření podmínek k preferenci veřejné dopravy před automobilovou, neboť předpokládá kvalitní obsluhu území tramvajovou dopravou do centra Dejvic s návazností na metro.</w:t>
      </w:r>
    </w:p>
    <w:p w14:paraId="43BF92EA" w14:textId="77777777" w:rsidR="00AC559F" w:rsidRPr="00111F34" w:rsidRDefault="00AC559F" w:rsidP="00AC559F">
      <w:r w:rsidRPr="00111F34">
        <w:t>Návrh změny se nachází ve stávajícím systému zeleně tvořeném zelenými klíny směřujícími z volné krajiny do centra města. Návrh změny tento princip významným způsobem nenarušuje.</w:t>
      </w:r>
    </w:p>
    <w:p w14:paraId="2773F346" w14:textId="2ED8EF02" w:rsidR="00AC559F" w:rsidRPr="00111F34" w:rsidRDefault="00AC559F" w:rsidP="00AC559F">
      <w:r w:rsidRPr="00111F34">
        <w:t>Území Výhledů se nachází v oblasti rozvoje osídlení ve vnějším pásmu Prahy, kde je dle kapitoly 2.2.2. ZÚR hl. m. Prahy nutné respektovat původní venkovský charakter s tradičním obrazem sídel v krajině včetně krajinných a stavebních dominant. Zároveň je třeba umožnit rozvoj jednotlivých, původně samostatných obcí bez jejich vzájemného srůstání při zachování kvality mezilehlé příměstské krajiny. Návrh změny tyto principy respektuje.</w:t>
      </w:r>
    </w:p>
    <w:p w14:paraId="0B17E414" w14:textId="26489D39" w:rsidR="00AC559F" w:rsidRPr="00111F34" w:rsidRDefault="00AC559F" w:rsidP="00AC559F">
      <w:r w:rsidRPr="00111F34">
        <w:t>V souladu se ZÚR hl. m. Prahy je i oddálení trasy tunelu Rybářka severním směrem na okraj koridoru definovaného platnými ZÚR hl. m. Prahy.</w:t>
      </w:r>
    </w:p>
    <w:p w14:paraId="64394F54" w14:textId="7F69E2CC" w:rsidR="00D26693" w:rsidRPr="00111F34" w:rsidRDefault="00D26693" w:rsidP="00D26693">
      <w:r w:rsidRPr="00111F34">
        <w:t>Změna</w:t>
      </w:r>
      <w:r w:rsidR="003E0030" w:rsidRPr="00111F34">
        <w:t xml:space="preserve"> tak</w:t>
      </w:r>
      <w:r w:rsidRPr="00111F34">
        <w:t xml:space="preserve"> není v rozporu s Politikou územního rozvoje ČR, ani s územně plánovací dokumentací kraje – Zásadami územního rozvoje hl. m. Prahy, v platném znění (ZÚR). Žádný z těchto dokumentů neklade na řešené území zvláštní nároky.</w:t>
      </w:r>
    </w:p>
    <w:p w14:paraId="4AA23D2B" w14:textId="443252B2" w:rsidR="00794578" w:rsidRPr="00111F34" w:rsidRDefault="00794578" w:rsidP="00BA72D5">
      <w:pPr>
        <w:pStyle w:val="Nadpis1"/>
      </w:pPr>
      <w:bookmarkStart w:id="405" w:name="_Toc531606293"/>
      <w:bookmarkStart w:id="406" w:name="_Toc29298383"/>
      <w:bookmarkStart w:id="407" w:name="_Toc138848160"/>
      <w:r w:rsidRPr="00111F34">
        <w:lastRenderedPageBreak/>
        <w:t>Vyhodnocení vlivů na udržitelný rozvoj území – shrnutí.</w:t>
      </w:r>
      <w:bookmarkEnd w:id="405"/>
      <w:bookmarkEnd w:id="406"/>
      <w:bookmarkEnd w:id="407"/>
    </w:p>
    <w:p w14:paraId="41A6F981" w14:textId="77777777" w:rsidR="009B13BF" w:rsidRPr="00111F34" w:rsidRDefault="009B13BF" w:rsidP="009B13BF">
      <w:pPr>
        <w:pStyle w:val="Nadpis2"/>
      </w:pPr>
      <w:bookmarkStart w:id="408" w:name="_Toc531606294"/>
      <w:bookmarkStart w:id="409" w:name="_Toc29298384"/>
      <w:bookmarkStart w:id="410" w:name="_Toc84595778"/>
      <w:bookmarkStart w:id="411" w:name="_Toc138848161"/>
      <w:bookmarkStart w:id="412" w:name="_Toc496705182"/>
      <w:r w:rsidRPr="00111F34">
        <w:t>Vyhodnocení vlivů územního plánu na zlepšování územních podmínek pro příznivé životní prostředí, pro hospodářský rozvoj a pro soudržnost společenství obyvatel území a jejich soulad.</w:t>
      </w:r>
      <w:bookmarkEnd w:id="408"/>
      <w:bookmarkEnd w:id="409"/>
      <w:bookmarkEnd w:id="410"/>
      <w:bookmarkEnd w:id="411"/>
    </w:p>
    <w:p w14:paraId="3DBEAEF1" w14:textId="2B7F0492" w:rsidR="009B13BF" w:rsidRPr="00111F34" w:rsidRDefault="009B13BF" w:rsidP="009B13BF">
      <w:r w:rsidRPr="00111F34">
        <w:t xml:space="preserve">Předmětem této kapitoly je na základě vyhodnocení vyváženosti vztahu územních podmínek pro příznivé životní prostředí, hospodářský rozvoj a pro soudržnost společenství obyvatel území obsaženém v RURÚ ÚAP Prahy a v ZÚR Prahy a vyhodnocení disproporcí vzájemné vyváženosti pilířů udržitelného rozvoje, které nejvíce ovlivňují udržitelný rozvoj řešeného území. Posuzován je vliv řešení </w:t>
      </w:r>
      <w:r w:rsidR="00433A80" w:rsidRPr="00111F34">
        <w:t xml:space="preserve">předkládané </w:t>
      </w:r>
      <w:r w:rsidRPr="00111F34">
        <w:t>ÚPD na tyto disproporce (to je porovnání se stávajícím stavem) a z hlediska možných dopadů na vyváženost vztahu územních podmínek udržitelného rozvoje území</w:t>
      </w:r>
      <w:r w:rsidR="006606BC" w:rsidRPr="00111F34">
        <w:t>,</w:t>
      </w:r>
      <w:r w:rsidRPr="00111F34">
        <w:t xml:space="preserve"> tj. charakteristika kladů a záporů realizace ÚP na vyváženost vztahu územních podmínek udržitelného rozvoje území. </w:t>
      </w:r>
    </w:p>
    <w:p w14:paraId="574A2EAA" w14:textId="77777777" w:rsidR="009B13BF" w:rsidRPr="00111F34" w:rsidRDefault="009B13BF" w:rsidP="009B13BF">
      <w:pPr>
        <w:pStyle w:val="Nadpis3"/>
        <w:ind w:left="709" w:hanging="709"/>
        <w:rPr>
          <w:lang w:eastAsia="cs-CZ"/>
        </w:rPr>
      </w:pPr>
      <w:bookmarkStart w:id="413" w:name="_Toc84595779"/>
      <w:bookmarkStart w:id="414" w:name="_Toc138848162"/>
      <w:r w:rsidRPr="00111F34">
        <w:rPr>
          <w:lang w:eastAsia="cs-CZ"/>
        </w:rPr>
        <w:t>Disproporce a problémy k řešení v rámci územně plánovací dokumentace identifikované v ÚAP Prahy a jejich vazba k posuzované ÚPD</w:t>
      </w:r>
      <w:bookmarkEnd w:id="413"/>
      <w:bookmarkEnd w:id="414"/>
    </w:p>
    <w:p w14:paraId="46DE0C88" w14:textId="277C3200" w:rsidR="009B13BF" w:rsidRPr="00111F34" w:rsidRDefault="009B13BF" w:rsidP="009B13BF">
      <w:pPr>
        <w:autoSpaceDE w:val="0"/>
        <w:autoSpaceDN w:val="0"/>
        <w:adjustRightInd w:val="0"/>
        <w:spacing w:before="0" w:after="100" w:line="181" w:lineRule="atLeast"/>
        <w:rPr>
          <w:rFonts w:cs="Arial"/>
          <w:color w:val="000000"/>
          <w:szCs w:val="20"/>
          <w:lang w:eastAsia="cs-CZ"/>
        </w:rPr>
      </w:pPr>
      <w:r w:rsidRPr="00111F34">
        <w:rPr>
          <w:rFonts w:cs="Arial"/>
          <w:color w:val="000000"/>
          <w:szCs w:val="20"/>
          <w:lang w:eastAsia="cs-CZ"/>
        </w:rPr>
        <w:t xml:space="preserve">Problémy k řešení v ÚPD identifikované v ÚAP Praha pro území kraje – formulují problémy, které lze řešit nástroji územního plánování, a které jsou podkladem pro </w:t>
      </w:r>
      <w:r w:rsidR="003A1663" w:rsidRPr="00111F34">
        <w:rPr>
          <w:rFonts w:cs="Arial"/>
          <w:color w:val="000000"/>
          <w:szCs w:val="20"/>
          <w:lang w:eastAsia="cs-CZ"/>
        </w:rPr>
        <w:t>územní plán</w:t>
      </w:r>
      <w:r w:rsidRPr="00111F34">
        <w:rPr>
          <w:rFonts w:cs="Arial"/>
          <w:color w:val="000000"/>
          <w:szCs w:val="20"/>
          <w:lang w:eastAsia="cs-CZ"/>
        </w:rPr>
        <w:t xml:space="preserve">. Níže uvádíme k jednotlivým takto identifikovaným problémům slovní komentář z hlediska jejich vazby na posuzovanou ÚPD a míru jakou může tato dokumentace přispět k jejich řešení. Využita byla tříbodová škála. </w:t>
      </w:r>
    </w:p>
    <w:tbl>
      <w:tblPr>
        <w:tblW w:w="5000" w:type="pct"/>
        <w:tblCellMar>
          <w:left w:w="28" w:type="dxa"/>
          <w:right w:w="28" w:type="dxa"/>
        </w:tblCellMar>
        <w:tblLook w:val="04A0" w:firstRow="1" w:lastRow="0" w:firstColumn="1" w:lastColumn="0" w:noHBand="0" w:noVBand="1"/>
      </w:tblPr>
      <w:tblGrid>
        <w:gridCol w:w="4758"/>
        <w:gridCol w:w="62"/>
        <w:gridCol w:w="701"/>
        <w:gridCol w:w="4107"/>
      </w:tblGrid>
      <w:tr w:rsidR="00433A80" w:rsidRPr="00111F34" w14:paraId="5E0D74B0" w14:textId="77777777" w:rsidTr="00433A80">
        <w:trPr>
          <w:trHeight w:val="448"/>
          <w:tblHeader/>
        </w:trPr>
        <w:tc>
          <w:tcPr>
            <w:tcW w:w="2471" w:type="pct"/>
            <w:tcBorders>
              <w:top w:val="single" w:sz="4" w:space="0" w:color="auto"/>
              <w:left w:val="single" w:sz="4" w:space="0" w:color="auto"/>
              <w:bottom w:val="single" w:sz="4" w:space="0" w:color="auto"/>
              <w:right w:val="single" w:sz="4" w:space="0" w:color="auto"/>
            </w:tcBorders>
            <w:shd w:val="clear" w:color="auto" w:fill="233845"/>
            <w:vAlign w:val="center"/>
            <w:hideMark/>
          </w:tcPr>
          <w:p w14:paraId="6C132CC5" w14:textId="77777777" w:rsidR="00433A80" w:rsidRPr="00111F34" w:rsidRDefault="00433A80" w:rsidP="00433A80">
            <w:pPr>
              <w:pStyle w:val="Texttabulky"/>
              <w:jc w:val="center"/>
              <w:rPr>
                <w:rFonts w:cs="Arial"/>
                <w:b/>
                <w:color w:val="auto"/>
                <w:szCs w:val="16"/>
              </w:rPr>
            </w:pPr>
            <w:r w:rsidRPr="00111F34">
              <w:rPr>
                <w:rFonts w:cs="Arial"/>
                <w:b/>
                <w:color w:val="auto"/>
                <w:szCs w:val="16"/>
              </w:rPr>
              <w:t>Vliv posuzované ÚPD na řešení problémů udržitelného rozvoje nástroji územního plánování</w:t>
            </w:r>
          </w:p>
        </w:tc>
        <w:tc>
          <w:tcPr>
            <w:tcW w:w="396" w:type="pct"/>
            <w:gridSpan w:val="2"/>
            <w:tcBorders>
              <w:top w:val="single" w:sz="4" w:space="0" w:color="auto"/>
              <w:left w:val="single" w:sz="4" w:space="0" w:color="auto"/>
              <w:bottom w:val="single" w:sz="4" w:space="0" w:color="auto"/>
              <w:right w:val="single" w:sz="4" w:space="0" w:color="auto"/>
            </w:tcBorders>
            <w:shd w:val="clear" w:color="auto" w:fill="233845"/>
            <w:vAlign w:val="center"/>
          </w:tcPr>
          <w:p w14:paraId="36A96C57" w14:textId="2118A25A" w:rsidR="00433A80" w:rsidRPr="00111F34" w:rsidRDefault="006606BC" w:rsidP="00433A80">
            <w:pPr>
              <w:pStyle w:val="Texttabulky"/>
              <w:jc w:val="center"/>
              <w:rPr>
                <w:rFonts w:cs="Arial"/>
                <w:b/>
                <w:color w:val="auto"/>
                <w:szCs w:val="16"/>
              </w:rPr>
            </w:pPr>
            <w:r w:rsidRPr="00111F34">
              <w:rPr>
                <w:rFonts w:cs="Arial"/>
                <w:b/>
                <w:color w:val="auto"/>
                <w:szCs w:val="16"/>
              </w:rPr>
              <w:t>Z</w:t>
            </w:r>
            <w:r w:rsidR="001663EA" w:rsidRPr="00111F34">
              <w:rPr>
                <w:rFonts w:cs="Arial"/>
                <w:b/>
                <w:color w:val="auto"/>
                <w:szCs w:val="16"/>
              </w:rPr>
              <w:t>3827</w:t>
            </w:r>
          </w:p>
        </w:tc>
        <w:tc>
          <w:tcPr>
            <w:tcW w:w="2133" w:type="pct"/>
            <w:tcBorders>
              <w:top w:val="single" w:sz="4" w:space="0" w:color="auto"/>
              <w:left w:val="single" w:sz="4" w:space="0" w:color="auto"/>
              <w:bottom w:val="single" w:sz="4" w:space="0" w:color="auto"/>
              <w:right w:val="single" w:sz="4" w:space="0" w:color="auto"/>
            </w:tcBorders>
            <w:shd w:val="clear" w:color="auto" w:fill="233845"/>
            <w:vAlign w:val="center"/>
          </w:tcPr>
          <w:p w14:paraId="1CAE194E" w14:textId="77777777" w:rsidR="00433A80" w:rsidRPr="00111F34" w:rsidRDefault="00433A80" w:rsidP="00433A80">
            <w:pPr>
              <w:pStyle w:val="Texttabulky"/>
              <w:jc w:val="center"/>
              <w:rPr>
                <w:rFonts w:cs="Arial"/>
                <w:b/>
                <w:color w:val="auto"/>
                <w:szCs w:val="16"/>
              </w:rPr>
            </w:pPr>
            <w:r w:rsidRPr="00111F34">
              <w:rPr>
                <w:rFonts w:cs="Arial"/>
                <w:b/>
                <w:color w:val="auto"/>
                <w:szCs w:val="16"/>
              </w:rPr>
              <w:t>Komentář</w:t>
            </w:r>
          </w:p>
        </w:tc>
      </w:tr>
      <w:tr w:rsidR="00433A80" w:rsidRPr="00111F34" w14:paraId="22A93834" w14:textId="77777777" w:rsidTr="00433A80">
        <w:trPr>
          <w:trHeight w:val="285"/>
        </w:trPr>
        <w:tc>
          <w:tcPr>
            <w:tcW w:w="5000" w:type="pct"/>
            <w:gridSpan w:val="4"/>
            <w:tcBorders>
              <w:top w:val="single" w:sz="4" w:space="0" w:color="auto"/>
              <w:left w:val="single" w:sz="4" w:space="0" w:color="auto"/>
              <w:bottom w:val="single" w:sz="4" w:space="0" w:color="auto"/>
              <w:right w:val="single" w:sz="4" w:space="0" w:color="000000"/>
            </w:tcBorders>
            <w:shd w:val="clear" w:color="auto" w:fill="E5DFEC" w:themeFill="accent4" w:themeFillTint="33"/>
            <w:hideMark/>
          </w:tcPr>
          <w:p w14:paraId="45427C59" w14:textId="77777777" w:rsidR="00433A80" w:rsidRPr="00111F34" w:rsidRDefault="00433A80" w:rsidP="00433A80">
            <w:pPr>
              <w:pStyle w:val="Texttabulky"/>
              <w:rPr>
                <w:rFonts w:cs="Arial"/>
                <w:b/>
                <w:color w:val="auto"/>
                <w:szCs w:val="16"/>
              </w:rPr>
            </w:pPr>
            <w:r w:rsidRPr="00111F34">
              <w:rPr>
                <w:rFonts w:cs="Arial"/>
                <w:b/>
                <w:szCs w:val="16"/>
              </w:rPr>
              <w:t>03 VYVÁŽENÉ PROSTOROVÉ USPOŘÁDÁNÍ MĚSTA</w:t>
            </w:r>
          </w:p>
        </w:tc>
      </w:tr>
      <w:tr w:rsidR="00433A80" w:rsidRPr="00111F34" w14:paraId="5FE78C10" w14:textId="77777777" w:rsidTr="00433A80">
        <w:trPr>
          <w:trHeight w:val="285"/>
        </w:trPr>
        <w:tc>
          <w:tcPr>
            <w:tcW w:w="2503" w:type="pct"/>
            <w:gridSpan w:val="2"/>
            <w:tcBorders>
              <w:top w:val="single" w:sz="4" w:space="0" w:color="auto"/>
              <w:left w:val="single" w:sz="4" w:space="0" w:color="auto"/>
              <w:bottom w:val="single" w:sz="4" w:space="0" w:color="auto"/>
              <w:right w:val="single" w:sz="4" w:space="0" w:color="000000"/>
            </w:tcBorders>
            <w:shd w:val="clear" w:color="auto" w:fill="auto"/>
          </w:tcPr>
          <w:p w14:paraId="50DDDC83" w14:textId="77777777" w:rsidR="00433A80" w:rsidRPr="00111F34" w:rsidRDefault="00433A80" w:rsidP="00433A80">
            <w:pPr>
              <w:pStyle w:val="Texttabulky"/>
              <w:rPr>
                <w:rFonts w:cs="Arial"/>
                <w:b/>
                <w:color w:val="auto"/>
                <w:szCs w:val="16"/>
              </w:rPr>
            </w:pPr>
            <w:r w:rsidRPr="00111F34">
              <w:rPr>
                <w:rFonts w:cs="Arial"/>
                <w:b/>
                <w:szCs w:val="16"/>
              </w:rPr>
              <w:t>podmíněnost rozvoje klíčových transformačních území</w:t>
            </w:r>
          </w:p>
        </w:tc>
        <w:tc>
          <w:tcPr>
            <w:tcW w:w="364" w:type="pct"/>
            <w:tcBorders>
              <w:top w:val="single" w:sz="4" w:space="0" w:color="auto"/>
              <w:left w:val="single" w:sz="4" w:space="0" w:color="auto"/>
              <w:bottom w:val="single" w:sz="4" w:space="0" w:color="auto"/>
              <w:right w:val="single" w:sz="4" w:space="0" w:color="000000"/>
            </w:tcBorders>
            <w:shd w:val="clear" w:color="auto" w:fill="auto"/>
            <w:vAlign w:val="center"/>
          </w:tcPr>
          <w:p w14:paraId="6A615B37" w14:textId="77777777" w:rsidR="00433A80" w:rsidRPr="00111F34" w:rsidRDefault="00433A80" w:rsidP="00433A80">
            <w:pPr>
              <w:pStyle w:val="Texttabulky"/>
              <w:jc w:val="center"/>
              <w:rPr>
                <w:rFonts w:cs="Arial"/>
                <w:bCs/>
                <w:color w:val="auto"/>
                <w:szCs w:val="16"/>
              </w:rPr>
            </w:pPr>
            <w:r w:rsidRPr="00111F34">
              <w:rPr>
                <w:rFonts w:cs="Arial"/>
                <w:bCs/>
                <w:color w:val="auto"/>
                <w:szCs w:val="16"/>
              </w:rPr>
              <w:t>0</w:t>
            </w:r>
          </w:p>
        </w:tc>
        <w:tc>
          <w:tcPr>
            <w:tcW w:w="2133" w:type="pct"/>
            <w:tcBorders>
              <w:top w:val="single" w:sz="4" w:space="0" w:color="auto"/>
              <w:left w:val="single" w:sz="4" w:space="0" w:color="auto"/>
              <w:bottom w:val="single" w:sz="4" w:space="0" w:color="auto"/>
              <w:right w:val="single" w:sz="4" w:space="0" w:color="000000"/>
            </w:tcBorders>
            <w:shd w:val="clear" w:color="auto" w:fill="auto"/>
            <w:vAlign w:val="center"/>
          </w:tcPr>
          <w:p w14:paraId="33F52DB7" w14:textId="77777777" w:rsidR="00433A80" w:rsidRPr="00111F34" w:rsidRDefault="00433A80" w:rsidP="00433A80">
            <w:pPr>
              <w:pStyle w:val="Texttabulky"/>
              <w:jc w:val="center"/>
              <w:rPr>
                <w:rFonts w:cs="Arial"/>
                <w:b/>
                <w:color w:val="auto"/>
                <w:szCs w:val="16"/>
              </w:rPr>
            </w:pPr>
            <w:r w:rsidRPr="00111F34">
              <w:rPr>
                <w:rFonts w:cs="Arial"/>
                <w:color w:val="auto"/>
                <w:szCs w:val="16"/>
              </w:rPr>
              <w:t>Z hlediska posuzované ÚPD bez přímé vazby.</w:t>
            </w:r>
          </w:p>
        </w:tc>
      </w:tr>
      <w:tr w:rsidR="00433A80" w:rsidRPr="00111F34" w14:paraId="394F28D0" w14:textId="77777777" w:rsidTr="00433A80">
        <w:trPr>
          <w:trHeight w:val="285"/>
        </w:trPr>
        <w:tc>
          <w:tcPr>
            <w:tcW w:w="2503" w:type="pct"/>
            <w:gridSpan w:val="2"/>
            <w:tcBorders>
              <w:top w:val="single" w:sz="4" w:space="0" w:color="auto"/>
              <w:left w:val="single" w:sz="4" w:space="0" w:color="auto"/>
              <w:bottom w:val="single" w:sz="4" w:space="0" w:color="auto"/>
              <w:right w:val="single" w:sz="4" w:space="0" w:color="000000"/>
            </w:tcBorders>
            <w:shd w:val="clear" w:color="auto" w:fill="auto"/>
          </w:tcPr>
          <w:p w14:paraId="50F51FB2" w14:textId="77777777" w:rsidR="00433A80" w:rsidRPr="00111F34" w:rsidRDefault="00433A80">
            <w:pPr>
              <w:pStyle w:val="Texttabulky"/>
              <w:numPr>
                <w:ilvl w:val="0"/>
                <w:numId w:val="32"/>
              </w:numPr>
              <w:ind w:left="426" w:hanging="426"/>
              <w:rPr>
                <w:rFonts w:cs="Arial"/>
                <w:b/>
                <w:color w:val="auto"/>
                <w:szCs w:val="16"/>
              </w:rPr>
            </w:pPr>
            <w:r w:rsidRPr="00111F34">
              <w:rPr>
                <w:rFonts w:cs="Arial"/>
                <w:szCs w:val="16"/>
              </w:rPr>
              <w:t xml:space="preserve">zablokování klíčových transformačních území stavební uzávěrou (i.03.1.01) </w:t>
            </w:r>
          </w:p>
        </w:tc>
        <w:tc>
          <w:tcPr>
            <w:tcW w:w="364" w:type="pct"/>
            <w:tcBorders>
              <w:top w:val="single" w:sz="4" w:space="0" w:color="auto"/>
              <w:left w:val="single" w:sz="4" w:space="0" w:color="auto"/>
              <w:bottom w:val="single" w:sz="4" w:space="0" w:color="auto"/>
              <w:right w:val="single" w:sz="4" w:space="0" w:color="000000"/>
            </w:tcBorders>
            <w:shd w:val="clear" w:color="auto" w:fill="auto"/>
            <w:vAlign w:val="center"/>
          </w:tcPr>
          <w:p w14:paraId="66CDE05B" w14:textId="77777777" w:rsidR="00433A80" w:rsidRPr="00111F34" w:rsidRDefault="00433A80" w:rsidP="00433A80">
            <w:pPr>
              <w:pStyle w:val="Texttabulky"/>
              <w:jc w:val="center"/>
              <w:rPr>
                <w:rFonts w:cs="Arial"/>
                <w:bCs/>
                <w:color w:val="auto"/>
                <w:szCs w:val="16"/>
              </w:rPr>
            </w:pPr>
            <w:r w:rsidRPr="00111F34">
              <w:rPr>
                <w:rFonts w:cs="Arial"/>
                <w:bCs/>
                <w:color w:val="auto"/>
                <w:szCs w:val="16"/>
              </w:rPr>
              <w:t>0</w:t>
            </w:r>
          </w:p>
        </w:tc>
        <w:tc>
          <w:tcPr>
            <w:tcW w:w="2133" w:type="pct"/>
            <w:tcBorders>
              <w:top w:val="single" w:sz="4" w:space="0" w:color="auto"/>
              <w:left w:val="single" w:sz="4" w:space="0" w:color="auto"/>
              <w:bottom w:val="single" w:sz="4" w:space="0" w:color="auto"/>
              <w:right w:val="single" w:sz="4" w:space="0" w:color="000000"/>
            </w:tcBorders>
            <w:shd w:val="clear" w:color="auto" w:fill="auto"/>
            <w:vAlign w:val="center"/>
          </w:tcPr>
          <w:p w14:paraId="0324E418" w14:textId="77777777" w:rsidR="00433A80" w:rsidRPr="00111F34" w:rsidRDefault="00433A80" w:rsidP="00433A80">
            <w:pPr>
              <w:pStyle w:val="Texttabulky"/>
              <w:jc w:val="center"/>
              <w:rPr>
                <w:rFonts w:cs="Arial"/>
                <w:b/>
                <w:color w:val="auto"/>
                <w:szCs w:val="16"/>
              </w:rPr>
            </w:pPr>
            <w:r w:rsidRPr="00111F34">
              <w:rPr>
                <w:rFonts w:cs="Arial"/>
                <w:color w:val="auto"/>
                <w:szCs w:val="16"/>
              </w:rPr>
              <w:t xml:space="preserve">Z hlediska posuzované ÚPD bez přímé vazby. </w:t>
            </w:r>
          </w:p>
        </w:tc>
      </w:tr>
      <w:tr w:rsidR="00433A80" w:rsidRPr="00111F34" w14:paraId="48A96690" w14:textId="77777777" w:rsidTr="00433A80">
        <w:trPr>
          <w:trHeight w:val="283"/>
        </w:trPr>
        <w:tc>
          <w:tcPr>
            <w:tcW w:w="5000" w:type="pct"/>
            <w:gridSpan w:val="4"/>
            <w:tcBorders>
              <w:top w:val="nil"/>
              <w:left w:val="single" w:sz="4" w:space="0" w:color="auto"/>
              <w:bottom w:val="single" w:sz="4" w:space="0" w:color="auto"/>
              <w:right w:val="single" w:sz="4" w:space="0" w:color="auto"/>
            </w:tcBorders>
            <w:shd w:val="clear" w:color="auto" w:fill="E5DFEC" w:themeFill="accent4" w:themeFillTint="33"/>
            <w:vAlign w:val="center"/>
          </w:tcPr>
          <w:p w14:paraId="2CDD80F8" w14:textId="77777777" w:rsidR="00433A80" w:rsidRPr="00111F34" w:rsidRDefault="00433A80" w:rsidP="00433A80">
            <w:pPr>
              <w:pStyle w:val="Texttabulky"/>
              <w:rPr>
                <w:rFonts w:cs="Arial"/>
                <w:b/>
                <w:color w:val="auto"/>
                <w:szCs w:val="16"/>
              </w:rPr>
            </w:pPr>
            <w:r w:rsidRPr="00111F34">
              <w:rPr>
                <w:rFonts w:cs="Arial"/>
                <w:b/>
                <w:color w:val="auto"/>
                <w:szCs w:val="16"/>
              </w:rPr>
              <w:t>06. BEZPEČNÁ A EFEKTIVNÍ MOBILITA</w:t>
            </w:r>
          </w:p>
        </w:tc>
      </w:tr>
      <w:tr w:rsidR="00433A80" w:rsidRPr="00111F34" w14:paraId="5DE4652C" w14:textId="77777777" w:rsidTr="00433A80">
        <w:trPr>
          <w:trHeight w:val="116"/>
        </w:trPr>
        <w:tc>
          <w:tcPr>
            <w:tcW w:w="2503" w:type="pct"/>
            <w:gridSpan w:val="2"/>
            <w:tcBorders>
              <w:top w:val="nil"/>
              <w:left w:val="single" w:sz="4" w:space="0" w:color="auto"/>
              <w:bottom w:val="single" w:sz="4" w:space="0" w:color="auto"/>
              <w:right w:val="single" w:sz="4" w:space="0" w:color="auto"/>
            </w:tcBorders>
            <w:shd w:val="clear" w:color="auto" w:fill="auto"/>
          </w:tcPr>
          <w:p w14:paraId="25D06C32" w14:textId="77777777" w:rsidR="00433A80" w:rsidRPr="00111F34" w:rsidRDefault="00433A80" w:rsidP="00433A80">
            <w:pPr>
              <w:pStyle w:val="Odrky1"/>
              <w:numPr>
                <w:ilvl w:val="0"/>
                <w:numId w:val="0"/>
              </w:numPr>
              <w:spacing w:before="0" w:after="0"/>
              <w:ind w:left="360" w:hanging="360"/>
              <w:jc w:val="left"/>
              <w:rPr>
                <w:rFonts w:cs="Arial"/>
                <w:i/>
                <w:sz w:val="16"/>
                <w:szCs w:val="16"/>
              </w:rPr>
            </w:pPr>
            <w:r w:rsidRPr="00111F34">
              <w:rPr>
                <w:rFonts w:cs="Arial"/>
                <w:b/>
                <w:sz w:val="16"/>
                <w:szCs w:val="16"/>
              </w:rPr>
              <w:t>kapacitní problémy kolejové sítě</w:t>
            </w:r>
          </w:p>
        </w:tc>
        <w:tc>
          <w:tcPr>
            <w:tcW w:w="364" w:type="pct"/>
            <w:tcBorders>
              <w:top w:val="nil"/>
              <w:left w:val="nil"/>
              <w:bottom w:val="single" w:sz="4" w:space="0" w:color="auto"/>
              <w:right w:val="single" w:sz="4" w:space="0" w:color="auto"/>
            </w:tcBorders>
            <w:vAlign w:val="center"/>
          </w:tcPr>
          <w:p w14:paraId="47D37163" w14:textId="00C21E78" w:rsidR="00433A80" w:rsidRPr="00111F34" w:rsidRDefault="005B44E6" w:rsidP="00433A80">
            <w:pPr>
              <w:pStyle w:val="Texttabulky"/>
              <w:jc w:val="center"/>
              <w:rPr>
                <w:rFonts w:cs="Arial"/>
                <w:color w:val="auto"/>
                <w:szCs w:val="16"/>
              </w:rPr>
            </w:pPr>
            <w:r w:rsidRPr="00111F34">
              <w:rPr>
                <w:rFonts w:cs="Arial"/>
                <w:color w:val="auto"/>
                <w:szCs w:val="16"/>
              </w:rPr>
              <w:t>+</w:t>
            </w:r>
          </w:p>
        </w:tc>
        <w:tc>
          <w:tcPr>
            <w:tcW w:w="2133" w:type="pct"/>
            <w:tcBorders>
              <w:top w:val="nil"/>
              <w:left w:val="nil"/>
              <w:bottom w:val="single" w:sz="4" w:space="0" w:color="auto"/>
              <w:right w:val="single" w:sz="4" w:space="0" w:color="auto"/>
            </w:tcBorders>
            <w:vAlign w:val="center"/>
          </w:tcPr>
          <w:p w14:paraId="15B1B7C9" w14:textId="22E86EB1" w:rsidR="00433A80" w:rsidRPr="00111F34" w:rsidRDefault="005B44E6" w:rsidP="00433A80">
            <w:pPr>
              <w:pStyle w:val="Texttabulky"/>
              <w:jc w:val="center"/>
              <w:rPr>
                <w:rFonts w:cs="Arial"/>
                <w:color w:val="auto"/>
                <w:szCs w:val="16"/>
              </w:rPr>
            </w:pPr>
            <w:r w:rsidRPr="00111F34">
              <w:rPr>
                <w:rFonts w:cs="Arial"/>
                <w:color w:val="auto"/>
                <w:szCs w:val="16"/>
              </w:rPr>
              <w:t>Přímo přispívá k řešení tohoto problému.</w:t>
            </w:r>
          </w:p>
        </w:tc>
      </w:tr>
      <w:tr w:rsidR="005B44E6" w:rsidRPr="00111F34" w14:paraId="28CF84FC" w14:textId="77777777" w:rsidTr="00433A80">
        <w:trPr>
          <w:trHeight w:val="254"/>
        </w:trPr>
        <w:tc>
          <w:tcPr>
            <w:tcW w:w="2503" w:type="pct"/>
            <w:gridSpan w:val="2"/>
            <w:tcBorders>
              <w:top w:val="nil"/>
              <w:left w:val="single" w:sz="4" w:space="0" w:color="auto"/>
              <w:bottom w:val="single" w:sz="4" w:space="0" w:color="auto"/>
              <w:right w:val="single" w:sz="4" w:space="0" w:color="auto"/>
            </w:tcBorders>
            <w:shd w:val="clear" w:color="auto" w:fill="auto"/>
          </w:tcPr>
          <w:p w14:paraId="1E0A29F2" w14:textId="77777777" w:rsidR="005B44E6" w:rsidRPr="00111F34" w:rsidRDefault="005B44E6" w:rsidP="005B44E6">
            <w:pPr>
              <w:pStyle w:val="Odrky1"/>
              <w:spacing w:before="0" w:after="0"/>
              <w:jc w:val="left"/>
              <w:rPr>
                <w:rFonts w:cs="Arial"/>
                <w:i/>
                <w:sz w:val="16"/>
                <w:szCs w:val="16"/>
              </w:rPr>
            </w:pPr>
            <w:r w:rsidRPr="00111F34">
              <w:rPr>
                <w:rFonts w:cs="Arial"/>
                <w:sz w:val="16"/>
                <w:szCs w:val="16"/>
              </w:rPr>
              <w:t>kapacitní problémy na linkách S (i.06.1.06)</w:t>
            </w:r>
          </w:p>
        </w:tc>
        <w:tc>
          <w:tcPr>
            <w:tcW w:w="364" w:type="pct"/>
            <w:tcBorders>
              <w:top w:val="nil"/>
              <w:left w:val="nil"/>
              <w:bottom w:val="single" w:sz="4" w:space="0" w:color="auto"/>
              <w:right w:val="single" w:sz="4" w:space="0" w:color="auto"/>
            </w:tcBorders>
            <w:vAlign w:val="center"/>
          </w:tcPr>
          <w:p w14:paraId="06F7DE0B" w14:textId="4F81178C" w:rsidR="005B44E6" w:rsidRPr="00111F34" w:rsidRDefault="005B44E6" w:rsidP="005B44E6">
            <w:pPr>
              <w:pStyle w:val="Texttabulky"/>
              <w:jc w:val="center"/>
              <w:rPr>
                <w:rFonts w:cs="Arial"/>
                <w:color w:val="auto"/>
                <w:szCs w:val="16"/>
              </w:rPr>
            </w:pPr>
            <w:r w:rsidRPr="00111F34">
              <w:rPr>
                <w:rFonts w:cs="Arial"/>
                <w:color w:val="auto"/>
                <w:szCs w:val="16"/>
              </w:rPr>
              <w:t>+</w:t>
            </w:r>
          </w:p>
        </w:tc>
        <w:tc>
          <w:tcPr>
            <w:tcW w:w="2133" w:type="pct"/>
            <w:tcBorders>
              <w:top w:val="nil"/>
              <w:left w:val="nil"/>
              <w:bottom w:val="single" w:sz="4" w:space="0" w:color="auto"/>
              <w:right w:val="single" w:sz="4" w:space="0" w:color="auto"/>
            </w:tcBorders>
            <w:vAlign w:val="center"/>
          </w:tcPr>
          <w:p w14:paraId="6E0DF727" w14:textId="62CC0ED5" w:rsidR="005B44E6" w:rsidRPr="00111F34" w:rsidRDefault="005B44E6" w:rsidP="005B44E6">
            <w:pPr>
              <w:pStyle w:val="Texttabulky"/>
              <w:jc w:val="center"/>
              <w:rPr>
                <w:rFonts w:cs="Arial"/>
                <w:color w:val="auto"/>
                <w:szCs w:val="16"/>
              </w:rPr>
            </w:pPr>
            <w:r w:rsidRPr="00111F34">
              <w:rPr>
                <w:rFonts w:cs="Arial"/>
                <w:color w:val="auto"/>
                <w:szCs w:val="16"/>
              </w:rPr>
              <w:t>Přímo přispívá k řešení tohoto problému.</w:t>
            </w:r>
          </w:p>
        </w:tc>
      </w:tr>
      <w:tr w:rsidR="00433A80" w:rsidRPr="00111F34" w14:paraId="0421A19E" w14:textId="77777777" w:rsidTr="00433A80">
        <w:trPr>
          <w:trHeight w:val="254"/>
        </w:trPr>
        <w:tc>
          <w:tcPr>
            <w:tcW w:w="2503" w:type="pct"/>
            <w:gridSpan w:val="2"/>
            <w:tcBorders>
              <w:top w:val="nil"/>
              <w:left w:val="single" w:sz="4" w:space="0" w:color="auto"/>
              <w:bottom w:val="single" w:sz="4" w:space="0" w:color="auto"/>
              <w:right w:val="single" w:sz="4" w:space="0" w:color="auto"/>
            </w:tcBorders>
            <w:shd w:val="clear" w:color="auto" w:fill="auto"/>
          </w:tcPr>
          <w:p w14:paraId="3C2D8E17" w14:textId="77777777" w:rsidR="00433A80" w:rsidRPr="00111F34" w:rsidRDefault="00433A80" w:rsidP="00433A80">
            <w:pPr>
              <w:pStyle w:val="Odrky1"/>
              <w:spacing w:before="0" w:after="0"/>
              <w:jc w:val="left"/>
              <w:rPr>
                <w:rFonts w:cs="Arial"/>
                <w:i/>
                <w:sz w:val="16"/>
                <w:szCs w:val="16"/>
              </w:rPr>
            </w:pPr>
            <w:r w:rsidRPr="00111F34">
              <w:rPr>
                <w:rFonts w:cs="Arial"/>
                <w:sz w:val="16"/>
                <w:szCs w:val="16"/>
              </w:rPr>
              <w:t xml:space="preserve">kapacitní problémy na některých úsecích linky metra C, částečně také B (i.06.1.06 / i.06.3.07) </w:t>
            </w:r>
          </w:p>
        </w:tc>
        <w:tc>
          <w:tcPr>
            <w:tcW w:w="364" w:type="pct"/>
            <w:tcBorders>
              <w:top w:val="nil"/>
              <w:left w:val="nil"/>
              <w:bottom w:val="single" w:sz="4" w:space="0" w:color="auto"/>
              <w:right w:val="single" w:sz="4" w:space="0" w:color="auto"/>
            </w:tcBorders>
            <w:vAlign w:val="center"/>
          </w:tcPr>
          <w:p w14:paraId="3AB0DA54" w14:textId="77777777" w:rsidR="00433A80" w:rsidRPr="00111F34" w:rsidRDefault="00433A80" w:rsidP="00433A80">
            <w:pPr>
              <w:pStyle w:val="Texttabulky"/>
              <w:jc w:val="center"/>
              <w:rPr>
                <w:rFonts w:cs="Arial"/>
                <w:color w:val="auto"/>
                <w:szCs w:val="16"/>
              </w:rPr>
            </w:pPr>
            <w:r w:rsidRPr="00111F34">
              <w:rPr>
                <w:rFonts w:cs="Arial"/>
                <w:color w:val="auto"/>
                <w:szCs w:val="16"/>
              </w:rPr>
              <w:t>0</w:t>
            </w:r>
          </w:p>
        </w:tc>
        <w:tc>
          <w:tcPr>
            <w:tcW w:w="2133" w:type="pct"/>
            <w:tcBorders>
              <w:top w:val="nil"/>
              <w:left w:val="nil"/>
              <w:bottom w:val="single" w:sz="4" w:space="0" w:color="auto"/>
              <w:right w:val="single" w:sz="4" w:space="0" w:color="auto"/>
            </w:tcBorders>
            <w:vAlign w:val="center"/>
          </w:tcPr>
          <w:p w14:paraId="2DB4976B" w14:textId="77777777" w:rsidR="00433A80" w:rsidRPr="00111F34" w:rsidRDefault="00433A80" w:rsidP="00433A80">
            <w:pPr>
              <w:pStyle w:val="Texttabulky"/>
              <w:jc w:val="center"/>
              <w:rPr>
                <w:rFonts w:cs="Arial"/>
                <w:color w:val="auto"/>
                <w:szCs w:val="16"/>
              </w:rPr>
            </w:pPr>
            <w:r w:rsidRPr="00111F34">
              <w:rPr>
                <w:rFonts w:cs="Arial"/>
                <w:color w:val="auto"/>
                <w:szCs w:val="16"/>
              </w:rPr>
              <w:t>Z hlediska posuzované ÚPD bez přímé vazby.</w:t>
            </w:r>
          </w:p>
        </w:tc>
      </w:tr>
      <w:tr w:rsidR="00C80C21" w:rsidRPr="00111F34" w14:paraId="7F58EEE8" w14:textId="77777777" w:rsidTr="00433A80">
        <w:trPr>
          <w:trHeight w:val="254"/>
        </w:trPr>
        <w:tc>
          <w:tcPr>
            <w:tcW w:w="2503" w:type="pct"/>
            <w:gridSpan w:val="2"/>
            <w:tcBorders>
              <w:top w:val="nil"/>
              <w:left w:val="single" w:sz="4" w:space="0" w:color="auto"/>
              <w:bottom w:val="single" w:sz="4" w:space="0" w:color="auto"/>
              <w:right w:val="single" w:sz="4" w:space="0" w:color="auto"/>
            </w:tcBorders>
            <w:shd w:val="clear" w:color="auto" w:fill="auto"/>
          </w:tcPr>
          <w:p w14:paraId="1941D14A" w14:textId="77777777" w:rsidR="00C80C21" w:rsidRPr="00111F34" w:rsidRDefault="00C80C21" w:rsidP="00C80C21">
            <w:pPr>
              <w:pStyle w:val="Odrky1"/>
              <w:spacing w:before="0" w:after="0"/>
              <w:jc w:val="left"/>
              <w:rPr>
                <w:rFonts w:cs="Arial"/>
                <w:i/>
                <w:sz w:val="16"/>
                <w:szCs w:val="16"/>
              </w:rPr>
            </w:pPr>
            <w:r w:rsidRPr="00111F34">
              <w:rPr>
                <w:rFonts w:cs="Arial"/>
                <w:sz w:val="16"/>
                <w:szCs w:val="16"/>
              </w:rPr>
              <w:t>kapacitní problémy na některých úsecích tramvajových tratí (i.06.1.06 / i.06.3.07)</w:t>
            </w:r>
          </w:p>
        </w:tc>
        <w:tc>
          <w:tcPr>
            <w:tcW w:w="364" w:type="pct"/>
            <w:tcBorders>
              <w:top w:val="nil"/>
              <w:left w:val="nil"/>
              <w:bottom w:val="single" w:sz="4" w:space="0" w:color="auto"/>
              <w:right w:val="single" w:sz="4" w:space="0" w:color="auto"/>
            </w:tcBorders>
            <w:vAlign w:val="center"/>
          </w:tcPr>
          <w:p w14:paraId="0D06C1C7" w14:textId="15DAFC1F" w:rsidR="00C80C21" w:rsidRPr="00111F34" w:rsidRDefault="00C80C21" w:rsidP="00C80C21">
            <w:pPr>
              <w:pStyle w:val="Texttabulky"/>
              <w:jc w:val="center"/>
              <w:rPr>
                <w:rFonts w:cs="Arial"/>
                <w:color w:val="auto"/>
                <w:szCs w:val="16"/>
              </w:rPr>
            </w:pPr>
            <w:r w:rsidRPr="00111F34">
              <w:rPr>
                <w:rFonts w:cs="Arial"/>
                <w:color w:val="auto"/>
                <w:szCs w:val="16"/>
              </w:rPr>
              <w:t>0</w:t>
            </w:r>
          </w:p>
        </w:tc>
        <w:tc>
          <w:tcPr>
            <w:tcW w:w="2133" w:type="pct"/>
            <w:tcBorders>
              <w:top w:val="nil"/>
              <w:left w:val="nil"/>
              <w:bottom w:val="single" w:sz="4" w:space="0" w:color="auto"/>
              <w:right w:val="single" w:sz="4" w:space="0" w:color="auto"/>
            </w:tcBorders>
            <w:vAlign w:val="center"/>
          </w:tcPr>
          <w:p w14:paraId="5744A41E" w14:textId="5868F82F" w:rsidR="00C80C21" w:rsidRPr="00111F34" w:rsidRDefault="00C80C21" w:rsidP="00C80C21">
            <w:pPr>
              <w:pStyle w:val="Texttabulky"/>
              <w:jc w:val="center"/>
              <w:rPr>
                <w:rFonts w:cs="Arial"/>
                <w:color w:val="auto"/>
                <w:szCs w:val="16"/>
              </w:rPr>
            </w:pPr>
            <w:r w:rsidRPr="00111F34">
              <w:rPr>
                <w:rFonts w:cs="Arial"/>
                <w:color w:val="auto"/>
                <w:szCs w:val="16"/>
              </w:rPr>
              <w:t>Z hlediska posuzované ÚPD bez přímé vazby.</w:t>
            </w:r>
          </w:p>
        </w:tc>
      </w:tr>
      <w:tr w:rsidR="00433A80" w:rsidRPr="00111F34" w14:paraId="3BCC6F97" w14:textId="77777777" w:rsidTr="00433A80">
        <w:trPr>
          <w:trHeight w:val="254"/>
        </w:trPr>
        <w:tc>
          <w:tcPr>
            <w:tcW w:w="2503" w:type="pct"/>
            <w:gridSpan w:val="2"/>
            <w:tcBorders>
              <w:top w:val="nil"/>
              <w:left w:val="single" w:sz="4" w:space="0" w:color="auto"/>
              <w:bottom w:val="single" w:sz="4" w:space="0" w:color="auto"/>
              <w:right w:val="single" w:sz="4" w:space="0" w:color="auto"/>
            </w:tcBorders>
            <w:shd w:val="clear" w:color="auto" w:fill="auto"/>
          </w:tcPr>
          <w:p w14:paraId="11D23C96" w14:textId="77777777" w:rsidR="00433A80" w:rsidRPr="00111F34" w:rsidRDefault="00433A80" w:rsidP="00433A80">
            <w:pPr>
              <w:pStyle w:val="Odrky1"/>
              <w:spacing w:before="0" w:after="0"/>
              <w:jc w:val="left"/>
              <w:rPr>
                <w:rFonts w:cs="Arial"/>
                <w:i/>
                <w:sz w:val="16"/>
                <w:szCs w:val="16"/>
              </w:rPr>
            </w:pPr>
            <w:r w:rsidRPr="00111F34">
              <w:rPr>
                <w:rFonts w:cs="Arial"/>
                <w:sz w:val="16"/>
                <w:szCs w:val="16"/>
              </w:rPr>
              <w:t xml:space="preserve">nedostatečná kapacita železničního uzlu Praha a navazujících úseků železničních tratí, přenášení nepravidelností z dálkové na příměstskou dopravu </w:t>
            </w:r>
          </w:p>
        </w:tc>
        <w:tc>
          <w:tcPr>
            <w:tcW w:w="364" w:type="pct"/>
            <w:tcBorders>
              <w:top w:val="nil"/>
              <w:left w:val="nil"/>
              <w:bottom w:val="single" w:sz="4" w:space="0" w:color="auto"/>
              <w:right w:val="single" w:sz="4" w:space="0" w:color="auto"/>
            </w:tcBorders>
            <w:vAlign w:val="center"/>
          </w:tcPr>
          <w:p w14:paraId="496AF52C" w14:textId="77777777" w:rsidR="00433A80" w:rsidRPr="00111F34" w:rsidRDefault="00433A80" w:rsidP="00433A80">
            <w:pPr>
              <w:pStyle w:val="Texttabulky"/>
              <w:jc w:val="center"/>
              <w:rPr>
                <w:rFonts w:cs="Arial"/>
                <w:color w:val="auto"/>
                <w:szCs w:val="16"/>
              </w:rPr>
            </w:pPr>
            <w:r w:rsidRPr="00111F34">
              <w:rPr>
                <w:rFonts w:cs="Arial"/>
                <w:color w:val="auto"/>
                <w:szCs w:val="16"/>
              </w:rPr>
              <w:t>0</w:t>
            </w:r>
          </w:p>
        </w:tc>
        <w:tc>
          <w:tcPr>
            <w:tcW w:w="2133" w:type="pct"/>
            <w:tcBorders>
              <w:top w:val="nil"/>
              <w:left w:val="nil"/>
              <w:bottom w:val="single" w:sz="4" w:space="0" w:color="auto"/>
              <w:right w:val="single" w:sz="4" w:space="0" w:color="auto"/>
            </w:tcBorders>
            <w:vAlign w:val="center"/>
          </w:tcPr>
          <w:p w14:paraId="274C790B" w14:textId="77777777" w:rsidR="00433A80" w:rsidRPr="00111F34" w:rsidRDefault="00433A80" w:rsidP="00433A80">
            <w:pPr>
              <w:pStyle w:val="Texttabulky"/>
              <w:jc w:val="center"/>
              <w:rPr>
                <w:rFonts w:cs="Arial"/>
                <w:color w:val="auto"/>
                <w:szCs w:val="16"/>
              </w:rPr>
            </w:pPr>
            <w:r w:rsidRPr="00111F34">
              <w:rPr>
                <w:rFonts w:cs="Arial"/>
                <w:color w:val="auto"/>
                <w:szCs w:val="16"/>
              </w:rPr>
              <w:t>Z hlediska posuzované ÚPD bez přímé vazby.</w:t>
            </w:r>
          </w:p>
        </w:tc>
      </w:tr>
      <w:tr w:rsidR="005B44E6" w:rsidRPr="00111F34" w14:paraId="7B06E793" w14:textId="77777777" w:rsidTr="00433A80">
        <w:trPr>
          <w:trHeight w:val="254"/>
        </w:trPr>
        <w:tc>
          <w:tcPr>
            <w:tcW w:w="2503" w:type="pct"/>
            <w:gridSpan w:val="2"/>
            <w:tcBorders>
              <w:top w:val="nil"/>
              <w:left w:val="single" w:sz="4" w:space="0" w:color="auto"/>
              <w:bottom w:val="single" w:sz="4" w:space="0" w:color="auto"/>
              <w:right w:val="single" w:sz="4" w:space="0" w:color="auto"/>
            </w:tcBorders>
            <w:shd w:val="clear" w:color="auto" w:fill="auto"/>
          </w:tcPr>
          <w:p w14:paraId="2CE1D078" w14:textId="77777777" w:rsidR="005B44E6" w:rsidRPr="00111F34" w:rsidRDefault="005B44E6" w:rsidP="005B44E6">
            <w:pPr>
              <w:pStyle w:val="Odrky1"/>
              <w:spacing w:before="0" w:after="0"/>
              <w:jc w:val="left"/>
              <w:rPr>
                <w:rFonts w:cs="Arial"/>
                <w:i/>
                <w:sz w:val="16"/>
                <w:szCs w:val="16"/>
              </w:rPr>
            </w:pPr>
            <w:r w:rsidRPr="00111F34">
              <w:rPr>
                <w:rFonts w:cs="Arial"/>
                <w:sz w:val="16"/>
                <w:szCs w:val="16"/>
              </w:rPr>
              <w:t xml:space="preserve">veřejná doprava je oproti individuální automobilové dopravě (IAD) pomalejší jak v radiálních, tak ještě více v tangenciálních vazbách </w:t>
            </w:r>
          </w:p>
        </w:tc>
        <w:tc>
          <w:tcPr>
            <w:tcW w:w="364" w:type="pct"/>
            <w:tcBorders>
              <w:top w:val="nil"/>
              <w:left w:val="nil"/>
              <w:bottom w:val="single" w:sz="4" w:space="0" w:color="auto"/>
              <w:right w:val="single" w:sz="4" w:space="0" w:color="auto"/>
            </w:tcBorders>
            <w:vAlign w:val="center"/>
          </w:tcPr>
          <w:p w14:paraId="6E07528C" w14:textId="743394A2" w:rsidR="005B44E6" w:rsidRPr="00111F34" w:rsidRDefault="005B44E6" w:rsidP="005B44E6">
            <w:pPr>
              <w:pStyle w:val="Texttabulky"/>
              <w:jc w:val="center"/>
              <w:rPr>
                <w:rFonts w:cs="Arial"/>
                <w:color w:val="auto"/>
                <w:szCs w:val="16"/>
              </w:rPr>
            </w:pPr>
            <w:r w:rsidRPr="00111F34">
              <w:rPr>
                <w:rFonts w:cs="Arial"/>
                <w:color w:val="auto"/>
                <w:szCs w:val="16"/>
              </w:rPr>
              <w:t>+</w:t>
            </w:r>
          </w:p>
        </w:tc>
        <w:tc>
          <w:tcPr>
            <w:tcW w:w="2133" w:type="pct"/>
            <w:tcBorders>
              <w:top w:val="nil"/>
              <w:left w:val="nil"/>
              <w:bottom w:val="single" w:sz="4" w:space="0" w:color="auto"/>
              <w:right w:val="single" w:sz="4" w:space="0" w:color="auto"/>
            </w:tcBorders>
            <w:vAlign w:val="center"/>
          </w:tcPr>
          <w:p w14:paraId="29F6C596" w14:textId="3A0FAAA1" w:rsidR="005B44E6" w:rsidRPr="00111F34" w:rsidRDefault="005B44E6" w:rsidP="005B44E6">
            <w:pPr>
              <w:pStyle w:val="Texttabulky"/>
              <w:jc w:val="center"/>
              <w:rPr>
                <w:rFonts w:cs="Arial"/>
                <w:color w:val="auto"/>
                <w:szCs w:val="16"/>
              </w:rPr>
            </w:pPr>
            <w:r w:rsidRPr="00111F34">
              <w:rPr>
                <w:rFonts w:cs="Arial"/>
                <w:color w:val="auto"/>
                <w:szCs w:val="16"/>
              </w:rPr>
              <w:t>Přímo přispívá k řešení tohoto problému.</w:t>
            </w:r>
          </w:p>
        </w:tc>
      </w:tr>
      <w:tr w:rsidR="005B44E6" w:rsidRPr="00111F34" w14:paraId="6B33F929" w14:textId="77777777" w:rsidTr="00433A80">
        <w:trPr>
          <w:trHeight w:val="271"/>
        </w:trPr>
        <w:tc>
          <w:tcPr>
            <w:tcW w:w="2503" w:type="pct"/>
            <w:gridSpan w:val="2"/>
            <w:tcBorders>
              <w:top w:val="nil"/>
              <w:left w:val="single" w:sz="4" w:space="0" w:color="auto"/>
              <w:bottom w:val="single" w:sz="4" w:space="0" w:color="auto"/>
              <w:right w:val="single" w:sz="4" w:space="0" w:color="auto"/>
            </w:tcBorders>
            <w:shd w:val="clear" w:color="auto" w:fill="auto"/>
          </w:tcPr>
          <w:p w14:paraId="52EEFBAC" w14:textId="77777777" w:rsidR="005B44E6" w:rsidRPr="00111F34" w:rsidRDefault="005B44E6" w:rsidP="005B44E6">
            <w:pPr>
              <w:pStyle w:val="Odrky1"/>
              <w:numPr>
                <w:ilvl w:val="0"/>
                <w:numId w:val="0"/>
              </w:numPr>
              <w:spacing w:before="0" w:after="0"/>
              <w:ind w:left="360" w:hanging="360"/>
              <w:jc w:val="left"/>
              <w:rPr>
                <w:rFonts w:cs="Arial"/>
                <w:sz w:val="16"/>
                <w:szCs w:val="16"/>
              </w:rPr>
            </w:pPr>
            <w:r w:rsidRPr="00111F34">
              <w:rPr>
                <w:rFonts w:cs="Arial"/>
                <w:b/>
                <w:sz w:val="16"/>
                <w:szCs w:val="16"/>
              </w:rPr>
              <w:t>chybějící propojení kolejové sítě</w:t>
            </w:r>
          </w:p>
        </w:tc>
        <w:tc>
          <w:tcPr>
            <w:tcW w:w="364" w:type="pct"/>
            <w:tcBorders>
              <w:top w:val="nil"/>
              <w:left w:val="nil"/>
              <w:bottom w:val="single" w:sz="4" w:space="0" w:color="auto"/>
              <w:right w:val="single" w:sz="4" w:space="0" w:color="auto"/>
            </w:tcBorders>
            <w:vAlign w:val="center"/>
          </w:tcPr>
          <w:p w14:paraId="3539C655" w14:textId="6065D958" w:rsidR="005B44E6" w:rsidRPr="00111F34" w:rsidRDefault="005B44E6" w:rsidP="005B44E6">
            <w:pPr>
              <w:pStyle w:val="Texttabulky"/>
              <w:jc w:val="center"/>
              <w:rPr>
                <w:rFonts w:cs="Arial"/>
                <w:color w:val="auto"/>
                <w:szCs w:val="16"/>
              </w:rPr>
            </w:pPr>
            <w:r w:rsidRPr="00111F34">
              <w:rPr>
                <w:rFonts w:cs="Arial"/>
                <w:color w:val="auto"/>
                <w:szCs w:val="16"/>
              </w:rPr>
              <w:t>+</w:t>
            </w:r>
          </w:p>
        </w:tc>
        <w:tc>
          <w:tcPr>
            <w:tcW w:w="2133" w:type="pct"/>
            <w:tcBorders>
              <w:top w:val="nil"/>
              <w:left w:val="nil"/>
              <w:bottom w:val="single" w:sz="4" w:space="0" w:color="auto"/>
              <w:right w:val="single" w:sz="4" w:space="0" w:color="auto"/>
            </w:tcBorders>
            <w:vAlign w:val="center"/>
          </w:tcPr>
          <w:p w14:paraId="047A8459" w14:textId="18E71F97" w:rsidR="005B44E6" w:rsidRPr="00111F34" w:rsidRDefault="005B44E6" w:rsidP="005B44E6">
            <w:pPr>
              <w:pStyle w:val="Texttabulky"/>
              <w:jc w:val="center"/>
              <w:rPr>
                <w:rFonts w:cs="Arial"/>
                <w:color w:val="auto"/>
                <w:szCs w:val="16"/>
              </w:rPr>
            </w:pPr>
            <w:r w:rsidRPr="00111F34">
              <w:rPr>
                <w:rFonts w:cs="Arial"/>
                <w:color w:val="auto"/>
                <w:szCs w:val="16"/>
              </w:rPr>
              <w:t>Přímo přispívá k řešení tohoto problému.</w:t>
            </w:r>
          </w:p>
        </w:tc>
      </w:tr>
      <w:tr w:rsidR="00433A80" w:rsidRPr="00111F34" w14:paraId="7F50A4D0" w14:textId="77777777" w:rsidTr="00433A80">
        <w:trPr>
          <w:trHeight w:val="260"/>
        </w:trPr>
        <w:tc>
          <w:tcPr>
            <w:tcW w:w="2503" w:type="pct"/>
            <w:gridSpan w:val="2"/>
            <w:tcBorders>
              <w:top w:val="single" w:sz="4" w:space="0" w:color="auto"/>
              <w:left w:val="single" w:sz="4" w:space="0" w:color="auto"/>
              <w:bottom w:val="single" w:sz="4" w:space="0" w:color="auto"/>
              <w:right w:val="single" w:sz="4" w:space="0" w:color="000000"/>
            </w:tcBorders>
            <w:shd w:val="clear" w:color="auto" w:fill="auto"/>
            <w:hideMark/>
          </w:tcPr>
          <w:p w14:paraId="43EA87E4" w14:textId="77777777" w:rsidR="00433A80" w:rsidRPr="00111F34" w:rsidRDefault="00433A80">
            <w:pPr>
              <w:pStyle w:val="Texttabulky"/>
              <w:numPr>
                <w:ilvl w:val="0"/>
                <w:numId w:val="32"/>
              </w:numPr>
              <w:ind w:left="426" w:hanging="426"/>
              <w:rPr>
                <w:rFonts w:cs="Arial"/>
                <w:b/>
                <w:color w:val="auto"/>
                <w:szCs w:val="16"/>
              </w:rPr>
            </w:pPr>
            <w:r w:rsidRPr="00111F34">
              <w:rPr>
                <w:rFonts w:cs="Arial"/>
                <w:szCs w:val="16"/>
              </w:rPr>
              <w:t>absence některých vazeb v tramvajové síti, zejména v centru města (i.06.1.06 / i.06.3.07)</w:t>
            </w:r>
          </w:p>
        </w:tc>
        <w:tc>
          <w:tcPr>
            <w:tcW w:w="364" w:type="pct"/>
            <w:tcBorders>
              <w:top w:val="single" w:sz="4" w:space="0" w:color="auto"/>
              <w:left w:val="single" w:sz="4" w:space="0" w:color="auto"/>
              <w:bottom w:val="single" w:sz="4" w:space="0" w:color="auto"/>
              <w:right w:val="single" w:sz="4" w:space="0" w:color="000000"/>
            </w:tcBorders>
            <w:shd w:val="clear" w:color="auto" w:fill="auto"/>
            <w:vAlign w:val="center"/>
          </w:tcPr>
          <w:p w14:paraId="176C022F" w14:textId="77777777" w:rsidR="00433A80" w:rsidRPr="00111F34" w:rsidRDefault="00433A80" w:rsidP="00433A80">
            <w:pPr>
              <w:pStyle w:val="Texttabulky"/>
              <w:jc w:val="center"/>
              <w:rPr>
                <w:rFonts w:cs="Arial"/>
                <w:b/>
                <w:color w:val="auto"/>
                <w:szCs w:val="16"/>
              </w:rPr>
            </w:pPr>
            <w:r w:rsidRPr="00111F34">
              <w:rPr>
                <w:rFonts w:cs="Arial"/>
                <w:color w:val="auto"/>
                <w:szCs w:val="16"/>
              </w:rPr>
              <w:t>0</w:t>
            </w:r>
          </w:p>
        </w:tc>
        <w:tc>
          <w:tcPr>
            <w:tcW w:w="2133" w:type="pct"/>
            <w:tcBorders>
              <w:top w:val="single" w:sz="4" w:space="0" w:color="auto"/>
              <w:left w:val="single" w:sz="4" w:space="0" w:color="auto"/>
              <w:bottom w:val="single" w:sz="4" w:space="0" w:color="auto"/>
              <w:right w:val="single" w:sz="4" w:space="0" w:color="000000"/>
            </w:tcBorders>
            <w:shd w:val="clear" w:color="auto" w:fill="auto"/>
            <w:vAlign w:val="center"/>
          </w:tcPr>
          <w:p w14:paraId="259C7C13" w14:textId="77777777" w:rsidR="00433A80" w:rsidRPr="00111F34" w:rsidRDefault="00433A80" w:rsidP="00433A80">
            <w:pPr>
              <w:pStyle w:val="Texttabulky"/>
              <w:jc w:val="center"/>
              <w:rPr>
                <w:rFonts w:cs="Arial"/>
                <w:b/>
                <w:color w:val="auto"/>
                <w:szCs w:val="16"/>
              </w:rPr>
            </w:pPr>
            <w:r w:rsidRPr="00111F34">
              <w:rPr>
                <w:rFonts w:cs="Arial"/>
                <w:color w:val="auto"/>
                <w:szCs w:val="16"/>
              </w:rPr>
              <w:t>Z hlediska posuzované ÚPD bez přímé vazby.</w:t>
            </w:r>
          </w:p>
        </w:tc>
      </w:tr>
      <w:tr w:rsidR="00433A80" w:rsidRPr="00111F34" w14:paraId="1F5B6425" w14:textId="77777777" w:rsidTr="00433A80">
        <w:trPr>
          <w:trHeight w:val="260"/>
        </w:trPr>
        <w:tc>
          <w:tcPr>
            <w:tcW w:w="2503" w:type="pct"/>
            <w:gridSpan w:val="2"/>
            <w:tcBorders>
              <w:top w:val="single" w:sz="4" w:space="0" w:color="auto"/>
              <w:left w:val="single" w:sz="4" w:space="0" w:color="auto"/>
              <w:bottom w:val="single" w:sz="4" w:space="0" w:color="auto"/>
              <w:right w:val="single" w:sz="4" w:space="0" w:color="000000"/>
            </w:tcBorders>
            <w:shd w:val="clear" w:color="auto" w:fill="auto"/>
          </w:tcPr>
          <w:p w14:paraId="53CFBD71" w14:textId="77777777" w:rsidR="00433A80" w:rsidRPr="00111F34" w:rsidRDefault="00433A80">
            <w:pPr>
              <w:pStyle w:val="Texttabulky"/>
              <w:numPr>
                <w:ilvl w:val="0"/>
                <w:numId w:val="32"/>
              </w:numPr>
              <w:ind w:left="426" w:hanging="426"/>
              <w:rPr>
                <w:rFonts w:cs="Arial"/>
                <w:color w:val="auto"/>
                <w:szCs w:val="16"/>
              </w:rPr>
            </w:pPr>
            <w:r w:rsidRPr="00111F34">
              <w:rPr>
                <w:rFonts w:cs="Arial"/>
                <w:szCs w:val="16"/>
              </w:rPr>
              <w:t xml:space="preserve">chybějící kolejové propojení Letiště Václava Havla Praha s centrem města (c.06.2.07) </w:t>
            </w:r>
          </w:p>
        </w:tc>
        <w:tc>
          <w:tcPr>
            <w:tcW w:w="364" w:type="pct"/>
            <w:tcBorders>
              <w:top w:val="single" w:sz="4" w:space="0" w:color="auto"/>
              <w:left w:val="single" w:sz="4" w:space="0" w:color="auto"/>
              <w:bottom w:val="single" w:sz="4" w:space="0" w:color="auto"/>
              <w:right w:val="single" w:sz="4" w:space="0" w:color="000000"/>
            </w:tcBorders>
            <w:shd w:val="clear" w:color="auto" w:fill="auto"/>
            <w:vAlign w:val="center"/>
          </w:tcPr>
          <w:p w14:paraId="63A377E2" w14:textId="77777777" w:rsidR="00433A80" w:rsidRPr="00111F34" w:rsidRDefault="00433A80" w:rsidP="00433A80">
            <w:pPr>
              <w:pStyle w:val="Texttabulky"/>
              <w:jc w:val="center"/>
              <w:rPr>
                <w:rFonts w:cs="Arial"/>
                <w:color w:val="auto"/>
                <w:szCs w:val="16"/>
              </w:rPr>
            </w:pPr>
            <w:r w:rsidRPr="00111F34">
              <w:rPr>
                <w:rFonts w:cs="Arial"/>
                <w:color w:val="auto"/>
                <w:szCs w:val="16"/>
              </w:rPr>
              <w:t>0</w:t>
            </w:r>
          </w:p>
        </w:tc>
        <w:tc>
          <w:tcPr>
            <w:tcW w:w="2133" w:type="pct"/>
            <w:tcBorders>
              <w:top w:val="single" w:sz="4" w:space="0" w:color="auto"/>
              <w:left w:val="single" w:sz="4" w:space="0" w:color="auto"/>
              <w:bottom w:val="single" w:sz="4" w:space="0" w:color="auto"/>
              <w:right w:val="single" w:sz="4" w:space="0" w:color="000000"/>
            </w:tcBorders>
            <w:shd w:val="clear" w:color="auto" w:fill="auto"/>
            <w:vAlign w:val="center"/>
          </w:tcPr>
          <w:p w14:paraId="113AFF28" w14:textId="77777777" w:rsidR="00433A80" w:rsidRPr="00111F34" w:rsidRDefault="00433A80" w:rsidP="00433A80">
            <w:pPr>
              <w:pStyle w:val="Texttabulky"/>
              <w:jc w:val="center"/>
              <w:rPr>
                <w:rFonts w:cs="Arial"/>
                <w:color w:val="auto"/>
                <w:szCs w:val="16"/>
              </w:rPr>
            </w:pPr>
            <w:r w:rsidRPr="00111F34">
              <w:rPr>
                <w:rFonts w:cs="Arial"/>
                <w:color w:val="auto"/>
                <w:szCs w:val="16"/>
              </w:rPr>
              <w:t>Z hlediska posuzované ÚPD bez přímé vazby.</w:t>
            </w:r>
          </w:p>
        </w:tc>
      </w:tr>
      <w:tr w:rsidR="005B44E6" w:rsidRPr="00111F34" w14:paraId="054273DF" w14:textId="77777777" w:rsidTr="00433A80">
        <w:trPr>
          <w:trHeight w:val="139"/>
        </w:trPr>
        <w:tc>
          <w:tcPr>
            <w:tcW w:w="2503" w:type="pct"/>
            <w:gridSpan w:val="2"/>
            <w:tcBorders>
              <w:top w:val="nil"/>
              <w:left w:val="single" w:sz="4" w:space="0" w:color="auto"/>
              <w:bottom w:val="single" w:sz="4" w:space="0" w:color="auto"/>
              <w:right w:val="single" w:sz="4" w:space="0" w:color="auto"/>
            </w:tcBorders>
            <w:shd w:val="clear" w:color="auto" w:fill="auto"/>
          </w:tcPr>
          <w:p w14:paraId="101DA547" w14:textId="77777777" w:rsidR="005B44E6" w:rsidRPr="00111F34" w:rsidRDefault="005B44E6" w:rsidP="005B44E6">
            <w:pPr>
              <w:pStyle w:val="Odrky1"/>
              <w:spacing w:before="0" w:after="0"/>
              <w:jc w:val="left"/>
              <w:rPr>
                <w:rFonts w:cs="Arial"/>
                <w:i/>
                <w:sz w:val="16"/>
                <w:szCs w:val="16"/>
              </w:rPr>
            </w:pPr>
            <w:r w:rsidRPr="00111F34">
              <w:rPr>
                <w:rFonts w:cs="Arial"/>
                <w:color w:val="000000"/>
                <w:sz w:val="16"/>
                <w:szCs w:val="16"/>
                <w:lang w:eastAsia="cs-CZ"/>
              </w:rPr>
              <w:t xml:space="preserve">existence silně zatížených autobusových linek, které by bylo vhodné z dopravně-inženýrského hlediska nahradit kolejovou dopravou (c.06.2.07) </w:t>
            </w:r>
          </w:p>
        </w:tc>
        <w:tc>
          <w:tcPr>
            <w:tcW w:w="364" w:type="pct"/>
            <w:tcBorders>
              <w:top w:val="nil"/>
              <w:left w:val="nil"/>
              <w:bottom w:val="single" w:sz="4" w:space="0" w:color="auto"/>
              <w:right w:val="single" w:sz="4" w:space="0" w:color="auto"/>
            </w:tcBorders>
            <w:vAlign w:val="center"/>
          </w:tcPr>
          <w:p w14:paraId="5C5A535B" w14:textId="65978EFC" w:rsidR="005B44E6" w:rsidRPr="00111F34" w:rsidRDefault="005B44E6" w:rsidP="005B44E6">
            <w:pPr>
              <w:pStyle w:val="Texttabulky"/>
              <w:jc w:val="center"/>
              <w:rPr>
                <w:rFonts w:cs="Arial"/>
                <w:color w:val="auto"/>
                <w:szCs w:val="16"/>
              </w:rPr>
            </w:pPr>
            <w:r w:rsidRPr="00111F34">
              <w:rPr>
                <w:rFonts w:cs="Arial"/>
                <w:color w:val="auto"/>
                <w:szCs w:val="16"/>
              </w:rPr>
              <w:t>+</w:t>
            </w:r>
          </w:p>
        </w:tc>
        <w:tc>
          <w:tcPr>
            <w:tcW w:w="2133" w:type="pct"/>
            <w:tcBorders>
              <w:top w:val="nil"/>
              <w:left w:val="nil"/>
              <w:bottom w:val="single" w:sz="4" w:space="0" w:color="auto"/>
              <w:right w:val="single" w:sz="4" w:space="0" w:color="auto"/>
            </w:tcBorders>
            <w:vAlign w:val="center"/>
          </w:tcPr>
          <w:p w14:paraId="103CBD9A" w14:textId="1BBD9653" w:rsidR="005B44E6" w:rsidRPr="00111F34" w:rsidRDefault="005B44E6" w:rsidP="005B44E6">
            <w:pPr>
              <w:pStyle w:val="Texttabulky"/>
              <w:jc w:val="center"/>
              <w:rPr>
                <w:rFonts w:cs="Arial"/>
                <w:color w:val="auto"/>
                <w:szCs w:val="16"/>
              </w:rPr>
            </w:pPr>
            <w:r w:rsidRPr="00111F34">
              <w:rPr>
                <w:rFonts w:cs="Arial"/>
                <w:color w:val="auto"/>
                <w:szCs w:val="16"/>
              </w:rPr>
              <w:t>Přímo přispívá k řešení tohoto problému.</w:t>
            </w:r>
          </w:p>
        </w:tc>
      </w:tr>
      <w:tr w:rsidR="005B44E6" w:rsidRPr="00111F34" w14:paraId="3B343DD8" w14:textId="77777777" w:rsidTr="00433A80">
        <w:trPr>
          <w:trHeight w:val="147"/>
        </w:trPr>
        <w:tc>
          <w:tcPr>
            <w:tcW w:w="2503" w:type="pct"/>
            <w:gridSpan w:val="2"/>
            <w:tcBorders>
              <w:top w:val="nil"/>
              <w:left w:val="single" w:sz="4" w:space="0" w:color="auto"/>
              <w:bottom w:val="single" w:sz="4" w:space="0" w:color="auto"/>
              <w:right w:val="single" w:sz="4" w:space="0" w:color="auto"/>
            </w:tcBorders>
            <w:shd w:val="clear" w:color="auto" w:fill="auto"/>
          </w:tcPr>
          <w:p w14:paraId="6163EAF5" w14:textId="77777777" w:rsidR="005B44E6" w:rsidRPr="00111F34" w:rsidRDefault="005B44E6" w:rsidP="005B44E6">
            <w:pPr>
              <w:pStyle w:val="Odrky1"/>
              <w:numPr>
                <w:ilvl w:val="0"/>
                <w:numId w:val="0"/>
              </w:numPr>
              <w:spacing w:before="0" w:after="0"/>
              <w:ind w:left="360" w:hanging="360"/>
              <w:jc w:val="left"/>
              <w:rPr>
                <w:rFonts w:cs="Arial"/>
                <w:sz w:val="16"/>
                <w:szCs w:val="16"/>
              </w:rPr>
            </w:pPr>
            <w:r w:rsidRPr="00111F34">
              <w:rPr>
                <w:rFonts w:cs="Arial"/>
                <w:b/>
                <w:sz w:val="16"/>
                <w:szCs w:val="16"/>
              </w:rPr>
              <w:t>kapacitní problémy komunikační sítě</w:t>
            </w:r>
          </w:p>
        </w:tc>
        <w:tc>
          <w:tcPr>
            <w:tcW w:w="364" w:type="pct"/>
            <w:tcBorders>
              <w:top w:val="nil"/>
              <w:left w:val="nil"/>
              <w:bottom w:val="single" w:sz="4" w:space="0" w:color="auto"/>
              <w:right w:val="single" w:sz="4" w:space="0" w:color="auto"/>
            </w:tcBorders>
            <w:vAlign w:val="center"/>
          </w:tcPr>
          <w:p w14:paraId="513994A4" w14:textId="775B3D6A" w:rsidR="005B44E6" w:rsidRPr="00111F34" w:rsidRDefault="005B44E6" w:rsidP="005B44E6">
            <w:pPr>
              <w:pStyle w:val="Texttabulky"/>
              <w:jc w:val="center"/>
              <w:rPr>
                <w:rFonts w:cs="Arial"/>
                <w:color w:val="auto"/>
                <w:szCs w:val="16"/>
              </w:rPr>
            </w:pPr>
            <w:r w:rsidRPr="00111F34">
              <w:rPr>
                <w:rFonts w:cs="Arial"/>
                <w:color w:val="auto"/>
                <w:szCs w:val="16"/>
              </w:rPr>
              <w:t>+</w:t>
            </w:r>
          </w:p>
        </w:tc>
        <w:tc>
          <w:tcPr>
            <w:tcW w:w="2133" w:type="pct"/>
            <w:tcBorders>
              <w:top w:val="nil"/>
              <w:left w:val="nil"/>
              <w:bottom w:val="single" w:sz="4" w:space="0" w:color="auto"/>
              <w:right w:val="single" w:sz="4" w:space="0" w:color="auto"/>
            </w:tcBorders>
            <w:vAlign w:val="center"/>
          </w:tcPr>
          <w:p w14:paraId="2908370A" w14:textId="51239637" w:rsidR="005B44E6" w:rsidRPr="00111F34" w:rsidRDefault="005B44E6" w:rsidP="005B44E6">
            <w:pPr>
              <w:pStyle w:val="Texttabulky"/>
              <w:jc w:val="center"/>
              <w:rPr>
                <w:rFonts w:cs="Arial"/>
                <w:color w:val="auto"/>
                <w:szCs w:val="16"/>
              </w:rPr>
            </w:pPr>
            <w:r w:rsidRPr="00111F34">
              <w:rPr>
                <w:rFonts w:cs="Arial"/>
                <w:color w:val="auto"/>
                <w:szCs w:val="16"/>
              </w:rPr>
              <w:t>Přímo přispívá k řešení tohoto problému.</w:t>
            </w:r>
          </w:p>
        </w:tc>
      </w:tr>
      <w:tr w:rsidR="00C80C21" w:rsidRPr="00111F34" w14:paraId="55EBE30C" w14:textId="77777777" w:rsidTr="00C80C21">
        <w:trPr>
          <w:trHeight w:val="315"/>
        </w:trPr>
        <w:tc>
          <w:tcPr>
            <w:tcW w:w="2503" w:type="pct"/>
            <w:gridSpan w:val="2"/>
            <w:tcBorders>
              <w:top w:val="nil"/>
              <w:left w:val="single" w:sz="4" w:space="0" w:color="auto"/>
              <w:bottom w:val="single" w:sz="4" w:space="0" w:color="auto"/>
              <w:right w:val="single" w:sz="4" w:space="0" w:color="auto"/>
            </w:tcBorders>
            <w:shd w:val="clear" w:color="auto" w:fill="auto"/>
          </w:tcPr>
          <w:p w14:paraId="5E355EAF" w14:textId="77777777" w:rsidR="00C80C21" w:rsidRPr="00111F34" w:rsidRDefault="00C80C21" w:rsidP="00C80C21">
            <w:pPr>
              <w:pStyle w:val="Odrky1"/>
              <w:numPr>
                <w:ilvl w:val="0"/>
                <w:numId w:val="32"/>
              </w:numPr>
              <w:spacing w:before="0" w:after="0"/>
              <w:ind w:left="426" w:hanging="426"/>
              <w:jc w:val="left"/>
              <w:rPr>
                <w:rFonts w:cs="Arial"/>
                <w:b/>
                <w:sz w:val="16"/>
                <w:szCs w:val="16"/>
              </w:rPr>
            </w:pPr>
            <w:r w:rsidRPr="00111F34">
              <w:rPr>
                <w:rFonts w:cs="Arial"/>
                <w:color w:val="000000"/>
                <w:sz w:val="16"/>
                <w:szCs w:val="16"/>
                <w:lang w:eastAsia="cs-CZ"/>
              </w:rPr>
              <w:t>chybějící kapacitní trasa pro tranzitní dopravu a lepší distribuci zdroj-cílové dopravy (Pražský okruh) (i.06.3.01)</w:t>
            </w:r>
          </w:p>
        </w:tc>
        <w:tc>
          <w:tcPr>
            <w:tcW w:w="364" w:type="pct"/>
            <w:tcBorders>
              <w:top w:val="nil"/>
              <w:left w:val="nil"/>
              <w:bottom w:val="single" w:sz="4" w:space="0" w:color="auto"/>
              <w:right w:val="single" w:sz="4" w:space="0" w:color="auto"/>
            </w:tcBorders>
          </w:tcPr>
          <w:p w14:paraId="407E49E6" w14:textId="5D9863F6" w:rsidR="00C80C21" w:rsidRPr="00111F34" w:rsidRDefault="00C80C21" w:rsidP="00C80C21">
            <w:pPr>
              <w:pStyle w:val="Texttabulky"/>
              <w:jc w:val="center"/>
              <w:rPr>
                <w:rFonts w:cs="Arial"/>
                <w:color w:val="auto"/>
                <w:szCs w:val="16"/>
              </w:rPr>
            </w:pPr>
            <w:r w:rsidRPr="00901835">
              <w:t>0</w:t>
            </w:r>
          </w:p>
        </w:tc>
        <w:tc>
          <w:tcPr>
            <w:tcW w:w="2133" w:type="pct"/>
            <w:tcBorders>
              <w:top w:val="nil"/>
              <w:left w:val="nil"/>
              <w:bottom w:val="single" w:sz="4" w:space="0" w:color="auto"/>
              <w:right w:val="single" w:sz="4" w:space="0" w:color="auto"/>
            </w:tcBorders>
          </w:tcPr>
          <w:p w14:paraId="47E5CCBA" w14:textId="5AC8C3C7" w:rsidR="00C80C21" w:rsidRPr="00111F34" w:rsidRDefault="00C80C21" w:rsidP="00C80C21">
            <w:pPr>
              <w:pStyle w:val="Texttabulky"/>
              <w:jc w:val="center"/>
              <w:rPr>
                <w:rFonts w:cs="Arial"/>
                <w:color w:val="auto"/>
                <w:szCs w:val="16"/>
              </w:rPr>
            </w:pPr>
            <w:r w:rsidRPr="00901835">
              <w:t>Z hlediska posuzované ÚPD bez přímé vazby.</w:t>
            </w:r>
          </w:p>
        </w:tc>
      </w:tr>
      <w:tr w:rsidR="00E87D05" w:rsidRPr="00111F34" w14:paraId="18B3E595" w14:textId="77777777" w:rsidTr="00433A80">
        <w:trPr>
          <w:trHeight w:val="315"/>
        </w:trPr>
        <w:tc>
          <w:tcPr>
            <w:tcW w:w="2503" w:type="pct"/>
            <w:gridSpan w:val="2"/>
            <w:tcBorders>
              <w:top w:val="nil"/>
              <w:left w:val="single" w:sz="4" w:space="0" w:color="auto"/>
              <w:bottom w:val="single" w:sz="4" w:space="0" w:color="auto"/>
              <w:right w:val="single" w:sz="4" w:space="0" w:color="auto"/>
            </w:tcBorders>
            <w:shd w:val="clear" w:color="auto" w:fill="auto"/>
          </w:tcPr>
          <w:p w14:paraId="55721747" w14:textId="77777777" w:rsidR="00E87D05" w:rsidRPr="00111F34" w:rsidRDefault="00E87D05">
            <w:pPr>
              <w:pStyle w:val="Odrky1"/>
              <w:numPr>
                <w:ilvl w:val="0"/>
                <w:numId w:val="32"/>
              </w:numPr>
              <w:spacing w:before="0" w:after="0"/>
              <w:ind w:left="426" w:hanging="426"/>
              <w:jc w:val="left"/>
              <w:rPr>
                <w:rFonts w:cs="Arial"/>
                <w:b/>
                <w:sz w:val="16"/>
                <w:szCs w:val="16"/>
              </w:rPr>
            </w:pPr>
            <w:r w:rsidRPr="00111F34">
              <w:rPr>
                <w:rFonts w:cs="Arial"/>
                <w:color w:val="000000"/>
                <w:sz w:val="16"/>
                <w:szCs w:val="16"/>
                <w:lang w:eastAsia="cs-CZ"/>
              </w:rPr>
              <w:t>zátěž hustě obydlených částí Prahy tranzitní a zdroj-cílovou dopravou (i.06.3.01)</w:t>
            </w:r>
          </w:p>
        </w:tc>
        <w:tc>
          <w:tcPr>
            <w:tcW w:w="364" w:type="pct"/>
            <w:tcBorders>
              <w:top w:val="nil"/>
              <w:left w:val="nil"/>
              <w:bottom w:val="single" w:sz="4" w:space="0" w:color="auto"/>
              <w:right w:val="single" w:sz="4" w:space="0" w:color="auto"/>
            </w:tcBorders>
            <w:vAlign w:val="center"/>
          </w:tcPr>
          <w:p w14:paraId="14F3E96B" w14:textId="42D7B584" w:rsidR="00E87D05" w:rsidRPr="00111F34" w:rsidRDefault="00E87D05" w:rsidP="00E87D05">
            <w:pPr>
              <w:pStyle w:val="Texttabulky"/>
              <w:jc w:val="center"/>
              <w:rPr>
                <w:rFonts w:cs="Arial"/>
                <w:color w:val="auto"/>
                <w:szCs w:val="16"/>
              </w:rPr>
            </w:pPr>
            <w:r w:rsidRPr="00111F34">
              <w:rPr>
                <w:rFonts w:cs="Arial"/>
                <w:color w:val="auto"/>
                <w:szCs w:val="16"/>
              </w:rPr>
              <w:t>0</w:t>
            </w:r>
          </w:p>
        </w:tc>
        <w:tc>
          <w:tcPr>
            <w:tcW w:w="2133" w:type="pct"/>
            <w:tcBorders>
              <w:top w:val="nil"/>
              <w:left w:val="nil"/>
              <w:bottom w:val="single" w:sz="4" w:space="0" w:color="auto"/>
              <w:right w:val="single" w:sz="4" w:space="0" w:color="auto"/>
            </w:tcBorders>
            <w:vAlign w:val="center"/>
          </w:tcPr>
          <w:p w14:paraId="6C4E738D" w14:textId="17737A31" w:rsidR="00E87D05" w:rsidRPr="00111F34" w:rsidRDefault="00E87D05" w:rsidP="00E87D05">
            <w:pPr>
              <w:pStyle w:val="Texttabulky"/>
              <w:jc w:val="center"/>
              <w:rPr>
                <w:rFonts w:cs="Arial"/>
                <w:color w:val="auto"/>
                <w:szCs w:val="16"/>
              </w:rPr>
            </w:pPr>
            <w:r w:rsidRPr="00111F34">
              <w:rPr>
                <w:rFonts w:cs="Arial"/>
                <w:color w:val="auto"/>
                <w:szCs w:val="16"/>
              </w:rPr>
              <w:t>Z hlediska posuzované ÚPD bez přímé vazby.</w:t>
            </w:r>
          </w:p>
        </w:tc>
      </w:tr>
      <w:tr w:rsidR="00433A80" w:rsidRPr="00111F34" w14:paraId="314542DE" w14:textId="77777777" w:rsidTr="00433A80">
        <w:trPr>
          <w:trHeight w:val="94"/>
        </w:trPr>
        <w:tc>
          <w:tcPr>
            <w:tcW w:w="2503" w:type="pct"/>
            <w:gridSpan w:val="2"/>
            <w:tcBorders>
              <w:top w:val="nil"/>
              <w:left w:val="single" w:sz="4" w:space="0" w:color="auto"/>
              <w:bottom w:val="single" w:sz="4" w:space="0" w:color="auto"/>
              <w:right w:val="single" w:sz="4" w:space="0" w:color="auto"/>
            </w:tcBorders>
            <w:shd w:val="clear" w:color="auto" w:fill="auto"/>
          </w:tcPr>
          <w:p w14:paraId="487B3442" w14:textId="77777777" w:rsidR="00433A80" w:rsidRPr="00111F34" w:rsidRDefault="00433A80">
            <w:pPr>
              <w:pStyle w:val="Odrky1"/>
              <w:numPr>
                <w:ilvl w:val="0"/>
                <w:numId w:val="32"/>
              </w:numPr>
              <w:spacing w:before="0" w:after="0"/>
              <w:ind w:left="426" w:hanging="426"/>
              <w:jc w:val="left"/>
              <w:rPr>
                <w:rFonts w:cs="Arial"/>
                <w:b/>
                <w:sz w:val="16"/>
                <w:szCs w:val="16"/>
              </w:rPr>
            </w:pPr>
            <w:r w:rsidRPr="00111F34">
              <w:rPr>
                <w:rFonts w:cs="Arial"/>
                <w:color w:val="000000"/>
                <w:sz w:val="16"/>
                <w:szCs w:val="16"/>
                <w:lang w:eastAsia="cs-CZ"/>
              </w:rPr>
              <w:t xml:space="preserve">trvalý růst počtu automobilů projíždějících přes vnější kordon (i.06.3.02) </w:t>
            </w:r>
          </w:p>
        </w:tc>
        <w:tc>
          <w:tcPr>
            <w:tcW w:w="364" w:type="pct"/>
            <w:tcBorders>
              <w:top w:val="nil"/>
              <w:left w:val="nil"/>
              <w:bottom w:val="single" w:sz="4" w:space="0" w:color="auto"/>
              <w:right w:val="single" w:sz="4" w:space="0" w:color="auto"/>
            </w:tcBorders>
            <w:vAlign w:val="center"/>
          </w:tcPr>
          <w:p w14:paraId="3990AB7B" w14:textId="77777777" w:rsidR="00433A80" w:rsidRPr="00111F34" w:rsidRDefault="00433A80" w:rsidP="00433A80">
            <w:pPr>
              <w:pStyle w:val="Texttabulky"/>
              <w:jc w:val="center"/>
              <w:rPr>
                <w:rFonts w:cs="Arial"/>
                <w:color w:val="auto"/>
                <w:szCs w:val="16"/>
              </w:rPr>
            </w:pPr>
            <w:r w:rsidRPr="00111F34">
              <w:rPr>
                <w:rFonts w:cs="Arial"/>
                <w:color w:val="auto"/>
                <w:szCs w:val="16"/>
              </w:rPr>
              <w:t>0</w:t>
            </w:r>
          </w:p>
        </w:tc>
        <w:tc>
          <w:tcPr>
            <w:tcW w:w="2133" w:type="pct"/>
            <w:tcBorders>
              <w:top w:val="nil"/>
              <w:left w:val="nil"/>
              <w:bottom w:val="single" w:sz="4" w:space="0" w:color="auto"/>
              <w:right w:val="single" w:sz="4" w:space="0" w:color="auto"/>
            </w:tcBorders>
            <w:vAlign w:val="center"/>
          </w:tcPr>
          <w:p w14:paraId="7E0F6FE9" w14:textId="77777777" w:rsidR="00433A80" w:rsidRPr="00111F34" w:rsidRDefault="00433A80" w:rsidP="00433A80">
            <w:pPr>
              <w:pStyle w:val="Texttabulky"/>
              <w:jc w:val="center"/>
              <w:rPr>
                <w:rFonts w:cs="Arial"/>
                <w:color w:val="auto"/>
                <w:szCs w:val="16"/>
              </w:rPr>
            </w:pPr>
            <w:r w:rsidRPr="00111F34">
              <w:rPr>
                <w:rFonts w:cs="Arial"/>
                <w:color w:val="auto"/>
                <w:szCs w:val="16"/>
              </w:rPr>
              <w:t xml:space="preserve">Z hlediska posuzované ÚPD bez přímé vazby. </w:t>
            </w:r>
          </w:p>
        </w:tc>
      </w:tr>
      <w:tr w:rsidR="00433A80" w:rsidRPr="00111F34" w14:paraId="71767994" w14:textId="77777777" w:rsidTr="00433A80">
        <w:trPr>
          <w:trHeight w:val="315"/>
        </w:trPr>
        <w:tc>
          <w:tcPr>
            <w:tcW w:w="2503" w:type="pct"/>
            <w:gridSpan w:val="2"/>
            <w:tcBorders>
              <w:top w:val="nil"/>
              <w:left w:val="single" w:sz="4" w:space="0" w:color="auto"/>
              <w:bottom w:val="single" w:sz="4" w:space="0" w:color="auto"/>
              <w:right w:val="single" w:sz="4" w:space="0" w:color="auto"/>
            </w:tcBorders>
            <w:shd w:val="clear" w:color="auto" w:fill="auto"/>
          </w:tcPr>
          <w:p w14:paraId="492316D7" w14:textId="77777777" w:rsidR="00433A80" w:rsidRPr="00111F34" w:rsidRDefault="00433A80">
            <w:pPr>
              <w:pStyle w:val="Odrky1"/>
              <w:numPr>
                <w:ilvl w:val="0"/>
                <w:numId w:val="32"/>
              </w:numPr>
              <w:spacing w:before="0" w:after="0"/>
              <w:ind w:left="426" w:hanging="426"/>
              <w:jc w:val="left"/>
              <w:rPr>
                <w:rFonts w:cs="Arial"/>
                <w:b/>
                <w:sz w:val="16"/>
                <w:szCs w:val="16"/>
              </w:rPr>
            </w:pPr>
            <w:r w:rsidRPr="00111F34">
              <w:rPr>
                <w:rFonts w:cs="Arial"/>
                <w:color w:val="000000"/>
                <w:sz w:val="16"/>
                <w:szCs w:val="16"/>
                <w:lang w:eastAsia="cs-CZ"/>
              </w:rPr>
              <w:t xml:space="preserve">trvalý růst dopravních výkonů IAD (i.06.3.02) </w:t>
            </w:r>
          </w:p>
        </w:tc>
        <w:tc>
          <w:tcPr>
            <w:tcW w:w="364" w:type="pct"/>
            <w:tcBorders>
              <w:top w:val="nil"/>
              <w:left w:val="nil"/>
              <w:bottom w:val="single" w:sz="4" w:space="0" w:color="auto"/>
              <w:right w:val="single" w:sz="4" w:space="0" w:color="auto"/>
            </w:tcBorders>
            <w:vAlign w:val="center"/>
          </w:tcPr>
          <w:p w14:paraId="623007ED" w14:textId="405CD405" w:rsidR="00433A80" w:rsidRPr="00111F34" w:rsidRDefault="005B44E6" w:rsidP="00433A80">
            <w:pPr>
              <w:pStyle w:val="Texttabulky"/>
              <w:jc w:val="center"/>
              <w:rPr>
                <w:rFonts w:cs="Arial"/>
                <w:color w:val="auto"/>
                <w:szCs w:val="16"/>
              </w:rPr>
            </w:pPr>
            <w:r w:rsidRPr="00111F34">
              <w:rPr>
                <w:rFonts w:cs="Arial"/>
                <w:color w:val="auto"/>
                <w:szCs w:val="16"/>
              </w:rPr>
              <w:t>+</w:t>
            </w:r>
          </w:p>
        </w:tc>
        <w:tc>
          <w:tcPr>
            <w:tcW w:w="2133" w:type="pct"/>
            <w:tcBorders>
              <w:top w:val="nil"/>
              <w:left w:val="nil"/>
              <w:bottom w:val="single" w:sz="4" w:space="0" w:color="auto"/>
              <w:right w:val="single" w:sz="4" w:space="0" w:color="auto"/>
            </w:tcBorders>
            <w:vAlign w:val="center"/>
          </w:tcPr>
          <w:p w14:paraId="67ACF66C" w14:textId="3ABF0EFC" w:rsidR="00433A80" w:rsidRPr="00111F34" w:rsidRDefault="00433A80" w:rsidP="00433A80">
            <w:pPr>
              <w:pStyle w:val="Texttabulky"/>
              <w:jc w:val="center"/>
              <w:rPr>
                <w:rFonts w:cs="Arial"/>
                <w:color w:val="auto"/>
                <w:szCs w:val="16"/>
              </w:rPr>
            </w:pPr>
            <w:r w:rsidRPr="00111F34">
              <w:rPr>
                <w:rFonts w:cs="Arial"/>
                <w:color w:val="auto"/>
                <w:szCs w:val="16"/>
              </w:rPr>
              <w:t>Samotná realizace nové dopravní infrastruktury</w:t>
            </w:r>
            <w:r w:rsidR="00701532" w:rsidRPr="00111F34">
              <w:rPr>
                <w:rFonts w:cs="Arial"/>
                <w:color w:val="auto"/>
                <w:szCs w:val="16"/>
              </w:rPr>
              <w:t xml:space="preserve"> ani zintenzivnění využití území</w:t>
            </w:r>
            <w:r w:rsidRPr="00111F34">
              <w:rPr>
                <w:rFonts w:cs="Arial"/>
                <w:color w:val="auto"/>
                <w:szCs w:val="16"/>
              </w:rPr>
              <w:t xml:space="preserve"> není důvodem pro zvýšení výkonů IAD, na druhou stranu jej spíše podporuje a rozhodně nepřispívá k jeho snížení. </w:t>
            </w:r>
            <w:r w:rsidR="004D52C0" w:rsidRPr="00111F34">
              <w:rPr>
                <w:rFonts w:cs="Arial"/>
                <w:color w:val="auto"/>
                <w:szCs w:val="16"/>
              </w:rPr>
              <w:t>Nep</w:t>
            </w:r>
            <w:r w:rsidR="005B44E6" w:rsidRPr="00111F34">
              <w:rPr>
                <w:rFonts w:cs="Arial"/>
                <w:color w:val="auto"/>
                <w:szCs w:val="16"/>
              </w:rPr>
              <w:t xml:space="preserve">římo přispívá </w:t>
            </w:r>
            <w:r w:rsidR="005B44E6" w:rsidRPr="00111F34">
              <w:rPr>
                <w:rFonts w:cs="Arial"/>
                <w:color w:val="auto"/>
                <w:szCs w:val="16"/>
              </w:rPr>
              <w:lastRenderedPageBreak/>
              <w:t xml:space="preserve">k řešení tohoto problému </w:t>
            </w:r>
            <w:r w:rsidR="004D52C0" w:rsidRPr="00111F34">
              <w:rPr>
                <w:rFonts w:cs="Arial"/>
                <w:color w:val="auto"/>
                <w:szCs w:val="16"/>
              </w:rPr>
              <w:t xml:space="preserve">vybavením území bezemisní </w:t>
            </w:r>
            <w:r w:rsidR="00701532" w:rsidRPr="00111F34">
              <w:rPr>
                <w:rFonts w:cs="Arial"/>
                <w:color w:val="auto"/>
                <w:szCs w:val="16"/>
              </w:rPr>
              <w:t xml:space="preserve">hromadnou dopravou. </w:t>
            </w:r>
          </w:p>
        </w:tc>
      </w:tr>
      <w:tr w:rsidR="00433A80" w:rsidRPr="00111F34" w14:paraId="0201ACDD" w14:textId="77777777" w:rsidTr="00433A80">
        <w:trPr>
          <w:trHeight w:val="315"/>
        </w:trPr>
        <w:tc>
          <w:tcPr>
            <w:tcW w:w="5000" w:type="pct"/>
            <w:gridSpan w:val="4"/>
            <w:tcBorders>
              <w:top w:val="nil"/>
              <w:left w:val="single" w:sz="4" w:space="0" w:color="auto"/>
              <w:bottom w:val="single" w:sz="4" w:space="0" w:color="auto"/>
              <w:right w:val="single" w:sz="4" w:space="0" w:color="auto"/>
            </w:tcBorders>
            <w:shd w:val="clear" w:color="auto" w:fill="E5DFEC" w:themeFill="accent4" w:themeFillTint="33"/>
            <w:vAlign w:val="center"/>
          </w:tcPr>
          <w:p w14:paraId="692315A1" w14:textId="77777777" w:rsidR="00433A80" w:rsidRPr="00111F34" w:rsidRDefault="00433A80" w:rsidP="00433A80">
            <w:pPr>
              <w:pStyle w:val="Texttabulky"/>
              <w:rPr>
                <w:rFonts w:cs="Arial"/>
                <w:b/>
                <w:color w:val="auto"/>
                <w:szCs w:val="16"/>
              </w:rPr>
            </w:pPr>
            <w:r w:rsidRPr="00111F34">
              <w:rPr>
                <w:rFonts w:cs="Arial"/>
                <w:b/>
                <w:szCs w:val="16"/>
              </w:rPr>
              <w:t>07 BEZPEČNÉ, ODOLNÉ A PŘIPRAVENÉ MĚSTO</w:t>
            </w:r>
          </w:p>
        </w:tc>
      </w:tr>
      <w:tr w:rsidR="00433A80" w:rsidRPr="00111F34" w14:paraId="701A3EFD" w14:textId="77777777" w:rsidTr="00433A80">
        <w:trPr>
          <w:trHeight w:val="315"/>
        </w:trPr>
        <w:tc>
          <w:tcPr>
            <w:tcW w:w="2503" w:type="pct"/>
            <w:gridSpan w:val="2"/>
            <w:tcBorders>
              <w:top w:val="nil"/>
              <w:left w:val="single" w:sz="4" w:space="0" w:color="auto"/>
              <w:bottom w:val="single" w:sz="4" w:space="0" w:color="auto"/>
              <w:right w:val="single" w:sz="4" w:space="0" w:color="auto"/>
            </w:tcBorders>
            <w:shd w:val="clear" w:color="auto" w:fill="auto"/>
          </w:tcPr>
          <w:p w14:paraId="155158EE" w14:textId="77777777" w:rsidR="00433A80" w:rsidRPr="00111F34" w:rsidRDefault="00433A80" w:rsidP="00433A80">
            <w:pPr>
              <w:pStyle w:val="Odrky1"/>
              <w:numPr>
                <w:ilvl w:val="0"/>
                <w:numId w:val="0"/>
              </w:numPr>
              <w:spacing w:before="0" w:after="0"/>
              <w:ind w:left="360" w:hanging="360"/>
              <w:jc w:val="left"/>
              <w:rPr>
                <w:rFonts w:cs="Arial"/>
                <w:b/>
                <w:sz w:val="16"/>
                <w:szCs w:val="16"/>
              </w:rPr>
            </w:pPr>
            <w:r w:rsidRPr="00111F34">
              <w:rPr>
                <w:rFonts w:cs="Arial"/>
                <w:b/>
                <w:color w:val="000000"/>
                <w:sz w:val="16"/>
                <w:szCs w:val="16"/>
                <w:lang w:eastAsia="cs-CZ"/>
              </w:rPr>
              <w:t>problémy vodovodní sítě</w:t>
            </w:r>
          </w:p>
        </w:tc>
        <w:tc>
          <w:tcPr>
            <w:tcW w:w="364" w:type="pct"/>
            <w:tcBorders>
              <w:top w:val="single" w:sz="4" w:space="0" w:color="auto"/>
              <w:left w:val="nil"/>
              <w:bottom w:val="single" w:sz="4" w:space="0" w:color="auto"/>
              <w:right w:val="single" w:sz="4" w:space="0" w:color="auto"/>
            </w:tcBorders>
            <w:vAlign w:val="center"/>
          </w:tcPr>
          <w:p w14:paraId="6CCD503E" w14:textId="77777777" w:rsidR="00433A80" w:rsidRPr="00111F34" w:rsidRDefault="00433A80" w:rsidP="00433A80">
            <w:pPr>
              <w:pStyle w:val="Texttabulky"/>
              <w:jc w:val="center"/>
              <w:rPr>
                <w:rFonts w:cs="Arial"/>
                <w:color w:val="auto"/>
                <w:szCs w:val="16"/>
              </w:rPr>
            </w:pPr>
            <w:r w:rsidRPr="00111F34">
              <w:rPr>
                <w:rFonts w:cs="Arial"/>
                <w:color w:val="auto"/>
                <w:szCs w:val="16"/>
              </w:rPr>
              <w:t>0</w:t>
            </w:r>
          </w:p>
        </w:tc>
        <w:tc>
          <w:tcPr>
            <w:tcW w:w="2133" w:type="pct"/>
            <w:tcBorders>
              <w:top w:val="single" w:sz="4" w:space="0" w:color="auto"/>
              <w:left w:val="nil"/>
              <w:bottom w:val="single" w:sz="4" w:space="0" w:color="auto"/>
              <w:right w:val="single" w:sz="4" w:space="0" w:color="auto"/>
            </w:tcBorders>
            <w:vAlign w:val="center"/>
          </w:tcPr>
          <w:p w14:paraId="1B8C4AB2" w14:textId="77777777" w:rsidR="00433A80" w:rsidRPr="00111F34" w:rsidRDefault="00433A80" w:rsidP="00433A80">
            <w:pPr>
              <w:pStyle w:val="Texttabulky"/>
              <w:jc w:val="center"/>
              <w:rPr>
                <w:rFonts w:cs="Arial"/>
                <w:color w:val="auto"/>
                <w:szCs w:val="16"/>
              </w:rPr>
            </w:pPr>
            <w:r w:rsidRPr="00111F34">
              <w:rPr>
                <w:rFonts w:cs="Arial"/>
                <w:color w:val="auto"/>
                <w:szCs w:val="16"/>
              </w:rPr>
              <w:t>Z hlediska posuzované ÚPD bez přímé vazby.</w:t>
            </w:r>
          </w:p>
        </w:tc>
      </w:tr>
      <w:tr w:rsidR="00433A80" w:rsidRPr="00111F34" w14:paraId="567D7497" w14:textId="77777777" w:rsidTr="00433A80">
        <w:trPr>
          <w:trHeight w:val="315"/>
        </w:trPr>
        <w:tc>
          <w:tcPr>
            <w:tcW w:w="2503" w:type="pct"/>
            <w:gridSpan w:val="2"/>
            <w:tcBorders>
              <w:top w:val="nil"/>
              <w:left w:val="single" w:sz="4" w:space="0" w:color="auto"/>
              <w:bottom w:val="single" w:sz="4" w:space="0" w:color="auto"/>
              <w:right w:val="single" w:sz="4" w:space="0" w:color="auto"/>
            </w:tcBorders>
            <w:shd w:val="clear" w:color="auto" w:fill="auto"/>
          </w:tcPr>
          <w:p w14:paraId="39EF762F" w14:textId="77777777" w:rsidR="00433A80" w:rsidRPr="00111F34" w:rsidRDefault="00433A80">
            <w:pPr>
              <w:pStyle w:val="Odrky1"/>
              <w:numPr>
                <w:ilvl w:val="0"/>
                <w:numId w:val="32"/>
              </w:numPr>
              <w:spacing w:before="0" w:after="0"/>
              <w:ind w:left="426" w:hanging="426"/>
              <w:jc w:val="left"/>
              <w:rPr>
                <w:rFonts w:cs="Arial"/>
                <w:b/>
                <w:sz w:val="16"/>
                <w:szCs w:val="16"/>
              </w:rPr>
            </w:pPr>
            <w:r w:rsidRPr="00111F34">
              <w:rPr>
                <w:rFonts w:cs="Arial"/>
                <w:color w:val="000000"/>
                <w:sz w:val="16"/>
                <w:szCs w:val="16"/>
                <w:lang w:eastAsia="cs-CZ"/>
              </w:rPr>
              <w:t>vyčerpání kapacity vodojemů (i.07.1.04)</w:t>
            </w:r>
          </w:p>
        </w:tc>
        <w:tc>
          <w:tcPr>
            <w:tcW w:w="364" w:type="pct"/>
            <w:tcBorders>
              <w:top w:val="single" w:sz="4" w:space="0" w:color="auto"/>
              <w:left w:val="nil"/>
              <w:bottom w:val="single" w:sz="4" w:space="0" w:color="auto"/>
              <w:right w:val="single" w:sz="4" w:space="0" w:color="auto"/>
            </w:tcBorders>
            <w:vAlign w:val="center"/>
          </w:tcPr>
          <w:p w14:paraId="3295AFBC" w14:textId="77777777" w:rsidR="00433A80" w:rsidRPr="00111F34" w:rsidRDefault="00433A80" w:rsidP="00433A80">
            <w:pPr>
              <w:pStyle w:val="Texttabulky"/>
              <w:jc w:val="center"/>
              <w:rPr>
                <w:rFonts w:cs="Arial"/>
                <w:color w:val="auto"/>
                <w:szCs w:val="16"/>
              </w:rPr>
            </w:pPr>
            <w:r w:rsidRPr="00111F34">
              <w:rPr>
                <w:rFonts w:cs="Arial"/>
                <w:color w:val="auto"/>
                <w:szCs w:val="16"/>
              </w:rPr>
              <w:t>0</w:t>
            </w:r>
          </w:p>
        </w:tc>
        <w:tc>
          <w:tcPr>
            <w:tcW w:w="2133" w:type="pct"/>
            <w:tcBorders>
              <w:top w:val="single" w:sz="4" w:space="0" w:color="auto"/>
              <w:left w:val="nil"/>
              <w:bottom w:val="single" w:sz="4" w:space="0" w:color="auto"/>
              <w:right w:val="single" w:sz="4" w:space="0" w:color="auto"/>
            </w:tcBorders>
            <w:vAlign w:val="center"/>
          </w:tcPr>
          <w:p w14:paraId="33837DCA" w14:textId="77777777" w:rsidR="00433A80" w:rsidRPr="00111F34" w:rsidRDefault="00433A80" w:rsidP="00433A80">
            <w:pPr>
              <w:pStyle w:val="Texttabulky"/>
              <w:jc w:val="center"/>
              <w:rPr>
                <w:rFonts w:cs="Arial"/>
                <w:color w:val="auto"/>
                <w:szCs w:val="16"/>
              </w:rPr>
            </w:pPr>
            <w:r w:rsidRPr="00111F34">
              <w:rPr>
                <w:rFonts w:cs="Arial"/>
                <w:color w:val="auto"/>
                <w:szCs w:val="16"/>
              </w:rPr>
              <w:t>Z hlediska posuzované ÚPD bez přímé vazby.</w:t>
            </w:r>
          </w:p>
        </w:tc>
      </w:tr>
      <w:tr w:rsidR="00433A80" w:rsidRPr="00111F34" w14:paraId="71A3098E" w14:textId="77777777" w:rsidTr="00433A80">
        <w:trPr>
          <w:trHeight w:val="412"/>
        </w:trPr>
        <w:tc>
          <w:tcPr>
            <w:tcW w:w="2503" w:type="pct"/>
            <w:gridSpan w:val="2"/>
            <w:tcBorders>
              <w:top w:val="single" w:sz="4" w:space="0" w:color="auto"/>
              <w:left w:val="single" w:sz="4" w:space="0" w:color="auto"/>
              <w:bottom w:val="single" w:sz="4" w:space="0" w:color="auto"/>
              <w:right w:val="single" w:sz="4" w:space="0" w:color="auto"/>
            </w:tcBorders>
            <w:shd w:val="clear" w:color="auto" w:fill="auto"/>
          </w:tcPr>
          <w:p w14:paraId="25EEA644" w14:textId="77777777" w:rsidR="00433A80" w:rsidRPr="00111F34" w:rsidRDefault="00433A80" w:rsidP="00433A80">
            <w:pPr>
              <w:pStyle w:val="Odrky1"/>
              <w:spacing w:before="0" w:after="0"/>
              <w:jc w:val="left"/>
              <w:rPr>
                <w:rFonts w:cs="Arial"/>
                <w:i/>
                <w:sz w:val="16"/>
                <w:szCs w:val="16"/>
              </w:rPr>
            </w:pPr>
            <w:r w:rsidRPr="00111F34">
              <w:rPr>
                <w:rFonts w:cs="Arial"/>
                <w:b/>
                <w:color w:val="000000"/>
                <w:sz w:val="16"/>
                <w:szCs w:val="16"/>
                <w:lang w:eastAsia="cs-CZ"/>
              </w:rPr>
              <w:t>problémy kanalizační sítě</w:t>
            </w:r>
          </w:p>
        </w:tc>
        <w:tc>
          <w:tcPr>
            <w:tcW w:w="364" w:type="pct"/>
            <w:tcBorders>
              <w:top w:val="single" w:sz="4" w:space="0" w:color="auto"/>
              <w:left w:val="nil"/>
              <w:bottom w:val="single" w:sz="4" w:space="0" w:color="auto"/>
              <w:right w:val="single" w:sz="4" w:space="0" w:color="auto"/>
            </w:tcBorders>
            <w:vAlign w:val="center"/>
          </w:tcPr>
          <w:p w14:paraId="4F6D3746" w14:textId="77777777" w:rsidR="00433A80" w:rsidRPr="00111F34" w:rsidRDefault="00433A80" w:rsidP="00433A80">
            <w:pPr>
              <w:pStyle w:val="Texttabulky"/>
              <w:jc w:val="center"/>
              <w:rPr>
                <w:rFonts w:cs="Arial"/>
                <w:color w:val="auto"/>
                <w:szCs w:val="16"/>
              </w:rPr>
            </w:pPr>
            <w:r w:rsidRPr="00111F34">
              <w:rPr>
                <w:rFonts w:cs="Arial"/>
                <w:color w:val="auto"/>
                <w:szCs w:val="16"/>
              </w:rPr>
              <w:t>0</w:t>
            </w:r>
          </w:p>
        </w:tc>
        <w:tc>
          <w:tcPr>
            <w:tcW w:w="2133" w:type="pct"/>
            <w:tcBorders>
              <w:top w:val="single" w:sz="4" w:space="0" w:color="auto"/>
              <w:left w:val="nil"/>
              <w:bottom w:val="single" w:sz="4" w:space="0" w:color="auto"/>
              <w:right w:val="single" w:sz="4" w:space="0" w:color="auto"/>
            </w:tcBorders>
            <w:vAlign w:val="center"/>
          </w:tcPr>
          <w:p w14:paraId="2BEE5797" w14:textId="77777777" w:rsidR="00433A80" w:rsidRPr="00111F34" w:rsidRDefault="00433A80" w:rsidP="00433A80">
            <w:pPr>
              <w:pStyle w:val="Texttabulky"/>
              <w:jc w:val="center"/>
              <w:rPr>
                <w:rFonts w:cs="Arial"/>
                <w:color w:val="auto"/>
                <w:szCs w:val="16"/>
              </w:rPr>
            </w:pPr>
            <w:r w:rsidRPr="00111F34">
              <w:rPr>
                <w:rFonts w:cs="Arial"/>
                <w:color w:val="auto"/>
                <w:szCs w:val="16"/>
              </w:rPr>
              <w:t>Z hlediska posuzované ÚPD bez přímé vazby.</w:t>
            </w:r>
          </w:p>
        </w:tc>
      </w:tr>
      <w:tr w:rsidR="00433A80" w:rsidRPr="00111F34" w14:paraId="11AB593E" w14:textId="77777777" w:rsidTr="00433A80">
        <w:trPr>
          <w:trHeight w:val="412"/>
        </w:trPr>
        <w:tc>
          <w:tcPr>
            <w:tcW w:w="2503" w:type="pct"/>
            <w:gridSpan w:val="2"/>
            <w:tcBorders>
              <w:top w:val="single" w:sz="4" w:space="0" w:color="auto"/>
              <w:left w:val="single" w:sz="4" w:space="0" w:color="auto"/>
              <w:bottom w:val="single" w:sz="4" w:space="0" w:color="auto"/>
              <w:right w:val="single" w:sz="4" w:space="0" w:color="auto"/>
            </w:tcBorders>
            <w:shd w:val="clear" w:color="auto" w:fill="auto"/>
          </w:tcPr>
          <w:p w14:paraId="16B2744A" w14:textId="77777777" w:rsidR="00433A80" w:rsidRPr="00111F34" w:rsidRDefault="00433A80" w:rsidP="00433A80">
            <w:pPr>
              <w:pStyle w:val="Odrky1"/>
              <w:spacing w:before="0" w:after="0"/>
              <w:jc w:val="left"/>
              <w:rPr>
                <w:rFonts w:cs="Arial"/>
                <w:i/>
                <w:sz w:val="16"/>
                <w:szCs w:val="16"/>
              </w:rPr>
            </w:pPr>
            <w:r w:rsidRPr="00111F34">
              <w:rPr>
                <w:rFonts w:cs="Arial"/>
                <w:color w:val="000000"/>
                <w:sz w:val="16"/>
                <w:szCs w:val="16"/>
                <w:lang w:eastAsia="cs-CZ"/>
              </w:rPr>
              <w:t xml:space="preserve">vyčerpání kapacity čistíren odpadních vod (i.07.1.07) </w:t>
            </w:r>
          </w:p>
        </w:tc>
        <w:tc>
          <w:tcPr>
            <w:tcW w:w="364" w:type="pct"/>
            <w:tcBorders>
              <w:top w:val="single" w:sz="4" w:space="0" w:color="auto"/>
              <w:left w:val="nil"/>
              <w:bottom w:val="single" w:sz="4" w:space="0" w:color="auto"/>
              <w:right w:val="single" w:sz="4" w:space="0" w:color="auto"/>
            </w:tcBorders>
            <w:vAlign w:val="center"/>
          </w:tcPr>
          <w:p w14:paraId="5723FD58" w14:textId="77777777" w:rsidR="00433A80" w:rsidRPr="00111F34" w:rsidRDefault="00433A80" w:rsidP="00433A80">
            <w:pPr>
              <w:pStyle w:val="Texttabulky"/>
              <w:jc w:val="center"/>
              <w:rPr>
                <w:rFonts w:cs="Arial"/>
                <w:color w:val="auto"/>
                <w:szCs w:val="16"/>
              </w:rPr>
            </w:pPr>
            <w:r w:rsidRPr="00111F34">
              <w:rPr>
                <w:rFonts w:cs="Arial"/>
                <w:color w:val="auto"/>
                <w:szCs w:val="16"/>
              </w:rPr>
              <w:t>0</w:t>
            </w:r>
          </w:p>
        </w:tc>
        <w:tc>
          <w:tcPr>
            <w:tcW w:w="2133" w:type="pct"/>
            <w:tcBorders>
              <w:top w:val="single" w:sz="4" w:space="0" w:color="auto"/>
              <w:left w:val="nil"/>
              <w:bottom w:val="single" w:sz="4" w:space="0" w:color="auto"/>
              <w:right w:val="single" w:sz="4" w:space="0" w:color="auto"/>
            </w:tcBorders>
            <w:vAlign w:val="center"/>
          </w:tcPr>
          <w:p w14:paraId="1ABAF73B" w14:textId="77777777" w:rsidR="00433A80" w:rsidRPr="00111F34" w:rsidRDefault="00433A80" w:rsidP="00433A80">
            <w:pPr>
              <w:pStyle w:val="Texttabulky"/>
              <w:jc w:val="center"/>
              <w:rPr>
                <w:rFonts w:cs="Arial"/>
                <w:color w:val="auto"/>
                <w:szCs w:val="16"/>
              </w:rPr>
            </w:pPr>
            <w:r w:rsidRPr="00111F34">
              <w:rPr>
                <w:rFonts w:cs="Arial"/>
                <w:color w:val="auto"/>
                <w:szCs w:val="16"/>
              </w:rPr>
              <w:t>Z hlediska posuzované ÚPD bez přímé vazby.</w:t>
            </w:r>
          </w:p>
        </w:tc>
      </w:tr>
    </w:tbl>
    <w:p w14:paraId="09F8D8D1" w14:textId="77777777" w:rsidR="003A1663" w:rsidRPr="00111F34" w:rsidRDefault="003A1663" w:rsidP="003A1663">
      <w:pPr>
        <w:pStyle w:val="Nadpis3"/>
        <w:ind w:left="709" w:hanging="709"/>
      </w:pPr>
      <w:bookmarkStart w:id="415" w:name="_Toc46820080"/>
      <w:bookmarkStart w:id="416" w:name="_Toc84595780"/>
      <w:bookmarkStart w:id="417" w:name="_Toc138848163"/>
      <w:bookmarkStart w:id="418" w:name="_Toc496705183"/>
      <w:bookmarkEnd w:id="412"/>
      <w:r w:rsidRPr="00111F34">
        <w:t xml:space="preserve">Disproporce mezi </w:t>
      </w:r>
      <w:bookmarkEnd w:id="415"/>
      <w:r w:rsidRPr="00111F34">
        <w:t>jednotlivými pilíři udržitelného rozvoje identifikované na základě Vyhodnocení vlivů posuzované ÚPD na udržitelný rozvoj území</w:t>
      </w:r>
      <w:bookmarkEnd w:id="416"/>
      <w:bookmarkEnd w:id="417"/>
    </w:p>
    <w:p w14:paraId="2B26A32C" w14:textId="77777777" w:rsidR="00EA2D1E" w:rsidRPr="00111F34" w:rsidRDefault="00EA2D1E" w:rsidP="003A1663">
      <w:pPr>
        <w:pStyle w:val="Podnadpis1"/>
      </w:pPr>
      <w:r w:rsidRPr="00111F34">
        <w:t>Disproporce mezi ekonomickým a environmentálním pilířem</w:t>
      </w:r>
      <w:bookmarkEnd w:id="418"/>
    </w:p>
    <w:p w14:paraId="091C47FD" w14:textId="4EAEB615" w:rsidR="00433A80" w:rsidRPr="00111F34" w:rsidRDefault="00433A80" w:rsidP="00433A80">
      <w:bookmarkStart w:id="419" w:name="_Toc496705184"/>
      <w:r w:rsidRPr="00111F34">
        <w:t xml:space="preserve">Posuzovaná územně plánovací dokumentace řeší </w:t>
      </w:r>
      <w:r w:rsidR="006C36AB" w:rsidRPr="00111F34">
        <w:t xml:space="preserve">transformaci </w:t>
      </w:r>
      <w:r w:rsidR="0087025D" w:rsidRPr="00111F34">
        <w:t>v současnosti podvyužitého území Suchdola</w:t>
      </w:r>
      <w:r w:rsidR="006C36AB" w:rsidRPr="00111F34">
        <w:t xml:space="preserve"> v kontextu intenzivního rozvoje této části města, požadavků na konkrétní využití území, rozvoje rekreačního zázemí a </w:t>
      </w:r>
      <w:r w:rsidRPr="00111F34">
        <w:t>stabilizac</w:t>
      </w:r>
      <w:r w:rsidR="0087025D" w:rsidRPr="00111F34">
        <w:t>i</w:t>
      </w:r>
      <w:r w:rsidRPr="00111F34">
        <w:t xml:space="preserve"> dopravního řešení spočívající v převedení dopravních zátěží na budoucí </w:t>
      </w:r>
      <w:r w:rsidR="005B44E6" w:rsidRPr="00111F34">
        <w:t>SOKP a vybavení území kapacitní bezemisní VHD spolu s dopravním terminálem a záchytným parkovištěm</w:t>
      </w:r>
      <w:r w:rsidRPr="00111F34">
        <w:t xml:space="preserve">, což má </w:t>
      </w:r>
      <w:r w:rsidR="005B44E6" w:rsidRPr="00111F34">
        <w:t xml:space="preserve">zprostředkovaně </w:t>
      </w:r>
      <w:r w:rsidRPr="00111F34">
        <w:t>pozitivní vazbu vůči ekonomickému pilíři udržitelného rozvoje v podobě vytvoření příležitostí pro lepší dopravní obslužnost území</w:t>
      </w:r>
      <w:r w:rsidR="006C36AB" w:rsidRPr="00111F34">
        <w:t>, rozvoj podnikání</w:t>
      </w:r>
      <w:r w:rsidRPr="00111F34">
        <w:t xml:space="preserve"> </w:t>
      </w:r>
      <w:r w:rsidR="00CB4578" w:rsidRPr="00111F34">
        <w:t xml:space="preserve">a zprostředkovaně i na kvalitu bydlení v území. </w:t>
      </w:r>
      <w:r w:rsidRPr="00111F34">
        <w:t xml:space="preserve">Z hlediska ekonomického pilíře se jedná o pozitivní impuls. Negativní vazba vůči ekonomickému pilíři nebyla zjištěna. Z hlediska environmentálního pilíře </w:t>
      </w:r>
      <w:r w:rsidR="006C36AB" w:rsidRPr="00111F34">
        <w:t>dojde ke zvýšení intenzity využití přinášející i vyvolanou dopravu</w:t>
      </w:r>
      <w:r w:rsidR="00100246" w:rsidRPr="00111F34">
        <w:t>,</w:t>
      </w:r>
      <w:r w:rsidR="006C36AB" w:rsidRPr="00111F34">
        <w:t xml:space="preserve"> na</w:t>
      </w:r>
      <w:r w:rsidRPr="00111F34">
        <w:t xml:space="preserve"> druhou stranu </w:t>
      </w:r>
      <w:r w:rsidR="00CB4578" w:rsidRPr="00111F34">
        <w:t>je změna situována v urbanizovaném transformačním</w:t>
      </w:r>
      <w:r w:rsidRPr="00111F34">
        <w:t> území</w:t>
      </w:r>
      <w:r w:rsidR="00CB4578" w:rsidRPr="00111F34">
        <w:t xml:space="preserve"> a vytváří předpoklady pro zintenzivnění využití území vnitřního města jako prevenci suburbanizace</w:t>
      </w:r>
      <w:r w:rsidRPr="00111F34">
        <w:t xml:space="preserve">. V rámci SEA byla navržena opatření pro minimalizaci negativních vlivů na environmentální pilíř nad rámec </w:t>
      </w:r>
      <w:r w:rsidR="002F727C" w:rsidRPr="00111F34">
        <w:t xml:space="preserve">územně plánovacích </w:t>
      </w:r>
      <w:r w:rsidRPr="00111F34">
        <w:t xml:space="preserve">opatření již obsažených v posuzované ÚPD (tj. </w:t>
      </w:r>
      <w:r w:rsidR="00701532" w:rsidRPr="00111F34">
        <w:t>struktura a intenzita využití ploch</w:t>
      </w:r>
      <w:r w:rsidRPr="00111F34">
        <w:t>).</w:t>
      </w:r>
    </w:p>
    <w:p w14:paraId="20F1F766" w14:textId="77777777" w:rsidR="00EA2D1E" w:rsidRPr="00111F34" w:rsidRDefault="00EA2D1E" w:rsidP="003A1663">
      <w:pPr>
        <w:pStyle w:val="Podnadpis1"/>
      </w:pPr>
      <w:r w:rsidRPr="00111F34">
        <w:t>Disproporce mezi environmentálním a sociálním pilířem</w:t>
      </w:r>
      <w:bookmarkEnd w:id="419"/>
    </w:p>
    <w:p w14:paraId="6452F2C9" w14:textId="1FF43541" w:rsidR="00CB4578" w:rsidRPr="00111F34" w:rsidRDefault="006C36AB" w:rsidP="00CB4578">
      <w:pPr>
        <w:pStyle w:val="Odrky1"/>
        <w:numPr>
          <w:ilvl w:val="0"/>
          <w:numId w:val="0"/>
        </w:numPr>
        <w:spacing w:before="120"/>
      </w:pPr>
      <w:bookmarkStart w:id="420" w:name="_Toc496705185"/>
      <w:r w:rsidRPr="00111F34">
        <w:rPr>
          <w:rFonts w:cs="Arial"/>
          <w:szCs w:val="16"/>
        </w:rPr>
        <w:t>J</w:t>
      </w:r>
      <w:r w:rsidR="00CB4578" w:rsidRPr="00111F34">
        <w:rPr>
          <w:rFonts w:cs="Arial"/>
          <w:szCs w:val="16"/>
        </w:rPr>
        <w:t xml:space="preserve">edná se o intenzivně se rozvíjející území při dopravně významných stavbách, které se významně mění směrem k širšímu využití pro </w:t>
      </w:r>
      <w:r w:rsidR="00984D8C" w:rsidRPr="00111F34">
        <w:rPr>
          <w:rFonts w:cs="Arial"/>
          <w:szCs w:val="16"/>
        </w:rPr>
        <w:t xml:space="preserve">rezidenční a </w:t>
      </w:r>
      <w:r w:rsidR="00CB4578" w:rsidRPr="00111F34">
        <w:rPr>
          <w:rFonts w:cs="Arial"/>
          <w:szCs w:val="16"/>
        </w:rPr>
        <w:t xml:space="preserve">smíšené městské funkce s cílem vytvoření moderní čtvrti s mixem funkcí propojující ekonomickou aktivitu v terciéru s kvalitním bydlením, dobrou dopravní dostupností i možnostmi komunitního života a trávení volného času obyvatel. Z hlediska sociálního pilíře se jedná o zásadní pozitivní impuls. </w:t>
      </w:r>
      <w:r w:rsidR="00CB4578" w:rsidRPr="00111F34">
        <w:t xml:space="preserve">Změna je umístěna v transformačním území ve vnitřním městě s dobrou dopravní dostupností a s výjimkou potenciálu umístění nového zdroje </w:t>
      </w:r>
      <w:r w:rsidR="00984D8C" w:rsidRPr="00111F34">
        <w:t xml:space="preserve">hlukové zátěže v podobě TT, zdroje </w:t>
      </w:r>
      <w:r w:rsidR="00701532" w:rsidRPr="00111F34">
        <w:t>vyvolané dopravy</w:t>
      </w:r>
      <w:r w:rsidR="00984D8C" w:rsidRPr="00111F34">
        <w:t xml:space="preserve"> v podobě transformačních ploch</w:t>
      </w:r>
      <w:r w:rsidR="00701532" w:rsidRPr="00111F34">
        <w:t>, resp. hlukově chráněných prostor</w:t>
      </w:r>
      <w:r w:rsidR="00CB4578" w:rsidRPr="00111F34">
        <w:t xml:space="preserve"> do hlukově zatíženého území nebyly identifikovány </w:t>
      </w:r>
      <w:r w:rsidR="00701532" w:rsidRPr="00111F34">
        <w:t xml:space="preserve">podstatné </w:t>
      </w:r>
      <w:r w:rsidR="00CB4578" w:rsidRPr="00111F34">
        <w:t xml:space="preserve">negativní vazby vůči environmentálnímu pilíři. V této souvislosti </w:t>
      </w:r>
      <w:r w:rsidR="00701532" w:rsidRPr="00111F34">
        <w:t>byla navržena minimalizační opatření</w:t>
      </w:r>
      <w:r w:rsidR="00CB4578" w:rsidRPr="00111F34">
        <w:t>.</w:t>
      </w:r>
    </w:p>
    <w:p w14:paraId="2731096C" w14:textId="2FF1158A" w:rsidR="006C36AB" w:rsidRPr="00111F34" w:rsidRDefault="006C36AB" w:rsidP="006C36AB">
      <w:pPr>
        <w:pStyle w:val="Odrky1"/>
        <w:numPr>
          <w:ilvl w:val="0"/>
          <w:numId w:val="0"/>
        </w:numPr>
        <w:spacing w:before="120"/>
        <w:rPr>
          <w:lang w:eastAsia="cs-CZ"/>
        </w:rPr>
      </w:pPr>
      <w:r w:rsidRPr="00111F34">
        <w:rPr>
          <w:rFonts w:cs="Arial"/>
          <w:szCs w:val="16"/>
        </w:rPr>
        <w:t xml:space="preserve">Změna umožní v předmětném území koordinovat územní rozvoj v přestavbovém území v souladu s koncepcí územního plánu a vytvoření územních předpokladů pro smíšené funkce, občanskou vybavenost a bydlení v území nadstandardně obslouženém VHD a v atraktivní poloze </w:t>
      </w:r>
      <w:r w:rsidR="00984D8C" w:rsidRPr="00111F34">
        <w:rPr>
          <w:rFonts w:cs="Arial"/>
          <w:szCs w:val="16"/>
        </w:rPr>
        <w:t>v rámci města s kvalitním přírodním zázemím</w:t>
      </w:r>
      <w:r w:rsidRPr="00111F34">
        <w:rPr>
          <w:rFonts w:cs="Arial"/>
          <w:szCs w:val="16"/>
        </w:rPr>
        <w:t xml:space="preserve">. </w:t>
      </w:r>
      <w:r w:rsidRPr="00111F34">
        <w:t xml:space="preserve">Změna významně rozvíjí možnosti bydlení </w:t>
      </w:r>
      <w:r w:rsidR="00701532" w:rsidRPr="00111F34">
        <w:t xml:space="preserve">a pracovních příležitostí </w:t>
      </w:r>
      <w:r w:rsidRPr="00111F34">
        <w:t xml:space="preserve">a s výjimkou nového zdroje </w:t>
      </w:r>
      <w:r w:rsidR="00984D8C" w:rsidRPr="00111F34">
        <w:t>hlukové zátěže</w:t>
      </w:r>
      <w:r w:rsidRPr="00111F34">
        <w:t xml:space="preserve"> (zde je třeba vnímat možnosti unikátní obsluhy území veřejnou hromadnou dopravou, snižující tlak na IAD) nebyly identifikovány </w:t>
      </w:r>
      <w:r w:rsidR="00984D8C" w:rsidRPr="00111F34">
        <w:t xml:space="preserve">podstatné </w:t>
      </w:r>
      <w:r w:rsidRPr="00111F34">
        <w:t xml:space="preserve">negativní vazby vůči environmentálnímu </w:t>
      </w:r>
      <w:r w:rsidR="00984D8C" w:rsidRPr="00111F34">
        <w:t xml:space="preserve">a sociálnímu </w:t>
      </w:r>
      <w:r w:rsidRPr="00111F34">
        <w:t>pilíři. V této souvislosti byl</w:t>
      </w:r>
      <w:r w:rsidR="00701532" w:rsidRPr="00111F34">
        <w:t xml:space="preserve">a </w:t>
      </w:r>
      <w:r w:rsidRPr="00111F34">
        <w:t>navržen</w:t>
      </w:r>
      <w:r w:rsidR="00701532" w:rsidRPr="00111F34">
        <w:t>a</w:t>
      </w:r>
      <w:r w:rsidRPr="00111F34">
        <w:t xml:space="preserve"> </w:t>
      </w:r>
      <w:r w:rsidR="00701532" w:rsidRPr="00111F34">
        <w:t>mi</w:t>
      </w:r>
      <w:r w:rsidR="003477F7" w:rsidRPr="00111F34">
        <w:t>nimalizační opatření</w:t>
      </w:r>
      <w:r w:rsidRPr="00111F34">
        <w:t>, kter</w:t>
      </w:r>
      <w:r w:rsidR="003477F7" w:rsidRPr="00111F34">
        <w:t>á</w:t>
      </w:r>
      <w:r w:rsidRPr="00111F34">
        <w:t xml:space="preserve"> je třeba uplatnit v navazujících řízeních.</w:t>
      </w:r>
    </w:p>
    <w:p w14:paraId="3D39A82B" w14:textId="77777777" w:rsidR="00EA2D1E" w:rsidRPr="00111F34" w:rsidRDefault="00EA2D1E" w:rsidP="003A1663">
      <w:pPr>
        <w:pStyle w:val="Podnadpis1"/>
      </w:pPr>
      <w:r w:rsidRPr="00111F34">
        <w:t>Nesoulad uvnitř environmentálního pilíře</w:t>
      </w:r>
      <w:bookmarkEnd w:id="420"/>
    </w:p>
    <w:p w14:paraId="4B66B42F" w14:textId="0D461650" w:rsidR="006C36AB" w:rsidRPr="00111F34" w:rsidRDefault="006C36AB" w:rsidP="006C36AB">
      <w:bookmarkStart w:id="421" w:name="_Toc496705187"/>
      <w:r w:rsidRPr="00111F34">
        <w:t>Změna je umístěna v hlukově zatíženém území, přičemž dává rámec pro realizaci nových zdrojů vyvolané dopravy</w:t>
      </w:r>
      <w:r w:rsidR="00984D8C" w:rsidRPr="00111F34">
        <w:t>, nových zdrojů hlukové zátěže</w:t>
      </w:r>
      <w:r w:rsidRPr="00111F34">
        <w:t xml:space="preserve"> a umístění hlukově chráněných prostor v hlukově zatíženém území. Na druhou</w:t>
      </w:r>
      <w:r w:rsidR="003477F7" w:rsidRPr="00111F34">
        <w:t xml:space="preserve"> stranu</w:t>
      </w:r>
      <w:r w:rsidRPr="00111F34">
        <w:t xml:space="preserve"> vytváří územní předpoklady pro realizaci </w:t>
      </w:r>
      <w:r w:rsidR="00984D8C" w:rsidRPr="00111F34">
        <w:t xml:space="preserve">bezemisní VHD, </w:t>
      </w:r>
      <w:r w:rsidRPr="00111F34">
        <w:t xml:space="preserve">bariérové zástavby jako ochrany před hlukem pronikajícím z přilehlých komunikací. </w:t>
      </w:r>
    </w:p>
    <w:p w14:paraId="40F7E365" w14:textId="77777777" w:rsidR="003477F7" w:rsidRPr="00111F34" w:rsidRDefault="006C36AB" w:rsidP="003477F7">
      <w:pPr>
        <w:pStyle w:val="Odrky1"/>
        <w:numPr>
          <w:ilvl w:val="0"/>
          <w:numId w:val="0"/>
        </w:numPr>
        <w:spacing w:before="120"/>
        <w:rPr>
          <w:lang w:eastAsia="cs-CZ"/>
        </w:rPr>
      </w:pPr>
      <w:r w:rsidRPr="00111F34">
        <w:t xml:space="preserve">Změna významně rozvíjí možnosti dopravní dostupnosti a s výjimkou potenciálu marginálního negativního vlivu na retenční schopnost území a rozšiřování působení tepelného ostrova města a mírně negativního vlivu se synergickým spolupůsobení z hlediska vložení dílčího zdroje vyvolané dopravy nebyly identifikovány </w:t>
      </w:r>
      <w:r w:rsidRPr="00111F34">
        <w:lastRenderedPageBreak/>
        <w:t xml:space="preserve">negativní vazby vůči environmentálnímu pilíři. </w:t>
      </w:r>
      <w:r w:rsidR="003477F7" w:rsidRPr="00111F34">
        <w:t>V této souvislosti byla navržena minimalizační opatření, která je třeba uplatnit v navazujících řízeních.</w:t>
      </w:r>
    </w:p>
    <w:p w14:paraId="720B0BC7" w14:textId="00DB648D" w:rsidR="00EA2D1E" w:rsidRPr="00111F34" w:rsidRDefault="00EA2D1E" w:rsidP="003477F7">
      <w:pPr>
        <w:pStyle w:val="Nadpis2"/>
      </w:pPr>
      <w:bookmarkStart w:id="422" w:name="_Toc138848164"/>
      <w:r w:rsidRPr="00111F34">
        <w:t>Shrnutí přínosu územního plánu k vytváření podmínek pro předcházení zjištěným rizikům ovlivňujícím potřeby života současné generace obyvatel řešeného území a předpokládaným ohrožením podmínek života generací budoucích</w:t>
      </w:r>
      <w:bookmarkEnd w:id="421"/>
      <w:bookmarkEnd w:id="422"/>
      <w:r w:rsidRPr="00111F34">
        <w:t xml:space="preserve"> </w:t>
      </w:r>
    </w:p>
    <w:p w14:paraId="6EA30651" w14:textId="77777777" w:rsidR="00EA2D1E" w:rsidRPr="00111F34" w:rsidRDefault="00EA2D1E" w:rsidP="00A67277">
      <w:pPr>
        <w:pStyle w:val="Nadpis3"/>
      </w:pPr>
      <w:bookmarkStart w:id="423" w:name="_Toc496705189"/>
      <w:bookmarkStart w:id="424" w:name="_Toc138848165"/>
      <w:r w:rsidRPr="00111F34">
        <w:t>Přínos předkládané ÚPD pro environmentální pilíř udržitelného rozvoje</w:t>
      </w:r>
      <w:bookmarkEnd w:id="423"/>
      <w:bookmarkEnd w:id="424"/>
      <w:r w:rsidRPr="00111F34">
        <w:t xml:space="preserve"> </w:t>
      </w:r>
    </w:p>
    <w:p w14:paraId="751C7187" w14:textId="77777777" w:rsidR="005B44E6" w:rsidRPr="00111F34" w:rsidRDefault="005B44E6" w:rsidP="005B44E6">
      <w:pPr>
        <w:rPr>
          <w:rFonts w:cs="Arial"/>
        </w:rPr>
      </w:pPr>
      <w:bookmarkStart w:id="425" w:name="_Toc496705190"/>
      <w:r w:rsidRPr="00111F34">
        <w:rPr>
          <w:rFonts w:cs="Arial"/>
        </w:rPr>
        <w:t>Návrh změny vytváří předpoklady realizace připravovaného komplexního rozvoje rezidenčních lokalit Nový Sedlec a Výhledy, stabilizace tramvajové trati a dopravního řešení v koordinaci s ostatními záměry v území. Cílem změny je vzájemně smysluplně provázat území Sedlce a Suchdola a propojit tuto lokalitu i s centrem Prahy.</w:t>
      </w:r>
    </w:p>
    <w:p w14:paraId="3BB38417" w14:textId="3771EAC4" w:rsidR="005B44E6" w:rsidRPr="00111F34" w:rsidRDefault="005B44E6" w:rsidP="006C36AB">
      <w:r w:rsidRPr="00111F34">
        <w:t>Klíčové vlivy v tomto případě jsou spojeny jak s využitím řešeného území pro navrhované funkce tj. zastavění dnes z části volné plochy v kontextu okolní zástavby, zintenzivnění využití území ve smyslu vložení nových rezidenčních a smíšených funkcí a veřejné vybavenosti, resp. změny intenzity jejich využití, které ale budou spojeny s vyvolanou dopravou a na druhou stranu přerozdělení dopravních zátěží v souvisejícím území v důsledku vybavení území kapacitní VHD, systémem záchytných parkovišť a souvisejícími záměry dobudování SOKP. Na druhou stranu dojde k zastavění dnes z části nezastavěného území včetně ploch se vzrostlou zelení a snížení retenční schopnosti krajiny, ovšem v území, kde jsou již dnes i v minulosti využity pro výrobní aktivity a těžbu a které je částečně zastavěno, resp. zpevněno. Území bude napojeno přímo na kapacitní dopravní infrastrukturu, nedojde k zavlečení vyvolané dopravy do přilehlých ulic a výjimkou vložení nové tramvajové trati do stávajících ulic.</w:t>
      </w:r>
    </w:p>
    <w:p w14:paraId="714D23E3" w14:textId="77777777" w:rsidR="006C36AB" w:rsidRPr="00111F34" w:rsidRDefault="006C36AB" w:rsidP="006C36AB">
      <w:r w:rsidRPr="00111F34">
        <w:t>Významně pozitivní působení v důsledku zintenzivnění využití vnitřního města v transformačním území jako prevence suburbanizace.</w:t>
      </w:r>
    </w:p>
    <w:p w14:paraId="774F2E13" w14:textId="6F3FE9D1" w:rsidR="006C36AB" w:rsidRPr="00111F34" w:rsidRDefault="006C36AB" w:rsidP="006C36AB">
      <w:r w:rsidRPr="00111F34">
        <w:t>Dojde k vytvoření územních předpokladů pro transformaci brownfields a území s dlouhodobě blokovaným rozvojem s předpokládaně spíše pozitivním vlivem na krajinný ráz na úrovni územního plánu s místním dopadem. Lze očekávat spíše pozitivní spolupůsobení v kontextu ostatních souvisejících projektů a strategických rozhodnutí v řešeném území (</w:t>
      </w:r>
      <w:r w:rsidR="001E767E" w:rsidRPr="00111F34">
        <w:t>dostavba SOKP a vybavení území kapacitní VHD a záchytnými kapacitami pro IAD ze Středočeského kraje</w:t>
      </w:r>
      <w:r w:rsidRPr="00111F34">
        <w:t xml:space="preserve">). </w:t>
      </w:r>
    </w:p>
    <w:p w14:paraId="19FC2A40" w14:textId="69E077E6" w:rsidR="001E65AB" w:rsidRPr="00111F34" w:rsidRDefault="006C36AB" w:rsidP="006C36AB">
      <w:r w:rsidRPr="00111F34">
        <w:t xml:space="preserve">V rámci vyhodnocení nebyly zjištěny takové skutečnosti, které by bránily implementaci navrhované změny v posuzované podobě do platného územního plánu. </w:t>
      </w:r>
      <w:r w:rsidR="001E65AB" w:rsidRPr="00111F34">
        <w:t>Pro zamezení negativním vlivům byla navržena opatření v rámci SEA i opatření obsažená ve vlastním územním plánu (</w:t>
      </w:r>
      <w:r w:rsidR="003477F7" w:rsidRPr="00111F34">
        <w:t xml:space="preserve">struktura, funkční využití a </w:t>
      </w:r>
      <w:r w:rsidR="001E65AB" w:rsidRPr="00111F34">
        <w:t>podmínky využití ploch), která budou doplněna opatřeními při následné projektové přípravě staveb umisťovaných v řešených plochách (orientace objektů vůči převažujícím zdrojům hluku, opatření na budovách).</w:t>
      </w:r>
    </w:p>
    <w:p w14:paraId="79ED993C" w14:textId="53D1B8A3" w:rsidR="001E65AB" w:rsidRPr="00111F34" w:rsidRDefault="001E65AB" w:rsidP="001E65AB">
      <w:r w:rsidRPr="00111F34">
        <w:t>V této souvislosti je třeba upozornit na skutečnost, že do území s již překročenými hlukovými limity nelze umisťovat takové záměry, které úroveň akustického tlaku ještě zvýší.</w:t>
      </w:r>
    </w:p>
    <w:p w14:paraId="38537B6E" w14:textId="77777777" w:rsidR="00EA2D1E" w:rsidRPr="00111F34" w:rsidRDefault="00EA2D1E" w:rsidP="00A67277">
      <w:pPr>
        <w:pStyle w:val="Nadpis3"/>
      </w:pPr>
      <w:bookmarkStart w:id="426" w:name="_Toc138848166"/>
      <w:r w:rsidRPr="00111F34">
        <w:t>Přínos předkládané ÚPD pro hospodářský rozvoj</w:t>
      </w:r>
      <w:bookmarkEnd w:id="425"/>
      <w:bookmarkEnd w:id="426"/>
      <w:r w:rsidRPr="00111F34">
        <w:t xml:space="preserve"> </w:t>
      </w:r>
    </w:p>
    <w:p w14:paraId="3EFCED2B" w14:textId="379FDEE5" w:rsidR="00D26693" w:rsidRPr="00111F34" w:rsidRDefault="00D26693" w:rsidP="00D26693">
      <w:r w:rsidRPr="00111F34">
        <w:t>Celkově se jedná o z hospodářského hlediska rychle se rozvíjející pól rozvoje s vůdčí pozicí především v oblastech high-tech oborů a terciérní sféry.</w:t>
      </w:r>
      <w:r w:rsidR="00BE5F01" w:rsidRPr="00111F34">
        <w:t xml:space="preserve"> Posuzovaná změna</w:t>
      </w:r>
      <w:r w:rsidR="00654469" w:rsidRPr="00111F34">
        <w:t xml:space="preserve"> územního plánu</w:t>
      </w:r>
      <w:r w:rsidR="001E65AB" w:rsidRPr="00111F34">
        <w:t xml:space="preserve"> </w:t>
      </w:r>
      <w:r w:rsidR="005B44E6" w:rsidRPr="00111F34">
        <w:t>nemá přímo</w:t>
      </w:r>
      <w:r w:rsidR="00BE5F01" w:rsidRPr="00111F34">
        <w:t xml:space="preserve"> pozitivní vliv</w:t>
      </w:r>
      <w:r w:rsidR="001E65AB" w:rsidRPr="00111F34">
        <w:t xml:space="preserve"> na hospodářský pilíř udržitelného rozvoje</w:t>
      </w:r>
      <w:r w:rsidR="005B44E6" w:rsidRPr="00111F34">
        <w:t>, zprostředkovaně může dojít ke dílčímu</w:t>
      </w:r>
      <w:r w:rsidR="00BE5F01" w:rsidRPr="00111F34">
        <w:t xml:space="preserve"> zlepšení </w:t>
      </w:r>
      <w:r w:rsidR="00E87D05" w:rsidRPr="00111F34">
        <w:t xml:space="preserve">nabídky pracovních příležitostí </w:t>
      </w:r>
      <w:r w:rsidR="005B44E6" w:rsidRPr="00111F34">
        <w:t>v terciéru</w:t>
      </w:r>
      <w:r w:rsidR="00BE5F01" w:rsidRPr="00111F34">
        <w:t xml:space="preserve"> a vytvoření předpokladů pro koordinované řešení transformace území jako celku</w:t>
      </w:r>
      <w:r w:rsidR="001E65AB" w:rsidRPr="00111F34">
        <w:t xml:space="preserve">. </w:t>
      </w:r>
      <w:r w:rsidR="00BE5F01" w:rsidRPr="00111F34">
        <w:t>Změna může</w:t>
      </w:r>
      <w:r w:rsidR="00D37C7F" w:rsidRPr="00111F34">
        <w:t xml:space="preserve"> nepřímo pozitivně přispět k rozvoji terciérní sféry.</w:t>
      </w:r>
      <w:r w:rsidR="00C16662" w:rsidRPr="00111F34">
        <w:t xml:space="preserve"> </w:t>
      </w:r>
      <w:r w:rsidR="005B44E6" w:rsidRPr="00111F34">
        <w:t xml:space="preserve">Na druhou stranu dojde </w:t>
      </w:r>
      <w:r w:rsidR="004D52C0" w:rsidRPr="00111F34">
        <w:t xml:space="preserve">k </w:t>
      </w:r>
      <w:r w:rsidR="005B44E6" w:rsidRPr="00111F34">
        <w:t>nahrazení ploch DH a výroby, které jsou v současnosti již v této poloze nežádoucí, plochami s převážně rezidenční a smíšenou funkcí.</w:t>
      </w:r>
    </w:p>
    <w:p w14:paraId="6F47C417" w14:textId="77777777" w:rsidR="00EA2D1E" w:rsidRPr="00111F34" w:rsidRDefault="00EA2D1E" w:rsidP="00A67277">
      <w:pPr>
        <w:pStyle w:val="Nadpis3"/>
      </w:pPr>
      <w:bookmarkStart w:id="427" w:name="_Toc496705191"/>
      <w:bookmarkStart w:id="428" w:name="_Toc138848167"/>
      <w:r w:rsidRPr="00111F34">
        <w:t>Přínos předkládané ÚPD pro sociální vztahy a podmínky</w:t>
      </w:r>
      <w:bookmarkEnd w:id="427"/>
      <w:bookmarkEnd w:id="428"/>
      <w:r w:rsidRPr="00111F34">
        <w:t xml:space="preserve"> </w:t>
      </w:r>
    </w:p>
    <w:p w14:paraId="13511735" w14:textId="09BF69A8" w:rsidR="00D26693" w:rsidRPr="00111F34" w:rsidRDefault="00D26693" w:rsidP="00D26693">
      <w:bookmarkStart w:id="429" w:name="_Toc496705192"/>
      <w:r w:rsidRPr="00111F34">
        <w:t>Funkce bydlení je ve městě stabilizována a nová výstavba probíhá postupně v návaznosti na zastavěné území jednotlivých center a v lokalitách přestaveb, předkládan</w:t>
      </w:r>
      <w:r w:rsidR="00BE5F01" w:rsidRPr="00111F34">
        <w:t>á</w:t>
      </w:r>
      <w:r w:rsidRPr="00111F34">
        <w:t xml:space="preserve"> změn</w:t>
      </w:r>
      <w:r w:rsidR="00BE5F01" w:rsidRPr="00111F34">
        <w:t>a</w:t>
      </w:r>
      <w:r w:rsidRPr="00111F34">
        <w:t xml:space="preserve"> </w:t>
      </w:r>
      <w:r w:rsidR="00086129" w:rsidRPr="00111F34">
        <w:t>tuto skutečnost dále rozvíjí</w:t>
      </w:r>
      <w:r w:rsidR="00BE5F01" w:rsidRPr="00111F34">
        <w:t xml:space="preserve">. </w:t>
      </w:r>
      <w:r w:rsidR="006C36AB" w:rsidRPr="00111F34">
        <w:rPr>
          <w:rFonts w:cs="Arial"/>
          <w:szCs w:val="16"/>
        </w:rPr>
        <w:t>J</w:t>
      </w:r>
      <w:r w:rsidR="00BE5F01" w:rsidRPr="00111F34">
        <w:rPr>
          <w:rFonts w:cs="Arial"/>
          <w:szCs w:val="16"/>
        </w:rPr>
        <w:t xml:space="preserve">edná se </w:t>
      </w:r>
      <w:r w:rsidR="001E767E" w:rsidRPr="00111F34">
        <w:rPr>
          <w:rFonts w:cs="Arial"/>
          <w:szCs w:val="16"/>
        </w:rPr>
        <w:t>transformační</w:t>
      </w:r>
      <w:r w:rsidR="00BE5F01" w:rsidRPr="00111F34">
        <w:rPr>
          <w:rFonts w:cs="Arial"/>
          <w:szCs w:val="16"/>
        </w:rPr>
        <w:t xml:space="preserve"> území</w:t>
      </w:r>
      <w:r w:rsidR="003477F7" w:rsidRPr="00111F34">
        <w:rPr>
          <w:rFonts w:cs="Arial"/>
          <w:szCs w:val="16"/>
        </w:rPr>
        <w:t xml:space="preserve"> v</w:t>
      </w:r>
      <w:r w:rsidR="001E767E" w:rsidRPr="00111F34">
        <w:rPr>
          <w:rFonts w:cs="Arial"/>
          <w:szCs w:val="16"/>
        </w:rPr>
        <w:t> atraktivní poloze</w:t>
      </w:r>
      <w:r w:rsidR="00BE5F01" w:rsidRPr="00111F34">
        <w:rPr>
          <w:rFonts w:cs="Arial"/>
          <w:szCs w:val="16"/>
        </w:rPr>
        <w:t xml:space="preserve"> </w:t>
      </w:r>
      <w:r w:rsidR="004D52C0" w:rsidRPr="00111F34">
        <w:rPr>
          <w:rFonts w:cs="Arial"/>
          <w:szCs w:val="16"/>
        </w:rPr>
        <w:t>s výjimečným přírodním i rekreačním zázemím a dobrou dopravní dostupností</w:t>
      </w:r>
      <w:r w:rsidR="001E767E" w:rsidRPr="00111F34">
        <w:rPr>
          <w:rFonts w:cs="Arial"/>
          <w:szCs w:val="16"/>
        </w:rPr>
        <w:t>. Návrh změny má za cíl vytvoření komplexní čtvrti s převahou rezidenčních funkcí ve vnitřním městě</w:t>
      </w:r>
      <w:r w:rsidR="00BE5F01" w:rsidRPr="00111F34">
        <w:rPr>
          <w:rFonts w:cs="Arial"/>
          <w:szCs w:val="16"/>
        </w:rPr>
        <w:t xml:space="preserve"> s mixem funkcí propojující ekonomickou aktivitu v terciéru s kvalitním bydlením</w:t>
      </w:r>
      <w:r w:rsidR="001E767E" w:rsidRPr="00111F34">
        <w:rPr>
          <w:rFonts w:cs="Arial"/>
          <w:szCs w:val="16"/>
        </w:rPr>
        <w:t xml:space="preserve"> nabídkou občanské </w:t>
      </w:r>
      <w:r w:rsidR="001E767E" w:rsidRPr="00111F34">
        <w:rPr>
          <w:rFonts w:cs="Arial"/>
          <w:szCs w:val="16"/>
        </w:rPr>
        <w:lastRenderedPageBreak/>
        <w:t>vybavenosti</w:t>
      </w:r>
      <w:r w:rsidR="00BE5F01" w:rsidRPr="00111F34">
        <w:rPr>
          <w:rFonts w:cs="Arial"/>
          <w:szCs w:val="16"/>
        </w:rPr>
        <w:t xml:space="preserve">, dobrou dopravní dostupností i možnostmi komunitního života a trávení volného času obyvatel. </w:t>
      </w:r>
      <w:r w:rsidR="001E767E" w:rsidRPr="00111F34">
        <w:rPr>
          <w:rFonts w:cs="Arial"/>
          <w:szCs w:val="16"/>
        </w:rPr>
        <w:t>Změna umožní v předmětném území realizovat dopravní stavby v souladu s koncepcí územního plánu. Zároveň jsou vytvářeny územní předpoklady pro vybavení území veřejnou vybaveností v podobě školských zařízení.</w:t>
      </w:r>
    </w:p>
    <w:p w14:paraId="02F1971A" w14:textId="64F9E905" w:rsidR="006C36AB" w:rsidRPr="00111F34" w:rsidRDefault="006C36AB" w:rsidP="00D26693">
      <w:r w:rsidRPr="00111F34">
        <w:t xml:space="preserve">Významně pozitivní vliv zvýšení nabídky smíšených ploch </w:t>
      </w:r>
      <w:r w:rsidR="004D52C0" w:rsidRPr="00111F34">
        <w:t>a</w:t>
      </w:r>
      <w:r w:rsidRPr="00111F34">
        <w:t xml:space="preserve"> bydlení v přestavbovém území jako prevence suburbanizace v souladu s principy města krátkých vzdáleností. Dojde k vytvoření územních předpokladů pro realizaci zástavby </w:t>
      </w:r>
      <w:r w:rsidR="003D6474" w:rsidRPr="00111F34">
        <w:t xml:space="preserve">ucelující a dotvářející dosud rozháraný obraz i funkce této části města </w:t>
      </w:r>
      <w:r w:rsidRPr="00111F34">
        <w:t xml:space="preserve">a vytvoření </w:t>
      </w:r>
      <w:r w:rsidR="001E767E" w:rsidRPr="00111F34">
        <w:t>nové zástavby s převážně rezidenční funkcí</w:t>
      </w:r>
      <w:r w:rsidRPr="00111F34">
        <w:t xml:space="preserve"> s unikátní polohou v rámci města i dopravní obslužností. </w:t>
      </w:r>
    </w:p>
    <w:p w14:paraId="28F3FD69" w14:textId="3A6EB097" w:rsidR="00D26693" w:rsidRPr="00111F34" w:rsidRDefault="00D26693" w:rsidP="00D26693">
      <w:r w:rsidRPr="00111F34">
        <w:t xml:space="preserve">Celkově lze konstatovat, že </w:t>
      </w:r>
      <w:r w:rsidR="00BE5F01" w:rsidRPr="00111F34">
        <w:t>změna</w:t>
      </w:r>
      <w:r w:rsidR="00654469" w:rsidRPr="00111F34">
        <w:t xml:space="preserve"> územního plánu</w:t>
      </w:r>
      <w:r w:rsidRPr="00111F34">
        <w:t xml:space="preserve"> dáv</w:t>
      </w:r>
      <w:r w:rsidR="00BE5F01" w:rsidRPr="00111F34">
        <w:t>á</w:t>
      </w:r>
      <w:r w:rsidRPr="00111F34">
        <w:t xml:space="preserve"> rámec pro, vzhledem k demografické situaci a stávajícím trendům v území, přiměřený budoucí rozvoj města tak, aby byly v maximální míře respektovány hodnoty a limity území</w:t>
      </w:r>
      <w:r w:rsidR="003D6474" w:rsidRPr="00111F34">
        <w:t>,</w:t>
      </w:r>
      <w:r w:rsidRPr="00111F34">
        <w:t xml:space="preserve"> a přitom poskytnuty vhodné podmínky pro kvalitu bydlení</w:t>
      </w:r>
      <w:r w:rsidR="00D37C7F" w:rsidRPr="00111F34">
        <w:t xml:space="preserve"> a rekreace obyvatel</w:t>
      </w:r>
      <w:r w:rsidRPr="00111F34">
        <w:t xml:space="preserve">. V této souvislosti byla navržena opatření pro zmírnění negativních dopadů případné realizace změn zejména ve vztahu </w:t>
      </w:r>
      <w:r w:rsidR="00BE5F01" w:rsidRPr="00111F34">
        <w:t>k</w:t>
      </w:r>
      <w:r w:rsidRPr="00111F34">
        <w:t xml:space="preserve"> hlukově chráněným prostorům. </w:t>
      </w:r>
    </w:p>
    <w:p w14:paraId="45A5E1F5" w14:textId="77777777" w:rsidR="00EA2D1E" w:rsidRPr="00111F34" w:rsidRDefault="00EA2D1E" w:rsidP="00A67277">
      <w:pPr>
        <w:pStyle w:val="Nadpis3"/>
      </w:pPr>
      <w:bookmarkStart w:id="430" w:name="_Toc138848168"/>
      <w:r w:rsidRPr="00111F34">
        <w:t>Zohlednění hodnot kulturního dědictví</w:t>
      </w:r>
      <w:bookmarkEnd w:id="429"/>
      <w:bookmarkEnd w:id="430"/>
      <w:r w:rsidRPr="00111F34">
        <w:t xml:space="preserve"> </w:t>
      </w:r>
    </w:p>
    <w:p w14:paraId="59AF1C7C" w14:textId="357B5172" w:rsidR="001E767E" w:rsidRPr="00111F34" w:rsidRDefault="001E767E" w:rsidP="001E767E">
      <w:pPr>
        <w:rPr>
          <w:szCs w:val="20"/>
        </w:rPr>
      </w:pPr>
      <w:r w:rsidRPr="00111F34">
        <w:rPr>
          <w:szCs w:val="20"/>
        </w:rPr>
        <w:t>Řešené územ zasahuje do území městské památkové rezervace.</w:t>
      </w:r>
    </w:p>
    <w:p w14:paraId="4CA97849" w14:textId="40F6DDFD" w:rsidR="001E767E" w:rsidRPr="00111F34" w:rsidRDefault="001E767E" w:rsidP="001E767E">
      <w:pPr>
        <w:rPr>
          <w:szCs w:val="20"/>
        </w:rPr>
      </w:pPr>
      <w:r w:rsidRPr="00111F34">
        <w:rPr>
          <w:szCs w:val="20"/>
        </w:rPr>
        <w:t xml:space="preserve">Přímo v řešených plochách se nenacházejí žádné kulturní nemovité památky a plochy zapsané v ústředním seznamu kulturních památek ani architektonicky nebo kulturně cenné stavby. </w:t>
      </w:r>
    </w:p>
    <w:p w14:paraId="1C78794A" w14:textId="55C45080" w:rsidR="001E767E" w:rsidRPr="00111F34" w:rsidRDefault="001E767E" w:rsidP="001E767E">
      <w:pPr>
        <w:rPr>
          <w:szCs w:val="20"/>
        </w:rPr>
      </w:pPr>
      <w:r w:rsidRPr="00111F34">
        <w:rPr>
          <w:szCs w:val="20"/>
        </w:rPr>
        <w:t xml:space="preserve">Nejblíže se nachází Viadukt železniční tratě Praha Bubeneč – Kralupy na Vltavou – Děčín, jako součást železniční trati v souvisejícím území. Nemovitá kulturní památka Viadukt železniční tratě Praha </w:t>
      </w:r>
      <w:r w:rsidR="00C51945" w:rsidRPr="00111F34">
        <w:rPr>
          <w:szCs w:val="20"/>
        </w:rPr>
        <w:t>Bubeneč – Kralupy</w:t>
      </w:r>
      <w:r w:rsidRPr="00111F34">
        <w:rPr>
          <w:szCs w:val="20"/>
        </w:rPr>
        <w:t xml:space="preserve"> nad Vltavou – Děčín, katalogové číslo   č. 1903221187 byl vyhlášen za kulturní památku v roce 2002. Jedná se o viadukt na pozemků p.č 4151 v k.ú. Dejvice a p.č. 557 </w:t>
      </w:r>
      <w:proofErr w:type="spellStart"/>
      <w:r w:rsidRPr="00111F34">
        <w:rPr>
          <w:szCs w:val="20"/>
        </w:rPr>
        <w:t>k.p</w:t>
      </w:r>
      <w:proofErr w:type="spellEnd"/>
      <w:r w:rsidRPr="00111F34">
        <w:rPr>
          <w:szCs w:val="20"/>
        </w:rPr>
        <w:t>. Sedlec, součást severní pražsko – drážďanské dráhy z roku1850. Jedná se o technickou stavbu v duchu pozdního klasicismu, kombinující půlkruhově zaklenuté boční tunely a střední segmentový mostní oblouk nad potokem. Z hlediska posuzované změny územního plánu bez přímého dotčení, jsou vytvářeny územní předpoklady pro vedení tramvajové trati v prostoru, mezi stávající ulici Podbabskou a železniční tratí, to znamená dílčí rozšíření plochy S2 v kontaktu s tímto viaduktem. V navazujících řízeních je tak třeba zajisti nejen fyzické zachování nemovité kulturní památky, ale i zachování jejího charakteru z vizuálního hlediska, tomu je třeba přizpůsobit technické řešení stavby. V této souvislosti byly navrženy požadavky na rozhodování v území, které vyplynuly ze SEA, viz. kapitola A.XI.</w:t>
      </w:r>
    </w:p>
    <w:p w14:paraId="56F91733" w14:textId="77777777" w:rsidR="001E767E" w:rsidRPr="00111F34" w:rsidRDefault="00D26693" w:rsidP="00BD7256">
      <w:r w:rsidRPr="00111F34">
        <w:t>Realizací záměrů, kterým dáv</w:t>
      </w:r>
      <w:r w:rsidR="00BE5F01" w:rsidRPr="00111F34">
        <w:t>á</w:t>
      </w:r>
      <w:r w:rsidRPr="00111F34">
        <w:t xml:space="preserve"> </w:t>
      </w:r>
      <w:r w:rsidR="00BE5F01" w:rsidRPr="00111F34">
        <w:t>posuzovaná změna</w:t>
      </w:r>
      <w:r w:rsidR="001A726B" w:rsidRPr="00111F34">
        <w:t xml:space="preserve"> </w:t>
      </w:r>
      <w:r w:rsidR="00654469" w:rsidRPr="00111F34">
        <w:t>územního plánu</w:t>
      </w:r>
      <w:r w:rsidRPr="00111F34">
        <w:t xml:space="preserve"> rámec, může při zemních pracích potenciálně dojít k narušení archeologických struktur. V takovém případě je nutné v souladu s ustanoveními zákona č. 20/1987 Sb., o státní památkové péči, ve znění pozdějších předpisů, zajistit záchranný archeologický průzkum. </w:t>
      </w:r>
    </w:p>
    <w:p w14:paraId="7EC4EF06" w14:textId="56B8B60C" w:rsidR="00D26693" w:rsidRPr="00111F34" w:rsidRDefault="001E767E" w:rsidP="00BD7256">
      <w:r w:rsidRPr="00111F34">
        <w:t>Vliv změny na urbanistický ráz území bude záviset na architektonickém a hmotovém pojetí zástavby. Jsou vytvářeny územní předpoklady pro zlepšení estetických kvalit území a transformaci brownfields. Vytvořeny územní předpoklady pro vznik nových ploch veřejné zeleně.</w:t>
      </w:r>
    </w:p>
    <w:p w14:paraId="6412ACB8" w14:textId="5BD7B05B" w:rsidR="00D26693" w:rsidRPr="00111F34" w:rsidRDefault="00D26693" w:rsidP="00D26693">
      <w:pPr>
        <w:pStyle w:val="Nadpis3"/>
      </w:pPr>
      <w:bookmarkStart w:id="431" w:name="_Toc138848169"/>
      <w:r w:rsidRPr="00111F34">
        <w:t>Podmínky pro přiměřený rozvoj města</w:t>
      </w:r>
      <w:bookmarkEnd w:id="431"/>
      <w:r w:rsidRPr="00111F34">
        <w:t xml:space="preserve"> </w:t>
      </w:r>
    </w:p>
    <w:p w14:paraId="72C70E88" w14:textId="77777777" w:rsidR="00AC559F" w:rsidRPr="00111F34" w:rsidRDefault="00AC559F" w:rsidP="00AC559F">
      <w:pPr>
        <w:rPr>
          <w:rFonts w:cs="Arial"/>
        </w:rPr>
      </w:pPr>
      <w:r w:rsidRPr="00111F34">
        <w:rPr>
          <w:rFonts w:cs="Arial"/>
        </w:rPr>
        <w:t>Návrh změny byl na základě schváleného návrhu na pořízení změny zpracován invariantně. Změna byla zpracována na základě urbanistické studie Nový Sedlec, zpracovatel IPR Praha, 12/2021.</w:t>
      </w:r>
    </w:p>
    <w:p w14:paraId="24176133" w14:textId="1C0B263F" w:rsidR="00B50A02" w:rsidRPr="00111F34" w:rsidRDefault="00B50A02" w:rsidP="00AC559F">
      <w:pPr>
        <w:rPr>
          <w:rFonts w:cs="Arial"/>
        </w:rPr>
      </w:pPr>
      <w:r w:rsidRPr="00111F34">
        <w:rPr>
          <w:rFonts w:cs="Arial"/>
        </w:rPr>
        <w:t>V současném stavu převažují v území Nového Sedlce objekty s produkční zátěží, po kterých již v současnosti v tomto místě není poptávka. Oblast Výhledů je momentálně nezastavěnou prolukou v rámci struktury městské části Praha – Suchdol, která bude do značné míry ovlivněna trasováním Pražského okruhu a s ním spojenými nutnými přeložkami. Zpracovaný návrh si klade za cíl dotvořit okolí plánované tramvajové trati.</w:t>
      </w:r>
    </w:p>
    <w:p w14:paraId="0EA33D50" w14:textId="304772FB" w:rsidR="00B50A02" w:rsidRPr="00111F34" w:rsidRDefault="00B50A02" w:rsidP="00B50A02">
      <w:pPr>
        <w:rPr>
          <w:rFonts w:cs="Arial"/>
        </w:rPr>
      </w:pPr>
      <w:r w:rsidRPr="00111F34">
        <w:rPr>
          <w:rFonts w:cs="Arial"/>
        </w:rPr>
        <w:t>Z hlediska struktury navrhovaných veřejných prostranství a využití plánované zástavby bude mít území převažující obytné využití. V rámci čtvrti je počítáno s umístěním občanské vybavenosti v kontaktu s přírodními a parkovými plochami.</w:t>
      </w:r>
    </w:p>
    <w:p w14:paraId="4012C899" w14:textId="626D4758" w:rsidR="00B50A02" w:rsidRPr="00111F34" w:rsidRDefault="00B50A02" w:rsidP="00B50A02">
      <w:pPr>
        <w:rPr>
          <w:rFonts w:cs="Arial"/>
        </w:rPr>
      </w:pPr>
      <w:r w:rsidRPr="00111F34">
        <w:rPr>
          <w:rFonts w:cs="Arial"/>
        </w:rPr>
        <w:t>Plochy pro mateřské školy, kulturní a komunitní centra, lékařskou vybavenost a poštu jsou spolu s komerční vybaveností ve výkrese vymezeny značkou. V takto vymezených blocích je vyžadována souběžná nebo předběžná realizace příslušného veřejného vybavení, případně rezervace pozemku pro budoucí vybavenost jako podmínka zástavby bloku. Preferována je realizace daného vybavení jako součást polyfunkční budovy.</w:t>
      </w:r>
    </w:p>
    <w:p w14:paraId="57C8F3B1" w14:textId="076754DC" w:rsidR="00BE4A30" w:rsidRPr="00111F34" w:rsidRDefault="00BE4A30" w:rsidP="00BE4A30">
      <w:pPr>
        <w:rPr>
          <w:rFonts w:cs="Arial"/>
        </w:rPr>
      </w:pPr>
      <w:r w:rsidRPr="00111F34">
        <w:rPr>
          <w:rFonts w:cs="Arial"/>
        </w:rPr>
        <w:lastRenderedPageBreak/>
        <w:t>Pro sport a rekreaci studie potvrzuje stávající plochu SP v lokalitě Výhledy. Dále do této kategorie řadí i objekt Brandejsova statku, který by měl v budoucnu sloužit jako zázemí pro plánovaný agropark. V oblasti Nového Sedlce je možno pro sport a rekreaci využít západní trojúhelníkovou část bloku v návaznosti na občanskou vybavenost – školské zařízení, která by měla sloužit jako otevřený přírodní volnočasový areál.</w:t>
      </w:r>
    </w:p>
    <w:p w14:paraId="222F3372" w14:textId="1C012C60" w:rsidR="00BE4A30" w:rsidRPr="00111F34" w:rsidRDefault="00BE4A30" w:rsidP="00BE4A30">
      <w:r w:rsidRPr="00111F34">
        <w:t>Jako městský park lokálního významu jsou ve studii řešeny nestavební bloky v oblasti Nový Sedlec a Výhledy. Oba parky by měly mít s ohledem na navazující krajinu a sousední chráněné oblasti převládající přírodní charakter.</w:t>
      </w:r>
    </w:p>
    <w:p w14:paraId="3DB1264D" w14:textId="77777777" w:rsidR="00BE4A30" w:rsidRPr="00111F34" w:rsidRDefault="00BE4A30" w:rsidP="00BE4A30">
      <w:r w:rsidRPr="00111F34">
        <w:t xml:space="preserve">Řešené území je možno označit jako transformační (oblast Nového Sedlce) či rozvojové (Výhledy) a v budoucnu by mělo navázat na stabilní strukturu okolních sídel a doplnit jejich kompozici. </w:t>
      </w:r>
    </w:p>
    <w:p w14:paraId="2241085F" w14:textId="77777777" w:rsidR="00BE4A30" w:rsidRPr="00111F34" w:rsidRDefault="00BE4A30" w:rsidP="00BE4A30">
      <w:r w:rsidRPr="00111F34">
        <w:t xml:space="preserve">Nový Sedlec </w:t>
      </w:r>
    </w:p>
    <w:p w14:paraId="74101532" w14:textId="5017205A" w:rsidR="00BE4A30" w:rsidRPr="00111F34" w:rsidRDefault="00BE4A30" w:rsidP="00BE4A30">
      <w:pPr>
        <w:rPr>
          <w:rFonts w:cs="Arial"/>
        </w:rPr>
      </w:pPr>
      <w:r w:rsidRPr="00111F34">
        <w:t>Dle navržené urbanistické struktury a její výšky byly odvozeny kapacity nové zástavby v celkovém souhrnu cca 230 000 m</w:t>
      </w:r>
      <w:r w:rsidRPr="00111F34">
        <w:rPr>
          <w:vertAlign w:val="superscript"/>
        </w:rPr>
        <w:t>2</w:t>
      </w:r>
      <w:r w:rsidRPr="00111F34">
        <w:t xml:space="preserve"> hrubých podlažních ploch (přibližně 70 % bydlení), z nichž lze odhadnout, že potenciál řešeného území dává reálnou možnost pro přítomnost cca 3 300 obyvatel a cca 1 600 návštěvníků/pracovních míst.</w:t>
      </w:r>
    </w:p>
    <w:p w14:paraId="5AB54683" w14:textId="77777777" w:rsidR="00BE4A30" w:rsidRPr="00111F34" w:rsidRDefault="00BE4A30" w:rsidP="00A42C0F">
      <w:r w:rsidRPr="00111F34">
        <w:t xml:space="preserve">Výhledy </w:t>
      </w:r>
    </w:p>
    <w:p w14:paraId="2C1D0CA1" w14:textId="77777777" w:rsidR="00083E15" w:rsidRPr="00111F34" w:rsidRDefault="00BE4A30" w:rsidP="00A42C0F">
      <w:r w:rsidRPr="00111F34">
        <w:t>Dle navrhované výšky a urbanistické struktury byly kapacity nové zástavby v této oblasti odvozeny v celkovém souhrnu cca 63 000 m</w:t>
      </w:r>
      <w:r w:rsidRPr="00111F34">
        <w:rPr>
          <w:vertAlign w:val="superscript"/>
        </w:rPr>
        <w:t>2</w:t>
      </w:r>
      <w:r w:rsidRPr="00111F34">
        <w:t xml:space="preserve"> hrubých podlažních ploch (přibližně 50 % bydlení). Z toho lze odhadnout, že potenciál řešeného území dává reálnou možnost pro přítomnost cca 700 obyvatel a cca 900 návštěvníků/pracovních míst. </w:t>
      </w:r>
    </w:p>
    <w:p w14:paraId="5386B56B" w14:textId="0EEB834A" w:rsidR="00BE4A30" w:rsidRPr="00111F34" w:rsidRDefault="00BE4A30" w:rsidP="00A42C0F">
      <w:r w:rsidRPr="00111F34">
        <w:t>Kapacity zástavby navržené pro změnu územního plánu Z3827</w:t>
      </w:r>
      <w:r w:rsidR="00A35528">
        <w:t>/00</w:t>
      </w:r>
      <w:r w:rsidRPr="00111F34">
        <w:t xml:space="preserve"> byly odvozeny z hypotetické zástavby umožněné regulací navržených stavebních bloků</w:t>
      </w:r>
      <w:r w:rsidR="00083E15" w:rsidRPr="00111F34">
        <w:t>.</w:t>
      </w:r>
    </w:p>
    <w:p w14:paraId="1110DCE9" w14:textId="1636B283" w:rsidR="00BE4A30" w:rsidRPr="00111F34" w:rsidRDefault="00BE4A30" w:rsidP="00A42C0F">
      <w:pPr>
        <w:rPr>
          <w:rFonts w:cs="Arial"/>
        </w:rPr>
      </w:pPr>
      <w:r w:rsidRPr="00111F34">
        <w:t xml:space="preserve">Krajina ve styku se zástavbou je dělena na menší krajinné celky s doplněním vegetačních prvků bránících erozi a podporujících vsakování srážkové vody (aleje, větrolamy, sady, menší plochy polí, nové přírodě blízké plochy). </w:t>
      </w:r>
    </w:p>
    <w:p w14:paraId="5184E05B" w14:textId="4A068867" w:rsidR="007654DF" w:rsidRPr="00111F34" w:rsidRDefault="007654DF" w:rsidP="007654DF">
      <w:pPr>
        <w:rPr>
          <w:rFonts w:cs="Arial"/>
        </w:rPr>
      </w:pPr>
      <w:r w:rsidRPr="00111F34">
        <w:rPr>
          <w:rFonts w:cs="Arial"/>
        </w:rPr>
        <w:t xml:space="preserve">Změna navrhuje zastavitelné plochy </w:t>
      </w:r>
      <w:r w:rsidR="00C13A98" w:rsidRPr="00111F34">
        <w:rPr>
          <w:rFonts w:cs="Arial"/>
        </w:rPr>
        <w:t xml:space="preserve">v </w:t>
      </w:r>
      <w:r w:rsidRPr="00111F34">
        <w:rPr>
          <w:rFonts w:cs="Arial"/>
        </w:rPr>
        <w:t>rozsahu 133 083 m</w:t>
      </w:r>
      <w:r w:rsidRPr="00111F34">
        <w:rPr>
          <w:rFonts w:cs="Arial"/>
          <w:vertAlign w:val="superscript"/>
        </w:rPr>
        <w:t>2</w:t>
      </w:r>
      <w:r w:rsidRPr="00111F34">
        <w:rPr>
          <w:rFonts w:cs="Arial"/>
        </w:rPr>
        <w:t>. Oproti tomu návrh změny navrhuje plochy nezastavitelné a tímto ruší zastavitelné plochy v rozsahu 31 244 m</w:t>
      </w:r>
      <w:r w:rsidRPr="00111F34">
        <w:rPr>
          <w:rFonts w:cs="Arial"/>
          <w:vertAlign w:val="superscript"/>
        </w:rPr>
        <w:t>2</w:t>
      </w:r>
      <w:r w:rsidRPr="00111F34">
        <w:rPr>
          <w:rFonts w:cs="Arial"/>
        </w:rPr>
        <w:t>. Finálně je ve změně navrhován nárůst zastavitelných ploch v rozsahu 101 839 m</w:t>
      </w:r>
      <w:r w:rsidRPr="00111F34">
        <w:rPr>
          <w:rFonts w:cs="Arial"/>
          <w:vertAlign w:val="superscript"/>
        </w:rPr>
        <w:t>2</w:t>
      </w:r>
      <w:r w:rsidRPr="00111F34">
        <w:rPr>
          <w:rFonts w:cs="Arial"/>
        </w:rPr>
        <w:t>. Nárůst zastavitelných ploch je dle návrhu odůvodnitelný veřejnou prospěšností vytvoření komplexního sídla s dostatkem veřejného vybavení v návaznosti na tramvajovou trať. Zároveň je ponechán volně přístupný okraj přírodní památky Podbabské skály, který navazuje na nově založený hlavní park, jenž je navržen v místě jedné z dnes nejvyšších navážek. Vymezení zastavitelných ploch je prověřeno urbanistickou studií Nový Sedlec.</w:t>
      </w:r>
    </w:p>
    <w:p w14:paraId="3A76C781" w14:textId="3C930386" w:rsidR="007654DF" w:rsidRPr="00111F34" w:rsidRDefault="007654DF" w:rsidP="007654DF">
      <w:pPr>
        <w:rPr>
          <w:rFonts w:cs="Arial"/>
        </w:rPr>
      </w:pPr>
      <w:r w:rsidRPr="00111F34">
        <w:rPr>
          <w:rFonts w:cs="Arial"/>
        </w:rPr>
        <w:t xml:space="preserve">Při vyústění tunelu přivaděče Rybářka je na základě prověření jednotlivých variant a jejich důsledků navrženo přesunutí aktuální plochy sběrné komunikace městského významu /S2/ (součást VPS 3IDKI47) východním směrem a doplnění plochy /SV-B/. V oblasti Nového Sedlce došlo </w:t>
      </w:r>
      <w:r w:rsidR="00083E15" w:rsidRPr="00111F34">
        <w:rPr>
          <w:rFonts w:cs="Arial"/>
        </w:rPr>
        <w:t>ke</w:t>
      </w:r>
      <w:r w:rsidRPr="00111F34">
        <w:rPr>
          <w:rFonts w:cs="Arial"/>
        </w:rPr>
        <w:t xml:space="preserve"> vložení nového lokálního biocentra </w:t>
      </w:r>
      <w:r w:rsidR="00083E15" w:rsidRPr="00111F34">
        <w:rPr>
          <w:rFonts w:cs="Arial"/>
        </w:rPr>
        <w:t xml:space="preserve">do stávajícího </w:t>
      </w:r>
      <w:r w:rsidR="00C51945" w:rsidRPr="00111F34">
        <w:rPr>
          <w:rFonts w:cs="Arial"/>
        </w:rPr>
        <w:t>biokoridoru.</w:t>
      </w:r>
    </w:p>
    <w:p w14:paraId="719FD5DA" w14:textId="77777777" w:rsidR="007654DF" w:rsidRPr="00111F34" w:rsidRDefault="007654DF" w:rsidP="007654DF">
      <w:pPr>
        <w:rPr>
          <w:rFonts w:cs="Arial"/>
        </w:rPr>
      </w:pPr>
      <w:r w:rsidRPr="00111F34">
        <w:rPr>
          <w:rFonts w:cs="Arial"/>
        </w:rPr>
        <w:t xml:space="preserve">Cílem návrhu změny je vytvořit kvalitní prostředí pro bydlení, a to zejména tvorbou navzájem propojených funkčních veřejných prostranství s vysokou pobytovou hodnotou a logickou hierarchií, které podpoří vzájemnou sociální kontrolu a vznik komunitního života na různých úrovních. Kvalitu života zvýší i doplňovaná potřebná veřejná vybavenost, která spolu s propojenou sítí cest pro pěší a cyklisty pomůže přispět k tvorbě města krátkých vzdáleností. </w:t>
      </w:r>
    </w:p>
    <w:p w14:paraId="1BDC0163" w14:textId="77777777" w:rsidR="007654DF" w:rsidRPr="00111F34" w:rsidRDefault="007654DF" w:rsidP="007654DF">
      <w:pPr>
        <w:rPr>
          <w:rFonts w:cs="Arial"/>
        </w:rPr>
      </w:pPr>
      <w:r w:rsidRPr="00111F34">
        <w:rPr>
          <w:rFonts w:cs="Arial"/>
        </w:rPr>
        <w:t xml:space="preserve">Změna pozitivně ovlivňuje širší území a má vliv na okolní obce tím, že rozšiřuje možnosti využívat veřejnou kolejovou dopravu. Návrh tramvajové trati představuje zkvalitnění životního prostředí omezením individuální automobilové dopravy. </w:t>
      </w:r>
    </w:p>
    <w:p w14:paraId="66691BC9" w14:textId="665E0802" w:rsidR="007654DF" w:rsidRPr="00111F34" w:rsidRDefault="007654DF" w:rsidP="007654DF">
      <w:pPr>
        <w:rPr>
          <w:rFonts w:cs="Arial"/>
        </w:rPr>
      </w:pPr>
      <w:r w:rsidRPr="00111F34">
        <w:rPr>
          <w:rFonts w:cs="Arial"/>
        </w:rPr>
        <w:t>Změna bude mít pozitivní vliv nejen v Praze, ale i v</w:t>
      </w:r>
      <w:r w:rsidR="00083E15" w:rsidRPr="00111F34">
        <w:rPr>
          <w:rFonts w:cs="Arial"/>
        </w:rPr>
        <w:t> navazujícím regionu</w:t>
      </w:r>
      <w:r w:rsidRPr="00111F34">
        <w:rPr>
          <w:rFonts w:cs="Arial"/>
        </w:rPr>
        <w:t>. Záchyt vozidel ze sousedního Středočeského kraje na příjezdu do Prahy je možné v důsledku navržené koncepce řešit právě společně s připravovanou výstavbou tramvajové trati – návrh parkoviště P+R u konečné stanice na Výhledech.</w:t>
      </w:r>
    </w:p>
    <w:p w14:paraId="1C599A61" w14:textId="166CC909" w:rsidR="00C1012A" w:rsidRPr="00111F34" w:rsidRDefault="00F618DB" w:rsidP="007654DF">
      <w:pPr>
        <w:rPr>
          <w:rStyle w:val="ListLabel1"/>
          <w:rFonts w:cs="Arial"/>
          <w:color w:val="auto"/>
          <w:szCs w:val="22"/>
        </w:rPr>
      </w:pPr>
      <w:r w:rsidRPr="00111F34">
        <w:rPr>
          <w:rStyle w:val="ListLabel1"/>
          <w:rFonts w:cs="Arial"/>
          <w:color w:val="auto"/>
          <w:szCs w:val="22"/>
        </w:rPr>
        <w:t>Žádná z</w:t>
      </w:r>
      <w:r w:rsidR="00426746" w:rsidRPr="00111F34">
        <w:rPr>
          <w:rStyle w:val="ListLabel1"/>
          <w:rFonts w:cs="Arial"/>
          <w:color w:val="auto"/>
          <w:szCs w:val="22"/>
        </w:rPr>
        <w:t> provedených úprav</w:t>
      </w:r>
      <w:r w:rsidRPr="00111F34">
        <w:rPr>
          <w:rStyle w:val="ListLabel1"/>
          <w:rFonts w:cs="Arial"/>
          <w:color w:val="auto"/>
          <w:szCs w:val="22"/>
        </w:rPr>
        <w:t xml:space="preserve"> využití území neimplikuje rozšíření zastavitelného území v nepřiměřeném rozsahu nebo bez kontaktu se zastavěným </w:t>
      </w:r>
      <w:r w:rsidR="00903B1D" w:rsidRPr="00111F34">
        <w:rPr>
          <w:rStyle w:val="ListLabel1"/>
          <w:rFonts w:cs="Arial"/>
          <w:color w:val="auto"/>
          <w:szCs w:val="22"/>
        </w:rPr>
        <w:t>územím</w:t>
      </w:r>
      <w:r w:rsidRPr="00111F34">
        <w:rPr>
          <w:rStyle w:val="ListLabel1"/>
          <w:rFonts w:cs="Arial"/>
          <w:color w:val="auto"/>
          <w:szCs w:val="22"/>
        </w:rPr>
        <w:t xml:space="preserve">. </w:t>
      </w:r>
      <w:r w:rsidR="008B2169" w:rsidRPr="00111F34">
        <w:rPr>
          <w:rStyle w:val="ListLabel1"/>
          <w:rFonts w:cs="Arial"/>
          <w:color w:val="auto"/>
          <w:szCs w:val="22"/>
        </w:rPr>
        <w:t>N</w:t>
      </w:r>
      <w:r w:rsidRPr="00111F34">
        <w:rPr>
          <w:rStyle w:val="ListLabel1"/>
          <w:rFonts w:cs="Arial"/>
          <w:color w:val="auto"/>
          <w:szCs w:val="22"/>
        </w:rPr>
        <w:t xml:space="preserve">ejsou vytvářeny předpoklady pro zásadní snižování zeleně v území. </w:t>
      </w:r>
      <w:r w:rsidR="00C1012A" w:rsidRPr="00111F34">
        <w:rPr>
          <w:rStyle w:val="ListLabel1"/>
          <w:rFonts w:cs="Arial"/>
          <w:color w:val="auto"/>
          <w:szCs w:val="22"/>
        </w:rPr>
        <w:t>Zastavitelné plochy v řešeném území neznamenají zásadní rozšíření zastavitelného území, zejména s ohledem na jeho dosavadní využití</w:t>
      </w:r>
      <w:r w:rsidRPr="00111F34">
        <w:rPr>
          <w:rStyle w:val="ListLabel1"/>
          <w:rFonts w:cs="Arial"/>
          <w:color w:val="auto"/>
          <w:szCs w:val="22"/>
        </w:rPr>
        <w:t>,</w:t>
      </w:r>
      <w:r w:rsidR="00C1012A" w:rsidRPr="00111F34">
        <w:rPr>
          <w:rStyle w:val="ListLabel1"/>
          <w:rFonts w:cs="Arial"/>
          <w:color w:val="auto"/>
          <w:szCs w:val="22"/>
        </w:rPr>
        <w:t xml:space="preserve"> jde spíše o účelnější uspořádání území a o modifikaci jeho využití.</w:t>
      </w:r>
      <w:r w:rsidRPr="00111F34">
        <w:rPr>
          <w:rStyle w:val="ListLabel1"/>
          <w:rFonts w:cs="Arial"/>
          <w:color w:val="auto"/>
          <w:szCs w:val="22"/>
        </w:rPr>
        <w:t xml:space="preserve"> </w:t>
      </w:r>
      <w:r w:rsidRPr="00111F34">
        <w:rPr>
          <w:rFonts w:cs="Arial"/>
        </w:rPr>
        <w:t>Navrhované řešení respektuje skutečný stav jednotlivých lokalit.</w:t>
      </w:r>
    </w:p>
    <w:p w14:paraId="3B78EC48" w14:textId="424519D9" w:rsidR="00D26693" w:rsidRPr="00111F34" w:rsidRDefault="008C13FC" w:rsidP="00D26693">
      <w:pPr>
        <w:rPr>
          <w:rFonts w:cs="Arial"/>
        </w:rPr>
      </w:pPr>
      <w:r w:rsidRPr="00111F34">
        <w:rPr>
          <w:rFonts w:cs="Arial"/>
        </w:rPr>
        <w:lastRenderedPageBreak/>
        <w:t>Nárůst zastavitelných ploch</w:t>
      </w:r>
      <w:r w:rsidR="003D6474" w:rsidRPr="00111F34">
        <w:rPr>
          <w:rFonts w:cs="Arial"/>
        </w:rPr>
        <w:t xml:space="preserve"> a zvýšení míry využití území</w:t>
      </w:r>
      <w:r w:rsidRPr="00111F34">
        <w:rPr>
          <w:rFonts w:cs="Arial"/>
        </w:rPr>
        <w:t xml:space="preserve"> </w:t>
      </w:r>
      <w:r w:rsidR="00F618DB" w:rsidRPr="00111F34">
        <w:rPr>
          <w:rFonts w:cs="Arial"/>
        </w:rPr>
        <w:t>navržen</w:t>
      </w:r>
      <w:r w:rsidR="000A19F8" w:rsidRPr="00111F34">
        <w:rPr>
          <w:rFonts w:cs="Arial"/>
        </w:rPr>
        <w:t>é</w:t>
      </w:r>
      <w:r w:rsidR="00F618DB" w:rsidRPr="00111F34">
        <w:rPr>
          <w:rFonts w:cs="Arial"/>
        </w:rPr>
        <w:t xml:space="preserve"> </w:t>
      </w:r>
      <w:r w:rsidR="005308CC" w:rsidRPr="00111F34">
        <w:rPr>
          <w:rFonts w:cs="Arial"/>
        </w:rPr>
        <w:t>ve změně</w:t>
      </w:r>
      <w:r w:rsidR="00F618DB" w:rsidRPr="00111F34">
        <w:rPr>
          <w:rFonts w:cs="Arial"/>
        </w:rPr>
        <w:t xml:space="preserve"> územního plánu </w:t>
      </w:r>
      <w:r w:rsidR="00F65F92" w:rsidRPr="00111F34">
        <w:rPr>
          <w:rFonts w:cs="Arial"/>
        </w:rPr>
        <w:t>je akceptovatelné</w:t>
      </w:r>
      <w:r w:rsidRPr="00111F34">
        <w:rPr>
          <w:rFonts w:cs="Arial"/>
        </w:rPr>
        <w:t>.</w:t>
      </w:r>
      <w:r w:rsidR="00F618DB" w:rsidRPr="00111F34">
        <w:rPr>
          <w:rFonts w:cs="Arial"/>
        </w:rPr>
        <w:t xml:space="preserve">  </w:t>
      </w:r>
      <w:r w:rsidR="00D26693" w:rsidRPr="00111F34">
        <w:rPr>
          <w:rFonts w:cs="Arial"/>
        </w:rPr>
        <w:t xml:space="preserve">Z hlediska přiměřenosti rozvoje je návrh </w:t>
      </w:r>
      <w:r w:rsidR="00426746" w:rsidRPr="00111F34">
        <w:rPr>
          <w:rFonts w:cs="Arial"/>
        </w:rPr>
        <w:t>posuzované ÚPD</w:t>
      </w:r>
      <w:r w:rsidR="00652419" w:rsidRPr="00111F34">
        <w:rPr>
          <w:rFonts w:cs="Arial"/>
        </w:rPr>
        <w:t xml:space="preserve"> </w:t>
      </w:r>
      <w:r w:rsidR="00D26693" w:rsidRPr="00111F34">
        <w:rPr>
          <w:rFonts w:cs="Arial"/>
        </w:rPr>
        <w:t xml:space="preserve">vyvážený, především z důvodů potenciálu pro zlepšení kvality života obyvatel města, </w:t>
      </w:r>
      <w:r w:rsidR="000A19F8" w:rsidRPr="00111F34">
        <w:rPr>
          <w:rFonts w:cs="Arial"/>
        </w:rPr>
        <w:t xml:space="preserve">identifikované </w:t>
      </w:r>
      <w:r w:rsidR="00D26693" w:rsidRPr="00111F34">
        <w:rPr>
          <w:rFonts w:cs="Arial"/>
        </w:rPr>
        <w:t xml:space="preserve">negativní vlivy na environmentální pilíř je možné </w:t>
      </w:r>
      <w:r w:rsidR="00F65F92" w:rsidRPr="00111F34">
        <w:rPr>
          <w:rFonts w:cs="Arial"/>
        </w:rPr>
        <w:t>zmírnit,</w:t>
      </w:r>
      <w:r w:rsidR="00D26693" w:rsidRPr="00111F34">
        <w:rPr>
          <w:rFonts w:cs="Arial"/>
        </w:rPr>
        <w:t xml:space="preserve"> resp. kompenzovat prostřednictvím opatření navržených v rámci viz kapitola A. XI. </w:t>
      </w:r>
    </w:p>
    <w:p w14:paraId="290D4D0A" w14:textId="3021065B" w:rsidR="00D26693" w:rsidRPr="00111F34" w:rsidRDefault="00D26693" w:rsidP="00D26693">
      <w:pPr>
        <w:rPr>
          <w:rFonts w:cs="Arial"/>
        </w:rPr>
      </w:pPr>
      <w:r w:rsidRPr="00111F34">
        <w:rPr>
          <w:rFonts w:cs="Arial"/>
        </w:rPr>
        <w:t>Ostatní pilíře udržitelného rozvoje nebudou řešením navrhovan</w:t>
      </w:r>
      <w:r w:rsidR="00426746" w:rsidRPr="00111F34">
        <w:rPr>
          <w:rFonts w:cs="Arial"/>
        </w:rPr>
        <w:t>é</w:t>
      </w:r>
      <w:r w:rsidRPr="00111F34">
        <w:rPr>
          <w:rFonts w:cs="Arial"/>
        </w:rPr>
        <w:t xml:space="preserve"> změn</w:t>
      </w:r>
      <w:r w:rsidR="00426746" w:rsidRPr="00111F34">
        <w:rPr>
          <w:rFonts w:cs="Arial"/>
        </w:rPr>
        <w:t>y</w:t>
      </w:r>
      <w:r w:rsidR="00F618DB" w:rsidRPr="00111F34">
        <w:rPr>
          <w:rFonts w:cs="Arial"/>
        </w:rPr>
        <w:t xml:space="preserve"> územního plánu</w:t>
      </w:r>
      <w:r w:rsidRPr="00111F34">
        <w:rPr>
          <w:rFonts w:cs="Arial"/>
        </w:rPr>
        <w:t xml:space="preserve"> nijak významně dotčeny. </w:t>
      </w:r>
    </w:p>
    <w:p w14:paraId="6E86670E" w14:textId="77777777" w:rsidR="00EA2D1E" w:rsidRPr="00111F34" w:rsidRDefault="00EA2D1E" w:rsidP="00A67277">
      <w:pPr>
        <w:pStyle w:val="Nadpis3"/>
        <w:rPr>
          <w:lang w:eastAsia="cs-CZ"/>
        </w:rPr>
      </w:pPr>
      <w:bookmarkStart w:id="432" w:name="_Toc496705193"/>
      <w:bookmarkStart w:id="433" w:name="_Toc138848170"/>
      <w:r w:rsidRPr="00111F34">
        <w:rPr>
          <w:lang w:eastAsia="cs-CZ"/>
        </w:rPr>
        <w:t>Shrnutí</w:t>
      </w:r>
      <w:bookmarkEnd w:id="432"/>
      <w:bookmarkEnd w:id="433"/>
    </w:p>
    <w:p w14:paraId="551C52B6" w14:textId="58905137" w:rsidR="006F5374" w:rsidRPr="00111F34" w:rsidRDefault="00D26693" w:rsidP="006F5374">
      <w:r w:rsidRPr="00111F34">
        <w:rPr>
          <w:rFonts w:cs="Arial"/>
        </w:rPr>
        <w:t>Navrhovan</w:t>
      </w:r>
      <w:r w:rsidR="00BE5F01" w:rsidRPr="00111F34">
        <w:rPr>
          <w:rFonts w:cs="Arial"/>
        </w:rPr>
        <w:t>á</w:t>
      </w:r>
      <w:r w:rsidRPr="00111F34">
        <w:rPr>
          <w:rFonts w:cs="Arial"/>
        </w:rPr>
        <w:t xml:space="preserve"> změn</w:t>
      </w:r>
      <w:r w:rsidR="00BE5F01" w:rsidRPr="00111F34">
        <w:rPr>
          <w:rFonts w:cs="Arial"/>
        </w:rPr>
        <w:t>a</w:t>
      </w:r>
      <w:r w:rsidRPr="00111F34">
        <w:rPr>
          <w:rFonts w:cs="Arial"/>
        </w:rPr>
        <w:t xml:space="preserve"> se pozitivně projeví především z hlediska </w:t>
      </w:r>
      <w:r w:rsidR="00B92FAC" w:rsidRPr="00111F34">
        <w:rPr>
          <w:rFonts w:cs="Arial"/>
        </w:rPr>
        <w:t xml:space="preserve">environmentálního a </w:t>
      </w:r>
      <w:r w:rsidRPr="00111F34">
        <w:rPr>
          <w:rFonts w:cs="Arial"/>
        </w:rPr>
        <w:t xml:space="preserve">sociálního pilíře udržitelného rozvoje, kdy </w:t>
      </w:r>
      <w:r w:rsidR="00BE5F01" w:rsidRPr="00111F34">
        <w:rPr>
          <w:rFonts w:cs="Arial"/>
        </w:rPr>
        <w:t>může</w:t>
      </w:r>
      <w:r w:rsidR="006F5374" w:rsidRPr="00111F34">
        <w:t xml:space="preserve"> pozitivně přispět </w:t>
      </w:r>
      <w:r w:rsidR="00EC498C" w:rsidRPr="00111F34">
        <w:t>ke zlepšení charakteristik životního prostředí</w:t>
      </w:r>
      <w:r w:rsidR="00BE5F01" w:rsidRPr="00111F34">
        <w:t>,</w:t>
      </w:r>
      <w:r w:rsidR="00EC498C" w:rsidRPr="00111F34">
        <w:t xml:space="preserve"> </w:t>
      </w:r>
      <w:r w:rsidR="006F5374" w:rsidRPr="00111F34">
        <w:t xml:space="preserve">k rozvoji terciérní sféry a </w:t>
      </w:r>
      <w:r w:rsidR="00B92FAC" w:rsidRPr="00111F34">
        <w:t xml:space="preserve">občanské vybavenosti a </w:t>
      </w:r>
      <w:r w:rsidR="00BE5F01" w:rsidRPr="00111F34">
        <w:t>zlepšení kvality bydlení a bezpečnosti obyvatel</w:t>
      </w:r>
      <w:r w:rsidR="006F5374" w:rsidRPr="00111F34">
        <w:t xml:space="preserve">. </w:t>
      </w:r>
    </w:p>
    <w:p w14:paraId="4E5BDBD1" w14:textId="164C30FD" w:rsidR="00EC498C" w:rsidRPr="00111F34" w:rsidRDefault="00EC498C" w:rsidP="006F5374">
      <w:r w:rsidRPr="00111F34">
        <w:t>Nebyly identifikovány významné negativní vlivy, které by nebylo možné zmírnit nebo kompenzovat prostřednictvím podmínek využití území a technických opatření při následné projektové přípravě a realizaci staveb.</w:t>
      </w:r>
    </w:p>
    <w:p w14:paraId="6A34DEA7" w14:textId="0A89A785" w:rsidR="00D26693" w:rsidRPr="00111F34" w:rsidRDefault="00D26693" w:rsidP="00D26693">
      <w:pPr>
        <w:rPr>
          <w:rFonts w:cs="Arial"/>
        </w:rPr>
      </w:pPr>
      <w:r w:rsidRPr="00111F34">
        <w:rPr>
          <w:rFonts w:cs="Arial"/>
        </w:rPr>
        <w:t xml:space="preserve">Z tohoto pohledu </w:t>
      </w:r>
      <w:r w:rsidR="00BE5F01" w:rsidRPr="00111F34">
        <w:rPr>
          <w:rFonts w:cs="Arial"/>
        </w:rPr>
        <w:t>je řešená změna navržena</w:t>
      </w:r>
      <w:r w:rsidRPr="00111F34">
        <w:rPr>
          <w:rFonts w:cs="Arial"/>
        </w:rPr>
        <w:t xml:space="preserve"> </w:t>
      </w:r>
      <w:r w:rsidR="00E03F76" w:rsidRPr="00111F34">
        <w:rPr>
          <w:rFonts w:cs="Arial"/>
        </w:rPr>
        <w:t>tak, aby v maximální míře využila</w:t>
      </w:r>
      <w:r w:rsidRPr="00111F34">
        <w:rPr>
          <w:rFonts w:cs="Arial"/>
        </w:rPr>
        <w:t xml:space="preserve"> pozitivníc</w:t>
      </w:r>
      <w:r w:rsidR="00E03F76" w:rsidRPr="00111F34">
        <w:rPr>
          <w:rFonts w:cs="Arial"/>
        </w:rPr>
        <w:t>h daností území a účelně využila</w:t>
      </w:r>
      <w:r w:rsidRPr="00111F34">
        <w:rPr>
          <w:rFonts w:cs="Arial"/>
        </w:rPr>
        <w:t xml:space="preserve"> zastavěné území města. </w:t>
      </w:r>
    </w:p>
    <w:p w14:paraId="094E9FFC" w14:textId="00792165" w:rsidR="00D26693" w:rsidRPr="00111F34" w:rsidRDefault="00D26693" w:rsidP="00D26693">
      <w:pPr>
        <w:rPr>
          <w:rFonts w:cs="Arial"/>
        </w:rPr>
      </w:pPr>
      <w:r w:rsidRPr="00111F34">
        <w:rPr>
          <w:rFonts w:cs="Arial"/>
        </w:rPr>
        <w:t xml:space="preserve">Navržené řešení dle názoru zpracovatele vyhodnocení vlivů na udržitelný rozvoj území vytváří dostatečné podmínky pro předcházení zjištěným rizikům budoucího rozvoje při současném stavu poznání a při znalostech stávajícího území. V této souvislosti byly v rámci SEA navrženy podmínky pro realizaci </w:t>
      </w:r>
      <w:r w:rsidR="00E03F76" w:rsidRPr="00111F34">
        <w:rPr>
          <w:rFonts w:cs="Arial"/>
        </w:rPr>
        <w:t>změny</w:t>
      </w:r>
      <w:r w:rsidRPr="00111F34">
        <w:rPr>
          <w:rFonts w:cs="Arial"/>
        </w:rPr>
        <w:t xml:space="preserve">. Územní plán je technicky právním dokumentem a je jedním z podkladů pro následná politická rozhodování v území. Budoucí vývoj řešeného území se bude odvíjet v závislosti na globálních geopolitických, vnitropolitických a ekonomických podmínkách, které budou určovat jeho praktické naplňování. </w:t>
      </w:r>
    </w:p>
    <w:p w14:paraId="26C52CC2" w14:textId="60ADCB65" w:rsidR="00975CF0" w:rsidRPr="00111F34" w:rsidRDefault="00D26693" w:rsidP="00794578">
      <w:pPr>
        <w:rPr>
          <w:rFonts w:eastAsia="Times New Roman"/>
          <w:b/>
          <w:szCs w:val="20"/>
          <w:lang w:eastAsia="cs-CZ"/>
        </w:rPr>
      </w:pPr>
      <w:r w:rsidRPr="00111F34">
        <w:rPr>
          <w:rFonts w:eastAsia="Times New Roman"/>
          <w:b/>
          <w:szCs w:val="20"/>
          <w:lang w:eastAsia="cs-CZ"/>
        </w:rPr>
        <w:t>V případě uplatnění podmínek a doporučení, jež vyplynula z Vyhodno</w:t>
      </w:r>
      <w:r w:rsidR="003F563C" w:rsidRPr="00111F34">
        <w:rPr>
          <w:rFonts w:eastAsia="Times New Roman"/>
          <w:b/>
          <w:szCs w:val="20"/>
          <w:lang w:eastAsia="cs-CZ"/>
        </w:rPr>
        <w:t xml:space="preserve">cení vlivů návrhu </w:t>
      </w:r>
      <w:r w:rsidR="00E03F76" w:rsidRPr="00111F34">
        <w:rPr>
          <w:rFonts w:eastAsia="Times New Roman"/>
          <w:b/>
          <w:szCs w:val="20"/>
          <w:lang w:eastAsia="cs-CZ"/>
        </w:rPr>
        <w:t xml:space="preserve">změny </w:t>
      </w:r>
      <w:r w:rsidR="00F80CDD" w:rsidRPr="00111F34">
        <w:rPr>
          <w:rFonts w:eastAsia="Times New Roman"/>
          <w:b/>
          <w:szCs w:val="20"/>
          <w:lang w:eastAsia="cs-CZ"/>
        </w:rPr>
        <w:t>Z</w:t>
      </w:r>
      <w:r w:rsidR="001663EA" w:rsidRPr="00111F34">
        <w:rPr>
          <w:rFonts w:eastAsia="Times New Roman"/>
          <w:b/>
          <w:szCs w:val="20"/>
          <w:lang w:eastAsia="cs-CZ"/>
        </w:rPr>
        <w:t>3827</w:t>
      </w:r>
      <w:r w:rsidR="00F80CDD" w:rsidRPr="00111F34">
        <w:rPr>
          <w:rFonts w:eastAsia="Times New Roman"/>
          <w:b/>
          <w:szCs w:val="20"/>
          <w:lang w:eastAsia="cs-CZ"/>
        </w:rPr>
        <w:t>/00</w:t>
      </w:r>
      <w:r w:rsidR="00E03F76" w:rsidRPr="00111F34">
        <w:rPr>
          <w:rFonts w:eastAsia="Times New Roman"/>
          <w:b/>
          <w:szCs w:val="20"/>
          <w:lang w:eastAsia="cs-CZ"/>
        </w:rPr>
        <w:t xml:space="preserve"> ÚP HLMP</w:t>
      </w:r>
      <w:r w:rsidR="003F563C" w:rsidRPr="00111F34">
        <w:rPr>
          <w:rFonts w:eastAsia="Times New Roman"/>
          <w:b/>
          <w:szCs w:val="20"/>
          <w:lang w:eastAsia="cs-CZ"/>
        </w:rPr>
        <w:t xml:space="preserve"> </w:t>
      </w:r>
      <w:r w:rsidRPr="00111F34">
        <w:rPr>
          <w:rFonts w:eastAsia="Times New Roman"/>
          <w:b/>
          <w:szCs w:val="20"/>
          <w:lang w:eastAsia="cs-CZ"/>
        </w:rPr>
        <w:t>na udržitelný rozvoj území, tak lze konstatovat, že předkládan</w:t>
      </w:r>
      <w:r w:rsidR="00E03F76" w:rsidRPr="00111F34">
        <w:rPr>
          <w:rFonts w:eastAsia="Times New Roman"/>
          <w:b/>
          <w:szCs w:val="20"/>
          <w:lang w:eastAsia="cs-CZ"/>
        </w:rPr>
        <w:t>á</w:t>
      </w:r>
      <w:r w:rsidRPr="00111F34">
        <w:rPr>
          <w:rFonts w:eastAsia="Times New Roman"/>
          <w:b/>
          <w:szCs w:val="20"/>
          <w:lang w:eastAsia="cs-CZ"/>
        </w:rPr>
        <w:t xml:space="preserve"> změn</w:t>
      </w:r>
      <w:r w:rsidR="00E03F76" w:rsidRPr="00111F34">
        <w:rPr>
          <w:rFonts w:eastAsia="Times New Roman"/>
          <w:b/>
          <w:szCs w:val="20"/>
          <w:lang w:eastAsia="cs-CZ"/>
        </w:rPr>
        <w:t>a</w:t>
      </w:r>
      <w:r w:rsidRPr="00111F34">
        <w:rPr>
          <w:rFonts w:eastAsia="Times New Roman"/>
          <w:b/>
          <w:szCs w:val="20"/>
          <w:lang w:eastAsia="cs-CZ"/>
        </w:rPr>
        <w:t xml:space="preserve"> územního plánu při vhodném způsobu realizace neznamen</w:t>
      </w:r>
      <w:r w:rsidR="00E03F76" w:rsidRPr="00111F34">
        <w:rPr>
          <w:rFonts w:eastAsia="Times New Roman"/>
          <w:b/>
          <w:szCs w:val="20"/>
          <w:lang w:eastAsia="cs-CZ"/>
        </w:rPr>
        <w:t>á</w:t>
      </w:r>
      <w:r w:rsidRPr="00111F34">
        <w:rPr>
          <w:rFonts w:eastAsia="Times New Roman"/>
          <w:b/>
          <w:szCs w:val="20"/>
          <w:lang w:eastAsia="cs-CZ"/>
        </w:rPr>
        <w:t xml:space="preserve"> žádné významné negativní vlivy na udržitelný rozvoj území.</w:t>
      </w:r>
    </w:p>
    <w:p w14:paraId="1C8D238B" w14:textId="566D48F1" w:rsidR="00224D90" w:rsidRPr="00111F34" w:rsidRDefault="00224D90" w:rsidP="00794578">
      <w:pPr>
        <w:rPr>
          <w:rFonts w:eastAsia="Times New Roman"/>
          <w:szCs w:val="20"/>
          <w:lang w:eastAsia="cs-CZ"/>
        </w:rPr>
      </w:pPr>
    </w:p>
    <w:p w14:paraId="39941A72" w14:textId="01C7598A" w:rsidR="007D6FCD" w:rsidRPr="00111F34" w:rsidRDefault="007D6FCD" w:rsidP="00794578">
      <w:pPr>
        <w:rPr>
          <w:rFonts w:eastAsia="Times New Roman"/>
          <w:szCs w:val="20"/>
          <w:lang w:eastAsia="cs-CZ"/>
        </w:rPr>
      </w:pPr>
    </w:p>
    <w:p w14:paraId="57C2B99B" w14:textId="64574B2C" w:rsidR="007D6FCD" w:rsidRPr="00111F34" w:rsidRDefault="007D6FCD" w:rsidP="00794578">
      <w:pPr>
        <w:rPr>
          <w:rFonts w:eastAsia="Times New Roman"/>
          <w:szCs w:val="20"/>
          <w:lang w:eastAsia="cs-CZ"/>
        </w:rPr>
      </w:pPr>
    </w:p>
    <w:p w14:paraId="082D0483" w14:textId="77777777" w:rsidR="00EF3D6D" w:rsidRPr="00111F34" w:rsidRDefault="00EF3D6D" w:rsidP="00794578">
      <w:pPr>
        <w:rPr>
          <w:rFonts w:eastAsia="Times New Roman"/>
          <w:b/>
          <w:szCs w:val="20"/>
          <w:lang w:eastAsia="cs-CZ"/>
        </w:rPr>
      </w:pPr>
    </w:p>
    <w:p w14:paraId="44C58492" w14:textId="3352C030" w:rsidR="00794578" w:rsidRPr="00111F34" w:rsidRDefault="00EC276C" w:rsidP="00150F6E">
      <w:pPr>
        <w:rPr>
          <w:rFonts w:eastAsia="Times New Roman"/>
          <w:color w:val="00B0B9"/>
          <w:szCs w:val="20"/>
          <w:lang w:eastAsia="cs-CZ"/>
        </w:rPr>
      </w:pPr>
      <w:r>
        <w:rPr>
          <w:noProof/>
        </w:rPr>
        <mc:AlternateContent>
          <mc:Choice Requires="wps">
            <w:drawing>
              <wp:anchor distT="4294967291" distB="4294967291" distL="114300" distR="114300" simplePos="0" relativeHeight="251660800" behindDoc="0" locked="0" layoutInCell="1" allowOverlap="1" wp14:anchorId="2AE29B69" wp14:editId="72C965C9">
                <wp:simplePos x="0" y="0"/>
                <wp:positionH relativeFrom="column">
                  <wp:posOffset>3175</wp:posOffset>
                </wp:positionH>
                <wp:positionV relativeFrom="paragraph">
                  <wp:posOffset>5714</wp:posOffset>
                </wp:positionV>
                <wp:extent cx="6444615" cy="0"/>
                <wp:effectExtent l="0" t="0" r="0" b="0"/>
                <wp:wrapNone/>
                <wp:docPr id="305597095" name="Přímá spojnice 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444615" cy="0"/>
                        </a:xfrm>
                        <a:prstGeom prst="line">
                          <a:avLst/>
                        </a:prstGeom>
                        <a:noFill/>
                        <a:ln w="9525" cap="flat" cmpd="sng" algn="ctr">
                          <a:solidFill>
                            <a:srgbClr val="00B0B9"/>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76EE6B54" id="Přímá spojnice 1" o:spid="_x0000_s1026" style="position:absolute;flip:y;z-index:251660800;visibility:visible;mso-wrap-style:square;mso-width-percent:0;mso-height-percent:0;mso-wrap-distance-left:9pt;mso-wrap-distance-top:-1e-4mm;mso-wrap-distance-right:9pt;mso-wrap-distance-bottom:-1e-4mm;mso-position-horizontal:absolute;mso-position-horizontal-relative:text;mso-position-vertical:absolute;mso-position-vertical-relative:text;mso-width-percent:0;mso-height-percent:0;mso-width-relative:page;mso-height-relative:page" from=".25pt,.45pt" to="507.7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" strokecolor="#00b0b9">
                <o:lock v:ext="edit" shapetype="f"/>
              </v:line>
            </w:pict>
          </mc:Fallback>
        </mc:AlternateContent>
      </w:r>
      <w:r w:rsidR="00794578" w:rsidRPr="00111F34">
        <w:rPr>
          <w:rFonts w:eastAsia="Times New Roman"/>
          <w:szCs w:val="20"/>
          <w:lang w:eastAsia="cs-CZ"/>
        </w:rPr>
        <w:t>KONEC TEXTU DOKUMENTACE</w:t>
      </w:r>
      <w:r w:rsidR="00794578" w:rsidRPr="00111F34">
        <w:rPr>
          <w:rFonts w:eastAsia="Times New Roman"/>
          <w:caps/>
          <w:color w:val="00B0B9"/>
          <w:szCs w:val="20"/>
          <w:lang w:eastAsia="cs-CZ"/>
        </w:rPr>
        <w:t xml:space="preserve"> </w:t>
      </w:r>
      <w:r w:rsidR="00B92FAC" w:rsidRPr="00111F34">
        <w:rPr>
          <w:rFonts w:eastAsia="Times New Roman"/>
          <w:caps/>
          <w:color w:val="2DBDB6"/>
          <w:szCs w:val="20"/>
          <w:lang w:eastAsia="cs-CZ"/>
        </w:rPr>
        <w:t>„</w:t>
      </w:r>
      <w:r w:rsidR="00150F6E" w:rsidRPr="00111F34">
        <w:rPr>
          <w:rFonts w:eastAsia="Times New Roman"/>
          <w:caps/>
          <w:color w:val="2DBDB6"/>
          <w:szCs w:val="20"/>
          <w:lang w:eastAsia="cs-CZ"/>
        </w:rPr>
        <w:t>V</w:t>
      </w:r>
      <w:r w:rsidR="00150F6E" w:rsidRPr="00111F34">
        <w:rPr>
          <w:rFonts w:eastAsia="Times New Roman"/>
          <w:color w:val="2DBDB6"/>
          <w:szCs w:val="20"/>
          <w:lang w:eastAsia="cs-CZ"/>
        </w:rPr>
        <w:t xml:space="preserve">yhodnocení vlivů na udržitelný rozvoj území pro </w:t>
      </w:r>
      <w:r w:rsidR="00E03F76" w:rsidRPr="00111F34">
        <w:rPr>
          <w:rFonts w:eastAsia="Times New Roman"/>
          <w:color w:val="2DBDB6"/>
          <w:szCs w:val="20"/>
          <w:lang w:eastAsia="cs-CZ"/>
        </w:rPr>
        <w:t xml:space="preserve">změnu </w:t>
      </w:r>
      <w:r w:rsidR="00F80CDD" w:rsidRPr="00111F34">
        <w:rPr>
          <w:rFonts w:eastAsia="Times New Roman"/>
          <w:color w:val="2DBDB6"/>
          <w:szCs w:val="20"/>
          <w:lang w:eastAsia="cs-CZ"/>
        </w:rPr>
        <w:t>Z</w:t>
      </w:r>
      <w:r w:rsidR="001663EA" w:rsidRPr="00111F34">
        <w:rPr>
          <w:rFonts w:eastAsia="Times New Roman"/>
          <w:color w:val="2DBDB6"/>
          <w:szCs w:val="20"/>
          <w:lang w:eastAsia="cs-CZ"/>
        </w:rPr>
        <w:t>3827</w:t>
      </w:r>
      <w:r w:rsidR="00F80CDD" w:rsidRPr="00111F34">
        <w:rPr>
          <w:rFonts w:eastAsia="Times New Roman"/>
          <w:color w:val="2DBDB6"/>
          <w:szCs w:val="20"/>
          <w:lang w:eastAsia="cs-CZ"/>
        </w:rPr>
        <w:t>/00</w:t>
      </w:r>
      <w:r w:rsidR="00150F6E" w:rsidRPr="00111F34">
        <w:rPr>
          <w:rFonts w:eastAsia="Times New Roman"/>
          <w:color w:val="2DBDB6"/>
          <w:szCs w:val="20"/>
          <w:lang w:eastAsia="cs-CZ"/>
        </w:rPr>
        <w:t xml:space="preserve"> ÚP hl. m. Prahy</w:t>
      </w:r>
      <w:r w:rsidR="00E03F76" w:rsidRPr="00111F34">
        <w:rPr>
          <w:rFonts w:eastAsia="Times New Roman"/>
          <w:color w:val="2DBDB6"/>
          <w:szCs w:val="20"/>
          <w:lang w:eastAsia="cs-CZ"/>
        </w:rPr>
        <w:t>“</w:t>
      </w:r>
      <w:r w:rsidR="00150F6E" w:rsidRPr="00111F34">
        <w:rPr>
          <w:rFonts w:eastAsia="Times New Roman"/>
          <w:caps/>
          <w:color w:val="2DBDB6"/>
          <w:szCs w:val="20"/>
          <w:lang w:eastAsia="cs-CZ"/>
        </w:rPr>
        <w:t>.</w:t>
      </w:r>
    </w:p>
    <w:p w14:paraId="687B9DCB" w14:textId="1EDD2CE2" w:rsidR="00794578" w:rsidRPr="00111F34" w:rsidRDefault="00794578" w:rsidP="00794578">
      <w:pPr>
        <w:rPr>
          <w:rFonts w:eastAsia="Times New Roman"/>
          <w:szCs w:val="20"/>
          <w:lang w:eastAsia="cs-CZ"/>
        </w:rPr>
      </w:pPr>
      <w:r w:rsidRPr="00111F34">
        <w:rPr>
          <w:rFonts w:eastAsia="Times New Roman"/>
          <w:szCs w:val="20"/>
          <w:lang w:eastAsia="cs-CZ"/>
        </w:rPr>
        <w:t>Datum zpracování dokumentace, podpis zpracovatele a seznam osob, které se podílely na zpracování, se</w:t>
      </w:r>
      <w:r w:rsidR="009C6730" w:rsidRPr="00111F34">
        <w:rPr>
          <w:rFonts w:eastAsia="Times New Roman"/>
          <w:szCs w:val="20"/>
          <w:lang w:eastAsia="cs-CZ"/>
        </w:rPr>
        <w:t> </w:t>
      </w:r>
      <w:r w:rsidRPr="00111F34">
        <w:rPr>
          <w:rFonts w:eastAsia="Times New Roman"/>
          <w:szCs w:val="20"/>
          <w:lang w:eastAsia="cs-CZ"/>
        </w:rPr>
        <w:t>nachází v jeho úvodní části.</w:t>
      </w:r>
      <w:bookmarkEnd w:id="304"/>
    </w:p>
    <w:p w14:paraId="69615CE5" w14:textId="77777777" w:rsidR="0008043D" w:rsidRPr="00111F34" w:rsidRDefault="0008043D" w:rsidP="00A42600">
      <w:pPr>
        <w:spacing w:before="0" w:after="160" w:line="259" w:lineRule="auto"/>
        <w:jc w:val="left"/>
        <w:rPr>
          <w:rFonts w:eastAsia="Times New Roman"/>
          <w:szCs w:val="20"/>
          <w:lang w:eastAsia="cs-CZ"/>
        </w:rPr>
      </w:pPr>
    </w:p>
    <w:p w14:paraId="34BE6839" w14:textId="77777777" w:rsidR="00CE4DC9" w:rsidRPr="00111F34" w:rsidRDefault="00CE4DC9" w:rsidP="00A42600">
      <w:pPr>
        <w:spacing w:before="0" w:after="160" w:line="259" w:lineRule="auto"/>
        <w:jc w:val="left"/>
        <w:rPr>
          <w:rFonts w:eastAsia="Times New Roman"/>
          <w:szCs w:val="20"/>
          <w:lang w:eastAsia="cs-CZ"/>
        </w:rPr>
      </w:pPr>
    </w:p>
    <w:p w14:paraId="3306C888" w14:textId="77777777" w:rsidR="00CE4DC9" w:rsidRPr="00111F34" w:rsidRDefault="00CE4DC9" w:rsidP="00A42600">
      <w:pPr>
        <w:spacing w:before="0" w:after="160" w:line="259" w:lineRule="auto"/>
        <w:jc w:val="left"/>
        <w:rPr>
          <w:rFonts w:eastAsia="Times New Roman"/>
          <w:szCs w:val="20"/>
          <w:lang w:eastAsia="cs-CZ"/>
        </w:rPr>
      </w:pPr>
    </w:p>
    <w:p w14:paraId="1F659F8F" w14:textId="63C5E798" w:rsidR="00CE4DC9" w:rsidRPr="00111F34" w:rsidRDefault="00CE4DC9" w:rsidP="00CE4DC9">
      <w:pPr>
        <w:tabs>
          <w:tab w:val="left" w:pos="3915"/>
        </w:tabs>
        <w:spacing w:before="360"/>
        <w:ind w:left="1418" w:right="255" w:hanging="1418"/>
        <w:rPr>
          <w:b/>
          <w:bCs/>
        </w:rPr>
      </w:pPr>
      <w:r w:rsidRPr="00111F34">
        <w:rPr>
          <w:rFonts w:eastAsia="Times New Roman"/>
          <w:b/>
          <w:bCs/>
          <w:caps/>
          <w:noProof/>
          <w:color w:val="000000"/>
          <w:szCs w:val="20"/>
          <w:lang w:eastAsia="cs-CZ"/>
        </w:rPr>
        <w:t xml:space="preserve">Příloha 1: </w:t>
      </w:r>
      <w:r w:rsidRPr="00111F34">
        <w:rPr>
          <w:rFonts w:eastAsia="Times New Roman"/>
          <w:b/>
          <w:bCs/>
          <w:caps/>
          <w:noProof/>
          <w:color w:val="000000"/>
          <w:szCs w:val="20"/>
          <w:lang w:eastAsia="cs-CZ"/>
        </w:rPr>
        <w:tab/>
      </w:r>
      <w:r w:rsidRPr="00111F34">
        <w:rPr>
          <w:b/>
          <w:bCs/>
        </w:rPr>
        <w:t>Hodnocení vlivů Změny Z </w:t>
      </w:r>
      <w:r w:rsidR="00A66B14">
        <w:rPr>
          <w:b/>
          <w:bCs/>
        </w:rPr>
        <w:t>3</w:t>
      </w:r>
      <w:r w:rsidRPr="00111F34">
        <w:rPr>
          <w:b/>
          <w:bCs/>
        </w:rPr>
        <w:t>827/00 územního plánu hlavního města Prahy na evropsky významné lokality a ptačí oblasti dle § 45i, zákona č. 114/1994 Sb. o ochraně přírody a krajiny v platném znění</w:t>
      </w:r>
    </w:p>
    <w:p w14:paraId="18A6E9D3" w14:textId="1106D13F" w:rsidR="00CE4DC9" w:rsidRPr="00CE4DC9" w:rsidRDefault="00CE4DC9" w:rsidP="00CE4DC9">
      <w:pPr>
        <w:tabs>
          <w:tab w:val="left" w:pos="3915"/>
        </w:tabs>
        <w:spacing w:before="360"/>
        <w:ind w:left="1418" w:right="255" w:hanging="1418"/>
        <w:rPr>
          <w:rFonts w:eastAsia="Times New Roman"/>
          <w:b/>
          <w:bCs/>
          <w:caps/>
          <w:noProof/>
          <w:color w:val="000000"/>
          <w:szCs w:val="20"/>
          <w:lang w:eastAsia="cs-CZ"/>
        </w:rPr>
      </w:pPr>
      <w:r w:rsidRPr="00111F34">
        <w:rPr>
          <w:rFonts w:eastAsia="Times New Roman"/>
          <w:b/>
          <w:bCs/>
          <w:caps/>
          <w:noProof/>
          <w:color w:val="000000"/>
          <w:szCs w:val="20"/>
          <w:lang w:eastAsia="cs-CZ"/>
        </w:rPr>
        <w:t xml:space="preserve">Příloha 2: </w:t>
      </w:r>
      <w:r w:rsidRPr="00111F34">
        <w:rPr>
          <w:rFonts w:eastAsia="Times New Roman"/>
          <w:b/>
          <w:bCs/>
          <w:caps/>
          <w:noProof/>
          <w:color w:val="000000"/>
          <w:szCs w:val="20"/>
          <w:lang w:eastAsia="cs-CZ"/>
        </w:rPr>
        <w:tab/>
      </w:r>
      <w:r w:rsidRPr="00111F34">
        <w:rPr>
          <w:b/>
          <w:bCs/>
        </w:rPr>
        <w:t>Akustická studie pro změnu Z </w:t>
      </w:r>
      <w:r w:rsidR="00A66B14">
        <w:rPr>
          <w:b/>
          <w:bCs/>
        </w:rPr>
        <w:t>3</w:t>
      </w:r>
      <w:r w:rsidRPr="00111F34">
        <w:rPr>
          <w:b/>
          <w:bCs/>
        </w:rPr>
        <w:t>827/00 územního plánu hlavního města Prahy</w:t>
      </w:r>
      <w:r w:rsidRPr="00CE4DC9">
        <w:rPr>
          <w:b/>
          <w:bCs/>
        </w:rPr>
        <w:t xml:space="preserve"> </w:t>
      </w:r>
    </w:p>
    <w:p w14:paraId="7CCEAA3B" w14:textId="77777777" w:rsidR="00CE4DC9" w:rsidRPr="001749D9" w:rsidRDefault="00CE4DC9" w:rsidP="00A42600">
      <w:pPr>
        <w:spacing w:before="0" w:after="160" w:line="259" w:lineRule="auto"/>
        <w:jc w:val="left"/>
        <w:rPr>
          <w:rFonts w:eastAsia="Times New Roman"/>
          <w:szCs w:val="20"/>
          <w:lang w:eastAsia="cs-CZ"/>
        </w:rPr>
      </w:pPr>
    </w:p>
    <w:sectPr w:rsidR="00CE4DC9" w:rsidRPr="001749D9" w:rsidSect="00F350F5">
      <w:headerReference w:type="default" r:id="rId145"/>
      <w:footerReference w:type="default" r:id="rId146"/>
      <w:headerReference w:type="first" r:id="rId147"/>
      <w:footerReference w:type="first" r:id="rId148"/>
      <w:pgSz w:w="11906" w:h="16838" w:code="9"/>
      <w:pgMar w:top="1276" w:right="1134" w:bottom="1134" w:left="1134" w:header="709" w:footer="562" w:gutter="0"/>
      <w:cols w:space="227"/>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17B726F" w14:textId="77777777" w:rsidR="004D255D" w:rsidRDefault="004D255D" w:rsidP="00ED1457">
      <w:r>
        <w:separator/>
      </w:r>
    </w:p>
  </w:endnote>
  <w:endnote w:type="continuationSeparator" w:id="0">
    <w:p w14:paraId="3B626351" w14:textId="77777777" w:rsidR="004D255D" w:rsidRDefault="004D255D" w:rsidP="00ED1457">
      <w:r>
        <w:continuationSeparator/>
      </w:r>
    </w:p>
  </w:endnote>
  <w:endnote w:type="continuationNotice" w:id="1">
    <w:p w14:paraId="480CF204" w14:textId="77777777" w:rsidR="004D255D" w:rsidRDefault="004D255D">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Segoe UI">
    <w:panose1 w:val="020B0502040204020203"/>
    <w:charset w:val="EE"/>
    <w:family w:val="swiss"/>
    <w:pitch w:val="variable"/>
    <w:sig w:usb0="E4002EFF" w:usb1="C000E47F" w:usb2="00000009" w:usb3="00000000" w:csb0="000001FF" w:csb1="00000000"/>
  </w:font>
  <w:font w:name="QHZKKN+FrankfurtGothic">
    <w:altName w:val="Arial"/>
    <w:panose1 w:val="00000000000000000000"/>
    <w:charset w:val="00"/>
    <w:family w:val="swiss"/>
    <w:notTrueType/>
    <w:pitch w:val="default"/>
    <w:sig w:usb0="00000001" w:usb1="00000000" w:usb2="00000000" w:usb3="00000000" w:csb0="00000003"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Liberation Sans">
    <w:altName w:val="Arial"/>
    <w:charset w:val="EE"/>
    <w:family w:val="swiss"/>
    <w:pitch w:val="variable"/>
  </w:font>
  <w:font w:name="Lucida Sans Unicode">
    <w:panose1 w:val="020B0602030504020204"/>
    <w:charset w:val="EE"/>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Minion Pro">
    <w:altName w:val="Times New Roman"/>
    <w:panose1 w:val="00000000000000000000"/>
    <w:charset w:val="00"/>
    <w:family w:val="roman"/>
    <w:notTrueType/>
    <w:pitch w:val="variable"/>
    <w:sig w:usb0="00000001" w:usb1="00000001" w:usb2="00000000" w:usb3="00000000" w:csb0="0000019F" w:csb1="00000000"/>
  </w:font>
  <w:font w:name="Myriad Pro">
    <w:altName w:val="Arial"/>
    <w:panose1 w:val="00000000000000000000"/>
    <w:charset w:val="00"/>
    <w:family w:val="swiss"/>
    <w:notTrueType/>
    <w:pitch w:val="variable"/>
    <w:sig w:usb0="00000001" w:usb1="00000001" w:usb2="00000000" w:usb3="00000000" w:csb0="0000019F" w:csb1="00000000"/>
  </w:font>
  <w:font w:name="Century Gothic">
    <w:panose1 w:val="020B0502020202020204"/>
    <w:charset w:val="EE"/>
    <w:family w:val="swiss"/>
    <w:pitch w:val="variable"/>
    <w:sig w:usb0="00000287" w:usb1="00000000" w:usb2="00000000" w:usb3="00000000" w:csb0="0000009F" w:csb1="00000000"/>
  </w:font>
  <w:font w:name="RobotoSlab-Regular">
    <w:altName w:val="Arial"/>
    <w:panose1 w:val="00000000000000000000"/>
    <w:charset w:val="EE"/>
    <w:family w:val="auto"/>
    <w:notTrueType/>
    <w:pitch w:val="default"/>
    <w:sig w:usb0="00000005" w:usb1="00000000" w:usb2="00000000" w:usb3="00000000" w:csb0="00000002" w:csb1="00000000"/>
  </w:font>
  <w:font w:name="UniversCE-CondensedBold">
    <w:altName w:val="MS Mincho"/>
    <w:panose1 w:val="00000000000000000000"/>
    <w:charset w:val="80"/>
    <w:family w:val="auto"/>
    <w:notTrueType/>
    <w:pitch w:val="default"/>
    <w:sig w:usb0="00000001" w:usb1="08070000" w:usb2="00000010" w:usb3="00000000" w:csb0="00020000" w:csb1="00000000"/>
  </w:font>
  <w:font w:name="Roboto">
    <w:altName w:val="Arial"/>
    <w:charset w:val="00"/>
    <w:family w:val="auto"/>
    <w:pitch w:val="variable"/>
    <w:sig w:usb0="E0000AFF" w:usb1="5000217F" w:usb2="00000021" w:usb3="00000000" w:csb0="0000019F"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EEC81E" w14:textId="77777777" w:rsidR="00A24C1D" w:rsidRPr="00A24C1D" w:rsidRDefault="00A24C1D" w:rsidP="00A24C1D">
    <w:pPr>
      <w:tabs>
        <w:tab w:val="right" w:pos="9638"/>
      </w:tabs>
      <w:spacing w:before="80"/>
      <w:rPr>
        <w:sz w:val="14"/>
        <w:highlight w:val="yellow"/>
      </w:rPr>
    </w:pPr>
    <w:r w:rsidRPr="00A24C1D">
      <w:rPr>
        <w:sz w:val="14"/>
      </w:rPr>
      <w:t>sp. zn. Jacobs Clean Energy s.r.o. / WC003082/ Z01</w:t>
    </w:r>
    <w:r w:rsidRPr="00A24C1D">
      <w:rPr>
        <w:sz w:val="14"/>
      </w:rPr>
      <w:tab/>
    </w:r>
    <w:r w:rsidRPr="00A24C1D">
      <w:rPr>
        <w:sz w:val="14"/>
      </w:rPr>
      <w:fldChar w:fldCharType="begin"/>
    </w:r>
    <w:r w:rsidRPr="00A24C1D">
      <w:rPr>
        <w:sz w:val="14"/>
      </w:rPr>
      <w:instrText xml:space="preserve"> PAGE   \* MERGEFORMAT </w:instrText>
    </w:r>
    <w:r w:rsidRPr="00A24C1D">
      <w:rPr>
        <w:sz w:val="14"/>
      </w:rPr>
      <w:fldChar w:fldCharType="separate"/>
    </w:r>
    <w:r w:rsidRPr="00A24C1D">
      <w:rPr>
        <w:sz w:val="14"/>
      </w:rPr>
      <w:t>203</w:t>
    </w:r>
    <w:r w:rsidRPr="00A24C1D">
      <w:rPr>
        <w:sz w:val="14"/>
      </w:rPr>
      <w:fldChar w:fldCharType="end"/>
    </w:r>
    <w:r w:rsidRPr="00A24C1D">
      <w:rPr>
        <w:sz w:val="14"/>
      </w:rPr>
      <w:t xml:space="preserve"> / </w:t>
    </w:r>
    <w:r w:rsidRPr="00A24C1D">
      <w:rPr>
        <w:noProof/>
        <w:sz w:val="14"/>
      </w:rPr>
      <w:fldChar w:fldCharType="begin"/>
    </w:r>
    <w:r w:rsidRPr="00A24C1D">
      <w:rPr>
        <w:noProof/>
        <w:sz w:val="14"/>
      </w:rPr>
      <w:instrText xml:space="preserve"> NUMPAGES  \* Arabic  \* MERGEFORMAT </w:instrText>
    </w:r>
    <w:r w:rsidRPr="00A24C1D">
      <w:rPr>
        <w:noProof/>
        <w:sz w:val="14"/>
      </w:rPr>
      <w:fldChar w:fldCharType="separate"/>
    </w:r>
    <w:r w:rsidRPr="00A24C1D">
      <w:rPr>
        <w:noProof/>
        <w:sz w:val="14"/>
      </w:rPr>
      <w:t>203</w:t>
    </w:r>
    <w:r w:rsidRPr="00A24C1D">
      <w:rPr>
        <w:noProof/>
        <w:sz w:val="14"/>
      </w:rPr>
      <w:fldChar w:fldCharType="end"/>
    </w:r>
  </w:p>
  <w:p w14:paraId="7D800DB2" w14:textId="77777777" w:rsidR="00A24C1D" w:rsidRPr="00A24C1D" w:rsidRDefault="00A24C1D" w:rsidP="00A24C1D">
    <w:pPr>
      <w:spacing w:before="0" w:after="240"/>
      <w:rPr>
        <w:sz w:val="14"/>
      </w:rPr>
    </w:pPr>
    <w:r w:rsidRPr="00A24C1D">
      <w:rPr>
        <w:sz w:val="14"/>
      </w:rPr>
      <w:t>sk. zn. A</w:t>
    </w:r>
    <w:r w:rsidRPr="00A24C1D">
      <w:rPr>
        <w:sz w:val="14"/>
      </w:rPr>
      <w:tab/>
    </w:r>
    <w:r w:rsidRPr="00A24C1D">
      <w:rPr>
        <w:sz w:val="14"/>
      </w:rPr>
      <w:tab/>
    </w:r>
    <w:r w:rsidRPr="00A24C1D">
      <w:rPr>
        <w:sz w:val="14"/>
      </w:rPr>
      <w:tab/>
    </w:r>
  </w:p>
  <w:p w14:paraId="5081546F" w14:textId="0386BC34" w:rsidR="00A24C1D" w:rsidRDefault="00A24C1D">
    <w:pPr>
      <w:pStyle w:val="Zpat"/>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7F6B9" w14:textId="0AAB12D9" w:rsidR="00A36775" w:rsidRDefault="00A36775" w:rsidP="007E1652">
    <w:pPr>
      <w:pStyle w:val="Zpat"/>
      <w:tabs>
        <w:tab w:val="clear" w:pos="9639"/>
        <w:tab w:val="right" w:pos="9638"/>
      </w:tabs>
      <w:rPr>
        <w:highlight w:val="yellow"/>
      </w:rPr>
    </w:pPr>
    <w:r>
      <w:t xml:space="preserve">sp. zn. </w:t>
    </w:r>
    <w:r w:rsidRPr="00B50BC1">
      <w:t>Jacobs Clean Energy</w:t>
    </w:r>
    <w:r>
      <w:t xml:space="preserve"> s.r.o. / WC003082/ Z01</w:t>
    </w:r>
    <w:r>
      <w:tab/>
    </w:r>
    <w:r>
      <w:fldChar w:fldCharType="begin"/>
    </w:r>
    <w:r>
      <w:instrText xml:space="preserve"> PAGE   \* MERGEFORMAT </w:instrText>
    </w:r>
    <w:r>
      <w:fldChar w:fldCharType="separate"/>
    </w:r>
    <w:r>
      <w:t>74</w:t>
    </w:r>
    <w:r>
      <w:fldChar w:fldCharType="end"/>
    </w:r>
    <w:r>
      <w:t xml:space="preserve"> / </w:t>
    </w:r>
    <w:r>
      <w:rPr>
        <w:noProof/>
      </w:rPr>
      <w:fldChar w:fldCharType="begin"/>
    </w:r>
    <w:r>
      <w:rPr>
        <w:noProof/>
      </w:rPr>
      <w:instrText xml:space="preserve"> NUMPAGES  \* Arabic  \* MERGEFORMAT </w:instrText>
    </w:r>
    <w:r>
      <w:rPr>
        <w:noProof/>
      </w:rPr>
      <w:fldChar w:fldCharType="separate"/>
    </w:r>
    <w:r>
      <w:rPr>
        <w:noProof/>
      </w:rPr>
      <w:t>133</w:t>
    </w:r>
    <w:r>
      <w:rPr>
        <w:noProof/>
      </w:rPr>
      <w:fldChar w:fldCharType="end"/>
    </w:r>
  </w:p>
  <w:p w14:paraId="7040D013" w14:textId="77777777" w:rsidR="00A36775" w:rsidRDefault="00A36775" w:rsidP="007E1652">
    <w:pPr>
      <w:pStyle w:val="Zpat"/>
      <w:tabs>
        <w:tab w:val="clear" w:pos="9639"/>
      </w:tabs>
      <w:spacing w:before="0" w:after="240"/>
    </w:pPr>
    <w:r>
      <w:t>sk. zn. A</w:t>
    </w:r>
    <w:r>
      <w:tab/>
    </w:r>
    <w:r>
      <w:tab/>
    </w:r>
    <w:r>
      <w:tab/>
    </w:r>
  </w:p>
  <w:p w14:paraId="017B63F0" w14:textId="77777777" w:rsidR="00A36775" w:rsidRDefault="00A36775"/>
  <w:p w14:paraId="75B5AB8D" w14:textId="77777777" w:rsidR="00A36775" w:rsidRDefault="00A36775"/>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6BC93C" w14:textId="77777777" w:rsidR="00A36775" w:rsidRDefault="00A36775" w:rsidP="007E1652">
    <w:pPr>
      <w:pStyle w:val="Zpat"/>
      <w:tabs>
        <w:tab w:val="clear" w:pos="9639"/>
        <w:tab w:val="right" w:pos="9638"/>
      </w:tabs>
      <w:rPr>
        <w:highlight w:val="yellow"/>
      </w:rPr>
    </w:pPr>
    <w:r>
      <w:t xml:space="preserve">sp. zn. </w:t>
    </w:r>
    <w:r w:rsidRPr="00B50BC1">
      <w:t>Jacobs Clean Energy</w:t>
    </w:r>
    <w:r>
      <w:t xml:space="preserve"> s.r.o. / WC003082/ Z01</w:t>
    </w:r>
    <w:r>
      <w:tab/>
    </w:r>
    <w:r>
      <w:fldChar w:fldCharType="begin"/>
    </w:r>
    <w:r>
      <w:instrText xml:space="preserve"> PAGE   \* MERGEFORMAT </w:instrText>
    </w:r>
    <w:r>
      <w:fldChar w:fldCharType="separate"/>
    </w:r>
    <w:r>
      <w:t>74</w:t>
    </w:r>
    <w:r>
      <w:fldChar w:fldCharType="end"/>
    </w:r>
    <w:r>
      <w:t xml:space="preserve"> / </w:t>
    </w:r>
    <w:r>
      <w:rPr>
        <w:noProof/>
      </w:rPr>
      <w:fldChar w:fldCharType="begin"/>
    </w:r>
    <w:r>
      <w:rPr>
        <w:noProof/>
      </w:rPr>
      <w:instrText xml:space="preserve"> NUMPAGES  \* Arabic  \* MERGEFORMAT </w:instrText>
    </w:r>
    <w:r>
      <w:rPr>
        <w:noProof/>
      </w:rPr>
      <w:fldChar w:fldCharType="separate"/>
    </w:r>
    <w:r>
      <w:rPr>
        <w:noProof/>
      </w:rPr>
      <w:t>133</w:t>
    </w:r>
    <w:r>
      <w:rPr>
        <w:noProof/>
      </w:rPr>
      <w:fldChar w:fldCharType="end"/>
    </w:r>
  </w:p>
  <w:p w14:paraId="6813F68F" w14:textId="77777777" w:rsidR="00A36775" w:rsidRDefault="00A36775" w:rsidP="007E1652">
    <w:pPr>
      <w:pStyle w:val="Zpat"/>
      <w:tabs>
        <w:tab w:val="clear" w:pos="9639"/>
      </w:tabs>
      <w:spacing w:before="0" w:after="240"/>
    </w:pPr>
    <w:r>
      <w:t>sk. zn. A</w:t>
    </w:r>
    <w:r>
      <w:tab/>
    </w:r>
    <w:r>
      <w:tab/>
    </w:r>
    <w:r>
      <w:tab/>
    </w:r>
  </w:p>
  <w:p w14:paraId="60E6BE23" w14:textId="77777777" w:rsidR="00A36775" w:rsidRDefault="00A36775"/>
  <w:p w14:paraId="0F193E07" w14:textId="77777777" w:rsidR="00A36775" w:rsidRDefault="00A36775"/>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4D0961" w14:textId="77777777" w:rsidR="00A36775" w:rsidRDefault="00A36775" w:rsidP="00F00D4B">
    <w:pPr>
      <w:pStyle w:val="Zpat"/>
      <w:ind w:right="-2582"/>
    </w:pPr>
    <w:r>
      <w:tab/>
      <w:t>amecfw.com</w:t>
    </w:r>
    <w:r>
      <w:tab/>
      <w:t xml:space="preserve">Page </w:t>
    </w:r>
    <w:r>
      <w:fldChar w:fldCharType="begin"/>
    </w:r>
    <w:r>
      <w:instrText xml:space="preserve"> PAGE   \* MERGEFORMAT </w:instrText>
    </w:r>
    <w:r>
      <w:fldChar w:fldCharType="separate"/>
    </w:r>
    <w:r>
      <w:rPr>
        <w:noProof/>
      </w:rPr>
      <w:t>124</w:t>
    </w:r>
    <w:r>
      <w:fldChar w:fldCharType="end"/>
    </w:r>
    <w:r>
      <w:t xml:space="preserve"> </w:t>
    </w:r>
    <w:proofErr w:type="spellStart"/>
    <w:r>
      <w:t>of</w:t>
    </w:r>
    <w:proofErr w:type="spellEnd"/>
    <w:r>
      <w:t xml:space="preserve"> </w:t>
    </w:r>
    <w:r>
      <w:rPr>
        <w:noProof/>
      </w:rPr>
      <w:fldChar w:fldCharType="begin"/>
    </w:r>
    <w:r>
      <w:rPr>
        <w:noProof/>
      </w:rPr>
      <w:instrText xml:space="preserve"> NUMPAGES   \* MERGEFORMAT </w:instrText>
    </w:r>
    <w:r>
      <w:rPr>
        <w:noProof/>
      </w:rPr>
      <w:fldChar w:fldCharType="separate"/>
    </w:r>
    <w:r>
      <w:rPr>
        <w:noProof/>
      </w:rPr>
      <w:t>124</w:t>
    </w:r>
    <w:r>
      <w:rPr>
        <w:noProof/>
      </w:rPr>
      <w:fldChar w:fldCharType="end"/>
    </w:r>
    <w:bookmarkStart w:id="434" w:name="_Toc316289997"/>
  </w:p>
  <w:bookmarkEnd w:id="434"/>
  <w:p w14:paraId="716D98B7" w14:textId="77777777" w:rsidR="00A36775" w:rsidRDefault="00A36775"/>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217A8A" w14:textId="77777777" w:rsidR="00A36775" w:rsidRDefault="00A36775" w:rsidP="002F727C">
    <w:pPr>
      <w:pStyle w:val="Zpat"/>
      <w:tabs>
        <w:tab w:val="clear" w:pos="9639"/>
        <w:tab w:val="right" w:pos="9638"/>
      </w:tabs>
      <w:rPr>
        <w:highlight w:val="yellow"/>
      </w:rPr>
    </w:pPr>
    <w:r>
      <w:t xml:space="preserve">sp. zn. </w:t>
    </w:r>
    <w:r w:rsidRPr="00B50BC1">
      <w:t>Jacobs Clean Energy</w:t>
    </w:r>
    <w:r>
      <w:t xml:space="preserve"> s.r.o. / WC003082/ Z01</w:t>
    </w:r>
    <w:r>
      <w:tab/>
    </w:r>
    <w:r>
      <w:tab/>
      <w:t xml:space="preserve">                                                                    </w:t>
    </w:r>
    <w:r>
      <w:fldChar w:fldCharType="begin"/>
    </w:r>
    <w:r>
      <w:instrText xml:space="preserve"> PAGE   \* MERGEFORMAT </w:instrText>
    </w:r>
    <w:r>
      <w:fldChar w:fldCharType="separate"/>
    </w:r>
    <w:r>
      <w:t>2</w:t>
    </w:r>
    <w:r>
      <w:fldChar w:fldCharType="end"/>
    </w:r>
    <w:r>
      <w:t xml:space="preserve"> / </w:t>
    </w:r>
    <w:r>
      <w:rPr>
        <w:noProof/>
      </w:rPr>
      <w:fldChar w:fldCharType="begin"/>
    </w:r>
    <w:r>
      <w:rPr>
        <w:noProof/>
      </w:rPr>
      <w:instrText xml:space="preserve"> NUMPAGES  \* Arabic  \* MERGEFORMAT </w:instrText>
    </w:r>
    <w:r>
      <w:rPr>
        <w:noProof/>
      </w:rPr>
      <w:fldChar w:fldCharType="separate"/>
    </w:r>
    <w:r>
      <w:rPr>
        <w:noProof/>
      </w:rPr>
      <w:t>26</w:t>
    </w:r>
    <w:r>
      <w:rPr>
        <w:noProof/>
      </w:rPr>
      <w:fldChar w:fldCharType="end"/>
    </w:r>
  </w:p>
  <w:p w14:paraId="7966D4B9" w14:textId="77777777" w:rsidR="00A36775" w:rsidRDefault="00A36775" w:rsidP="002F727C">
    <w:pPr>
      <w:pStyle w:val="Zpat"/>
      <w:tabs>
        <w:tab w:val="clear" w:pos="9639"/>
      </w:tabs>
      <w:spacing w:before="0" w:after="240"/>
    </w:pPr>
    <w:r>
      <w:t>sk. zn. A</w:t>
    </w:r>
  </w:p>
  <w:p w14:paraId="78FBC02E" w14:textId="77777777" w:rsidR="00A36775" w:rsidRPr="002F727C" w:rsidRDefault="00A36775" w:rsidP="002F727C">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562D9F" w14:textId="340F12F7" w:rsidR="00A36775" w:rsidRDefault="00A36775" w:rsidP="005320C9">
    <w:pPr>
      <w:pStyle w:val="Zpat"/>
      <w:tabs>
        <w:tab w:val="clear" w:pos="9639"/>
        <w:tab w:val="right" w:pos="9638"/>
      </w:tabs>
    </w:pPr>
    <w:r>
      <w:t xml:space="preserve">sp. zn. </w:t>
    </w:r>
    <w:r w:rsidRPr="00B50BC1">
      <w:t>Jacobs Clean Energy</w:t>
    </w:r>
    <w:r>
      <w:t xml:space="preserve"> s.r.o. / WC003082/ Z01</w:t>
    </w:r>
    <w:r>
      <w:tab/>
      <w:t xml:space="preserve">                                                                    </w:t>
    </w:r>
    <w:r>
      <w:fldChar w:fldCharType="begin"/>
    </w:r>
    <w:r>
      <w:instrText xml:space="preserve"> PAGE   \* MERGEFORMAT </w:instrText>
    </w:r>
    <w:r>
      <w:fldChar w:fldCharType="separate"/>
    </w:r>
    <w:r>
      <w:t>2</w:t>
    </w:r>
    <w:r>
      <w:fldChar w:fldCharType="end"/>
    </w:r>
    <w:r>
      <w:t xml:space="preserve"> / </w:t>
    </w:r>
    <w:r>
      <w:rPr>
        <w:noProof/>
      </w:rPr>
      <w:fldChar w:fldCharType="begin"/>
    </w:r>
    <w:r>
      <w:rPr>
        <w:noProof/>
      </w:rPr>
      <w:instrText xml:space="preserve"> NUMPAGES  \* Arabic  \* MERGEFORMAT </w:instrText>
    </w:r>
    <w:r>
      <w:rPr>
        <w:noProof/>
      </w:rPr>
      <w:fldChar w:fldCharType="separate"/>
    </w:r>
    <w:r>
      <w:rPr>
        <w:noProof/>
      </w:rPr>
      <w:t>26</w:t>
    </w:r>
    <w:r>
      <w:rPr>
        <w:noProof/>
      </w:rPr>
      <w:fldChar w:fldCharType="end"/>
    </w:r>
  </w:p>
  <w:p w14:paraId="1F8243FB" w14:textId="4BBB1D0C" w:rsidR="00A36775" w:rsidRPr="005320C9" w:rsidRDefault="00A36775" w:rsidP="005320C9">
    <w:pPr>
      <w:pStyle w:val="Zpat"/>
      <w:tabs>
        <w:tab w:val="clear" w:pos="9639"/>
        <w:tab w:val="right" w:pos="9638"/>
      </w:tabs>
      <w:spacing w:before="0"/>
      <w:rPr>
        <w:highlight w:val="yellow"/>
      </w:rPr>
    </w:pPr>
    <w:r>
      <w:t>sk. zn. A</w:t>
    </w:r>
  </w:p>
  <w:p w14:paraId="6376C0AF" w14:textId="77777777" w:rsidR="00A36775" w:rsidRPr="002F727C" w:rsidRDefault="00A36775" w:rsidP="002F727C">
    <w:pPr>
      <w:pStyle w:val="Zp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A0EB7D" w14:textId="420BEB02" w:rsidR="00A36775" w:rsidRDefault="00A36775" w:rsidP="007E1652">
    <w:pPr>
      <w:pStyle w:val="Zpat"/>
      <w:tabs>
        <w:tab w:val="clear" w:pos="9639"/>
        <w:tab w:val="right" w:pos="9638"/>
      </w:tabs>
      <w:rPr>
        <w:highlight w:val="yellow"/>
      </w:rPr>
    </w:pPr>
    <w:r>
      <w:t xml:space="preserve">sp. zn. </w:t>
    </w:r>
    <w:r w:rsidRPr="00B50BC1">
      <w:t>Jacobs Clean Energy</w:t>
    </w:r>
    <w:r>
      <w:t xml:space="preserve"> s.r.o. / WC003082/ Z01</w:t>
    </w:r>
    <w:r>
      <w:tab/>
    </w:r>
    <w:r>
      <w:tab/>
    </w:r>
    <w:r>
      <w:tab/>
    </w:r>
    <w:r>
      <w:tab/>
    </w:r>
    <w:r>
      <w:tab/>
    </w:r>
    <w:r>
      <w:fldChar w:fldCharType="begin"/>
    </w:r>
    <w:r>
      <w:instrText xml:space="preserve"> PAGE   \* MERGEFORMAT </w:instrText>
    </w:r>
    <w:r>
      <w:fldChar w:fldCharType="separate"/>
    </w:r>
    <w:r>
      <w:t>74</w:t>
    </w:r>
    <w:r>
      <w:fldChar w:fldCharType="end"/>
    </w:r>
    <w:r>
      <w:t xml:space="preserve"> / </w:t>
    </w:r>
    <w:r>
      <w:rPr>
        <w:noProof/>
      </w:rPr>
      <w:fldChar w:fldCharType="begin"/>
    </w:r>
    <w:r>
      <w:rPr>
        <w:noProof/>
      </w:rPr>
      <w:instrText xml:space="preserve"> NUMPAGES  \* Arabic  \* MERGEFORMAT </w:instrText>
    </w:r>
    <w:r>
      <w:rPr>
        <w:noProof/>
      </w:rPr>
      <w:fldChar w:fldCharType="separate"/>
    </w:r>
    <w:r>
      <w:rPr>
        <w:noProof/>
      </w:rPr>
      <w:t>133</w:t>
    </w:r>
    <w:r>
      <w:rPr>
        <w:noProof/>
      </w:rPr>
      <w:fldChar w:fldCharType="end"/>
    </w:r>
  </w:p>
  <w:p w14:paraId="3576D6A7" w14:textId="5AA19D8D" w:rsidR="00A36775" w:rsidRDefault="00A36775" w:rsidP="005320C9">
    <w:pPr>
      <w:pStyle w:val="Zpat"/>
      <w:tabs>
        <w:tab w:val="clear" w:pos="9639"/>
        <w:tab w:val="center" w:pos="7143"/>
      </w:tabs>
      <w:spacing w:before="0" w:after="240"/>
    </w:pPr>
    <w:r>
      <w:t>sk. zn. A</w:t>
    </w:r>
    <w:r>
      <w:tab/>
    </w:r>
    <w:r>
      <w:tab/>
    </w:r>
  </w:p>
  <w:p w14:paraId="6A75B655" w14:textId="77777777" w:rsidR="00A36775" w:rsidRDefault="00A36775"/>
  <w:p w14:paraId="38E0725A" w14:textId="6F29D8D0" w:rsidR="00A36775" w:rsidRDefault="00A36775"/>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EBA896" w14:textId="0B40466D" w:rsidR="00A36775" w:rsidRDefault="00A36775" w:rsidP="007E1652">
    <w:pPr>
      <w:pStyle w:val="Zpat"/>
      <w:tabs>
        <w:tab w:val="clear" w:pos="9639"/>
        <w:tab w:val="right" w:pos="9638"/>
      </w:tabs>
      <w:rPr>
        <w:highlight w:val="yellow"/>
      </w:rPr>
    </w:pPr>
    <w:r>
      <w:t xml:space="preserve">sp. zn. </w:t>
    </w:r>
    <w:r w:rsidRPr="00B50BC1">
      <w:t>Jacobs Clean Energy</w:t>
    </w:r>
    <w:r>
      <w:t xml:space="preserve"> s.r.o. / WC003082/ Z01</w:t>
    </w:r>
    <w:r>
      <w:tab/>
    </w:r>
    <w:r>
      <w:fldChar w:fldCharType="begin"/>
    </w:r>
    <w:r>
      <w:instrText xml:space="preserve"> PAGE   \* MERGEFORMAT </w:instrText>
    </w:r>
    <w:r>
      <w:fldChar w:fldCharType="separate"/>
    </w:r>
    <w:r>
      <w:t>74</w:t>
    </w:r>
    <w:r>
      <w:fldChar w:fldCharType="end"/>
    </w:r>
    <w:r>
      <w:t xml:space="preserve"> / </w:t>
    </w:r>
    <w:r>
      <w:rPr>
        <w:noProof/>
      </w:rPr>
      <w:fldChar w:fldCharType="begin"/>
    </w:r>
    <w:r>
      <w:rPr>
        <w:noProof/>
      </w:rPr>
      <w:instrText xml:space="preserve"> NUMPAGES  \* Arabic  \* MERGEFORMAT </w:instrText>
    </w:r>
    <w:r>
      <w:rPr>
        <w:noProof/>
      </w:rPr>
      <w:fldChar w:fldCharType="separate"/>
    </w:r>
    <w:r>
      <w:rPr>
        <w:noProof/>
      </w:rPr>
      <w:t>133</w:t>
    </w:r>
    <w:r>
      <w:rPr>
        <w:noProof/>
      </w:rPr>
      <w:fldChar w:fldCharType="end"/>
    </w:r>
  </w:p>
  <w:p w14:paraId="1EAF537E" w14:textId="4F8D8A12" w:rsidR="00A36775" w:rsidRDefault="00A36775" w:rsidP="007E1652">
    <w:pPr>
      <w:pStyle w:val="Zpat"/>
      <w:tabs>
        <w:tab w:val="clear" w:pos="9639"/>
      </w:tabs>
      <w:spacing w:before="0" w:after="240"/>
    </w:pPr>
    <w:r>
      <w:t>sk. zn. A</w:t>
    </w:r>
    <w:r>
      <w:tab/>
    </w:r>
    <w:r>
      <w:tab/>
    </w:r>
    <w:r>
      <w:tab/>
    </w:r>
  </w:p>
  <w:p w14:paraId="4722C9D0" w14:textId="77777777" w:rsidR="00A36775" w:rsidRDefault="00A36775"/>
  <w:p w14:paraId="1CA4FD84" w14:textId="77777777" w:rsidR="00A36775" w:rsidRDefault="00A36775"/>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B374EF" w14:textId="6F7719ED" w:rsidR="00A36775" w:rsidRDefault="00A36775" w:rsidP="007E1652">
    <w:pPr>
      <w:pStyle w:val="Zpat"/>
      <w:tabs>
        <w:tab w:val="clear" w:pos="9639"/>
        <w:tab w:val="right" w:pos="9638"/>
      </w:tabs>
      <w:rPr>
        <w:highlight w:val="yellow"/>
      </w:rPr>
    </w:pPr>
    <w:r>
      <w:t xml:space="preserve">sp. zn. </w:t>
    </w:r>
    <w:r w:rsidRPr="00B50BC1">
      <w:t>Jacobs Clean Energy</w:t>
    </w:r>
    <w:r>
      <w:t xml:space="preserve"> s.r.o. / WC003082/ Z01</w:t>
    </w:r>
    <w:r>
      <w:tab/>
    </w:r>
    <w:r>
      <w:tab/>
    </w:r>
    <w:r>
      <w:fldChar w:fldCharType="begin"/>
    </w:r>
    <w:r>
      <w:instrText xml:space="preserve"> PAGE   \* MERGEFORMAT </w:instrText>
    </w:r>
    <w:r>
      <w:fldChar w:fldCharType="separate"/>
    </w:r>
    <w:r>
      <w:t>74</w:t>
    </w:r>
    <w:r>
      <w:fldChar w:fldCharType="end"/>
    </w:r>
    <w:r>
      <w:t xml:space="preserve"> / </w:t>
    </w:r>
    <w:r>
      <w:rPr>
        <w:noProof/>
      </w:rPr>
      <w:fldChar w:fldCharType="begin"/>
    </w:r>
    <w:r>
      <w:rPr>
        <w:noProof/>
      </w:rPr>
      <w:instrText xml:space="preserve"> NUMPAGES  \* Arabic  \* MERGEFORMAT </w:instrText>
    </w:r>
    <w:r>
      <w:rPr>
        <w:noProof/>
      </w:rPr>
      <w:fldChar w:fldCharType="separate"/>
    </w:r>
    <w:r>
      <w:rPr>
        <w:noProof/>
      </w:rPr>
      <w:t>133</w:t>
    </w:r>
    <w:r>
      <w:rPr>
        <w:noProof/>
      </w:rPr>
      <w:fldChar w:fldCharType="end"/>
    </w:r>
  </w:p>
  <w:p w14:paraId="4D99B9AF" w14:textId="77777777" w:rsidR="00A36775" w:rsidRDefault="00A36775" w:rsidP="007E1652">
    <w:pPr>
      <w:pStyle w:val="Zpat"/>
      <w:tabs>
        <w:tab w:val="clear" w:pos="9639"/>
      </w:tabs>
      <w:spacing w:before="0" w:after="240"/>
    </w:pPr>
    <w:r>
      <w:t>sk. zn. A</w:t>
    </w:r>
    <w:r>
      <w:tab/>
    </w:r>
    <w:r>
      <w:tab/>
    </w:r>
    <w:r>
      <w:tab/>
    </w:r>
  </w:p>
  <w:p w14:paraId="1D7545A5" w14:textId="77777777" w:rsidR="00A36775" w:rsidRDefault="00A36775"/>
  <w:p w14:paraId="36FD80F7" w14:textId="77777777" w:rsidR="00A36775" w:rsidRDefault="00A36775"/>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C30CBC" w14:textId="77777777" w:rsidR="00A36775" w:rsidRDefault="00A36775" w:rsidP="00F00D4B">
    <w:pPr>
      <w:pStyle w:val="Zpat"/>
      <w:ind w:right="-2582"/>
    </w:pPr>
    <w:r>
      <w:tab/>
      <w:t>amecfw.com</w:t>
    </w:r>
    <w:r>
      <w:tab/>
      <w:t xml:space="preserve">Page </w:t>
    </w:r>
    <w:r>
      <w:fldChar w:fldCharType="begin"/>
    </w:r>
    <w:r>
      <w:instrText xml:space="preserve"> PAGE   \* MERGEFORMAT </w:instrText>
    </w:r>
    <w:r>
      <w:fldChar w:fldCharType="separate"/>
    </w:r>
    <w:r>
      <w:rPr>
        <w:noProof/>
      </w:rPr>
      <w:t>124</w:t>
    </w:r>
    <w:r>
      <w:fldChar w:fldCharType="end"/>
    </w:r>
    <w:r>
      <w:t xml:space="preserve"> </w:t>
    </w:r>
    <w:proofErr w:type="spellStart"/>
    <w:r>
      <w:t>of</w:t>
    </w:r>
    <w:proofErr w:type="spellEnd"/>
    <w:r>
      <w:t xml:space="preserve"> </w:t>
    </w:r>
    <w:r>
      <w:rPr>
        <w:noProof/>
      </w:rPr>
      <w:fldChar w:fldCharType="begin"/>
    </w:r>
    <w:r>
      <w:rPr>
        <w:noProof/>
      </w:rPr>
      <w:instrText xml:space="preserve"> NUMPAGES   \* MERGEFORMAT </w:instrText>
    </w:r>
    <w:r>
      <w:rPr>
        <w:noProof/>
      </w:rPr>
      <w:fldChar w:fldCharType="separate"/>
    </w:r>
    <w:r>
      <w:rPr>
        <w:noProof/>
      </w:rPr>
      <w:t>124</w:t>
    </w:r>
    <w:r>
      <w:rPr>
        <w:noProof/>
      </w:rPr>
      <w:fldChar w:fldCharType="end"/>
    </w:r>
    <w:bookmarkStart w:id="378" w:name="_Toc177956333"/>
    <w:bookmarkStart w:id="379" w:name="_Toc177984172"/>
    <w:bookmarkStart w:id="380" w:name="_Toc180296861"/>
    <w:bookmarkStart w:id="381" w:name="_Toc223153102"/>
    <w:bookmarkStart w:id="382" w:name="_Toc244223098"/>
    <w:bookmarkStart w:id="383" w:name="_Toc316289996"/>
  </w:p>
  <w:bookmarkEnd w:id="378"/>
  <w:bookmarkEnd w:id="379"/>
  <w:bookmarkEnd w:id="380"/>
  <w:bookmarkEnd w:id="381"/>
  <w:bookmarkEnd w:id="382"/>
  <w:bookmarkEnd w:id="383"/>
  <w:p w14:paraId="77CC3BC5" w14:textId="77777777" w:rsidR="00A36775" w:rsidRDefault="00A36775"/>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2B45D7" w14:textId="23638100" w:rsidR="00A36775" w:rsidRDefault="00A36775" w:rsidP="007E1652">
    <w:pPr>
      <w:pStyle w:val="Zpat"/>
      <w:tabs>
        <w:tab w:val="clear" w:pos="9639"/>
        <w:tab w:val="right" w:pos="9638"/>
      </w:tabs>
      <w:rPr>
        <w:highlight w:val="yellow"/>
      </w:rPr>
    </w:pPr>
    <w:r>
      <w:t xml:space="preserve">sp. zn. </w:t>
    </w:r>
    <w:r w:rsidRPr="00B50BC1">
      <w:t>Jacobs Clean Energy</w:t>
    </w:r>
    <w:r>
      <w:t xml:space="preserve"> s.r.o. / WC003082/ Z01</w:t>
    </w:r>
    <w:r>
      <w:tab/>
    </w:r>
    <w:r>
      <w:tab/>
    </w:r>
    <w:r>
      <w:tab/>
    </w:r>
    <w:r>
      <w:tab/>
    </w:r>
    <w:r>
      <w:tab/>
    </w:r>
    <w:r>
      <w:fldChar w:fldCharType="begin"/>
    </w:r>
    <w:r>
      <w:instrText xml:space="preserve"> PAGE   \* MERGEFORMAT </w:instrText>
    </w:r>
    <w:r>
      <w:fldChar w:fldCharType="separate"/>
    </w:r>
    <w:r>
      <w:t>74</w:t>
    </w:r>
    <w:r>
      <w:fldChar w:fldCharType="end"/>
    </w:r>
    <w:r>
      <w:t xml:space="preserve"> / </w:t>
    </w:r>
    <w:r>
      <w:rPr>
        <w:noProof/>
      </w:rPr>
      <w:fldChar w:fldCharType="begin"/>
    </w:r>
    <w:r>
      <w:rPr>
        <w:noProof/>
      </w:rPr>
      <w:instrText xml:space="preserve"> NUMPAGES  \* Arabic  \* MERGEFORMAT </w:instrText>
    </w:r>
    <w:r>
      <w:rPr>
        <w:noProof/>
      </w:rPr>
      <w:fldChar w:fldCharType="separate"/>
    </w:r>
    <w:r>
      <w:rPr>
        <w:noProof/>
      </w:rPr>
      <w:t>133</w:t>
    </w:r>
    <w:r>
      <w:rPr>
        <w:noProof/>
      </w:rPr>
      <w:fldChar w:fldCharType="end"/>
    </w:r>
  </w:p>
  <w:p w14:paraId="3F232964" w14:textId="77777777" w:rsidR="00A36775" w:rsidRDefault="00A36775" w:rsidP="007E1652">
    <w:pPr>
      <w:pStyle w:val="Zpat"/>
      <w:tabs>
        <w:tab w:val="clear" w:pos="9639"/>
      </w:tabs>
      <w:spacing w:before="0" w:after="240"/>
    </w:pPr>
    <w:r>
      <w:t>sk. zn. A</w:t>
    </w:r>
    <w:r>
      <w:tab/>
    </w:r>
    <w:r>
      <w:tab/>
    </w:r>
    <w:r>
      <w:tab/>
    </w:r>
  </w:p>
  <w:p w14:paraId="42F7A477" w14:textId="77777777" w:rsidR="00A36775" w:rsidRDefault="00A36775"/>
  <w:p w14:paraId="316D397B" w14:textId="77777777" w:rsidR="00A36775" w:rsidRDefault="00A36775"/>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53BAAB" w14:textId="77777777" w:rsidR="00A36775" w:rsidRDefault="00A36775" w:rsidP="007E1652">
    <w:pPr>
      <w:pStyle w:val="Zpat"/>
      <w:tabs>
        <w:tab w:val="clear" w:pos="9639"/>
        <w:tab w:val="right" w:pos="9638"/>
      </w:tabs>
      <w:rPr>
        <w:highlight w:val="yellow"/>
      </w:rPr>
    </w:pPr>
    <w:r>
      <w:t xml:space="preserve">sp. zn. </w:t>
    </w:r>
    <w:r w:rsidRPr="00B50BC1">
      <w:t>Jacobs Clean Energy</w:t>
    </w:r>
    <w:r>
      <w:t xml:space="preserve"> s.r.o. / WC003082/ Z01</w:t>
    </w:r>
    <w:r>
      <w:tab/>
    </w:r>
    <w:r>
      <w:tab/>
    </w:r>
    <w:r>
      <w:fldChar w:fldCharType="begin"/>
    </w:r>
    <w:r>
      <w:instrText xml:space="preserve"> PAGE   \* MERGEFORMAT </w:instrText>
    </w:r>
    <w:r>
      <w:fldChar w:fldCharType="separate"/>
    </w:r>
    <w:r>
      <w:t>74</w:t>
    </w:r>
    <w:r>
      <w:fldChar w:fldCharType="end"/>
    </w:r>
    <w:r>
      <w:t xml:space="preserve"> / </w:t>
    </w:r>
    <w:r>
      <w:rPr>
        <w:noProof/>
      </w:rPr>
      <w:fldChar w:fldCharType="begin"/>
    </w:r>
    <w:r>
      <w:rPr>
        <w:noProof/>
      </w:rPr>
      <w:instrText xml:space="preserve"> NUMPAGES  \* Arabic  \* MERGEFORMAT </w:instrText>
    </w:r>
    <w:r>
      <w:rPr>
        <w:noProof/>
      </w:rPr>
      <w:fldChar w:fldCharType="separate"/>
    </w:r>
    <w:r>
      <w:rPr>
        <w:noProof/>
      </w:rPr>
      <w:t>133</w:t>
    </w:r>
    <w:r>
      <w:rPr>
        <w:noProof/>
      </w:rPr>
      <w:fldChar w:fldCharType="end"/>
    </w:r>
  </w:p>
  <w:p w14:paraId="792D1B3E" w14:textId="77777777" w:rsidR="00A36775" w:rsidRDefault="00A36775" w:rsidP="007E1652">
    <w:pPr>
      <w:pStyle w:val="Zpat"/>
      <w:tabs>
        <w:tab w:val="clear" w:pos="9639"/>
      </w:tabs>
      <w:spacing w:before="0" w:after="240"/>
    </w:pPr>
    <w:r>
      <w:t>sk. zn. A</w:t>
    </w:r>
    <w:r>
      <w:tab/>
    </w:r>
    <w:r>
      <w:tab/>
    </w:r>
    <w:r>
      <w:tab/>
    </w:r>
  </w:p>
  <w:p w14:paraId="527B13BB" w14:textId="77777777" w:rsidR="00A36775" w:rsidRDefault="00A36775"/>
  <w:p w14:paraId="56B0D0A9" w14:textId="77777777" w:rsidR="00A36775" w:rsidRDefault="00A3677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0A13C5" w14:textId="77777777" w:rsidR="004D255D" w:rsidRDefault="004D255D" w:rsidP="00ED1457">
      <w:r>
        <w:separator/>
      </w:r>
    </w:p>
  </w:footnote>
  <w:footnote w:type="continuationSeparator" w:id="0">
    <w:p w14:paraId="500132AE" w14:textId="77777777" w:rsidR="004D255D" w:rsidRDefault="004D255D" w:rsidP="00ED1457">
      <w:r>
        <w:continuationSeparator/>
      </w:r>
    </w:p>
  </w:footnote>
  <w:footnote w:type="continuationNotice" w:id="1">
    <w:p w14:paraId="41C20DCE" w14:textId="77777777" w:rsidR="004D255D" w:rsidRDefault="004D255D">
      <w:pPr>
        <w:spacing w:before="0"/>
      </w:pPr>
    </w:p>
  </w:footnote>
  <w:footnote w:id="2">
    <w:p w14:paraId="12412B81" w14:textId="77777777" w:rsidR="00A36775" w:rsidRDefault="00A36775" w:rsidP="00CC78F3">
      <w:pPr>
        <w:pStyle w:val="Textpoznpodarou"/>
        <w:rPr>
          <w:rFonts w:cs="Arial"/>
        </w:rPr>
      </w:pPr>
      <w:r>
        <w:rPr>
          <w:rStyle w:val="Znakapoznpodarou"/>
          <w:rFonts w:cs="Arial"/>
        </w:rPr>
        <w:footnoteRef/>
      </w:r>
      <w:r>
        <w:rPr>
          <w:rFonts w:cs="Arial"/>
        </w:rPr>
        <w:t xml:space="preserve"> Pro snadnější orientaci odpovídá v závorce uváděné číslování odstavcům originálního znění Politiky územního rozvoje.</w:t>
      </w:r>
    </w:p>
  </w:footnote>
  <w:footnote w:id="3">
    <w:p w14:paraId="1B32C029" w14:textId="77777777" w:rsidR="00A36775" w:rsidRDefault="00A36775" w:rsidP="004A5172">
      <w:pPr>
        <w:pStyle w:val="Textpoznpodarou"/>
      </w:pPr>
      <w:r>
        <w:rPr>
          <w:rStyle w:val="Znakapoznpodarou"/>
        </w:rPr>
        <w:footnoteRef/>
      </w:r>
      <w:r>
        <w:t xml:space="preserve"> Kartogram neobsahuje propojení Voctářova-Balabenka, je vázán na projednání změny Z 3125/00, tzn. na předpoklad, že východní část městského okruhu bude dále sledována dle aktuálního technického návrhu této komunikace.</w:t>
      </w:r>
    </w:p>
  </w:footnote>
  <w:footnote w:id="4">
    <w:p w14:paraId="3B8C8E11" w14:textId="77777777" w:rsidR="00A36775" w:rsidRDefault="00A36775" w:rsidP="00DF5D27">
      <w:pPr>
        <w:pStyle w:val="Textpoznpodarou"/>
      </w:pPr>
      <w:r>
        <w:rPr>
          <w:rStyle w:val="Znakapoznpodarou"/>
        </w:rPr>
        <w:footnoteRef/>
      </w:r>
      <w:r>
        <w:t xml:space="preserve"> Uvedené orientační hranice jsou součty pro celou rozvojovou lokalitu a je třeba je chápat jako přibližnou hranici, bez ostrého rozhraní, která má vazbu na územní kontext konkrétní posuzované lokality. To znamená, že nelze striktně rozdělovat např. zábor ZPF v rozsahu 4,99 ha a zábor ZPF v rozsahu 5,01 ha. Oba takové zábory by měly stejné hodnocení v závislosti na kvalitě zabírané půdy a místního kontextu rozsahu zbytkového ZPF v okolí, organizace ZPF a kvality půdy v místě. V případě liniových staveb nelze brát absolutní výměru záboru půdy jako nepřekročitelné kritérium, je třeba zohlednit vliv stavby na organizaci ZPF a lokalizaci stavby z hlediska zemědělského využití území a možnosti minimalizovat zábor ZPF nejvyšší kvality vhodným výběrem trasy. Tyto aspekty vstupující do rozhodování o určení míry vlivy jsou blíže komentovány v hodnotících tabulkách.</w:t>
      </w:r>
    </w:p>
  </w:footnote>
  <w:footnote w:id="5">
    <w:p w14:paraId="1A32EE01" w14:textId="35D71BF9" w:rsidR="00A36775" w:rsidRDefault="00A36775" w:rsidP="00DF5D27">
      <w:pPr>
        <w:pStyle w:val="Textpoznpodarou"/>
      </w:pPr>
      <w:r>
        <w:rPr>
          <w:rStyle w:val="Znakapoznpodarou"/>
        </w:rPr>
        <w:footnoteRef/>
      </w:r>
      <w:r>
        <w:t xml:space="preserve"> Nepropustné plochy jsou uvažovány jako plochy odvodňované s orientačním podílem cca 60 % u ploch bydlení a cca 80 % u ostatních typů zastavitelných ploch.</w:t>
      </w:r>
    </w:p>
  </w:footnote>
  <w:footnote w:id="6">
    <w:p w14:paraId="2EE16F4F" w14:textId="7688FA46" w:rsidR="00A36775" w:rsidRDefault="00A36775" w:rsidP="00DF5D27">
      <w:pPr>
        <w:pStyle w:val="Textpoznpodarou"/>
      </w:pPr>
      <w:r>
        <w:rPr>
          <w:rStyle w:val="Znakapoznpodarou"/>
        </w:rPr>
        <w:footnoteRef/>
      </w:r>
      <w:r>
        <w:t xml:space="preserve"> Hranice hodnocení jednotlivých stupňů míry významnosti vlivy vyplývá z charakteristiky jednotlivých</w:t>
      </w:r>
      <w:r w:rsidRPr="00736851">
        <w:t xml:space="preserve"> referenčních cílů ochrany ŽP a způsobu hodnocení</w:t>
      </w:r>
      <w:r>
        <w:t>, viz tabulka 5.</w:t>
      </w:r>
    </w:p>
  </w:footnote>
  <w:footnote w:id="7">
    <w:p w14:paraId="19780677" w14:textId="604FCDDB" w:rsidR="00A36775" w:rsidRDefault="00A36775" w:rsidP="00DF5D27">
      <w:pPr>
        <w:pStyle w:val="Textpoznpodarou"/>
      </w:pPr>
      <w:r>
        <w:rPr>
          <w:rStyle w:val="Znakapoznpodarou"/>
        </w:rPr>
        <w:footnoteRef/>
      </w:r>
      <w:r>
        <w:t xml:space="preserve"> Zda se jedná o vliv přímý nebo nepřímý či sekundární (zprostředkovaný) je blíže charakterizováno v hodnotících komentářích. </w:t>
      </w:r>
    </w:p>
  </w:footnote>
  <w:footnote w:id="8">
    <w:p w14:paraId="2C9CB1C3" w14:textId="0505A70E" w:rsidR="00A36775" w:rsidRDefault="00A36775" w:rsidP="00DF5D27">
      <w:pPr>
        <w:pStyle w:val="Textpoznpodarou"/>
      </w:pPr>
      <w:r>
        <w:rPr>
          <w:rStyle w:val="Znakapoznpodarou"/>
        </w:rPr>
        <w:footnoteRef/>
      </w:r>
      <w:r>
        <w:t xml:space="preserve"> Hodnocení odpovídá potenciálním možnosti ovlivnění sledovaného jevu, charakteristiky nebo cíle reprezentovaného referenčním cílem.</w:t>
      </w:r>
    </w:p>
  </w:footnote>
  <w:footnote w:id="9">
    <w:p w14:paraId="125C57F7" w14:textId="17D637AB" w:rsidR="00A36775" w:rsidRDefault="00A36775" w:rsidP="00DF5D27">
      <w:pPr>
        <w:pStyle w:val="Textpoznpodarou"/>
      </w:pPr>
      <w:r>
        <w:rPr>
          <w:rStyle w:val="Znakapoznpodarou"/>
        </w:rPr>
        <w:footnoteRef/>
      </w:r>
      <w:r>
        <w:t xml:space="preserve"> Přímý vliv znamená bezprostřední působení důsledků navrhovaného opatření v řešeném území nebo vůči sledované složce – přímý průmět vlivu do území.</w:t>
      </w:r>
    </w:p>
  </w:footnote>
  <w:footnote w:id="10">
    <w:p w14:paraId="7BA75533" w14:textId="6D6AC51A" w:rsidR="00A36775" w:rsidRDefault="00A36775" w:rsidP="00DF5D27">
      <w:pPr>
        <w:pStyle w:val="Textpoznpodarou"/>
      </w:pPr>
      <w:r>
        <w:rPr>
          <w:rStyle w:val="Znakapoznpodarou"/>
        </w:rPr>
        <w:footnoteRef/>
      </w:r>
      <w:r>
        <w:t xml:space="preserve"> Nepřímý vliv znamená zprostředkované působení důsledků navrhovaného opatření na sledované složky, resp. témata životního prostředí a veřejného zdraví tj. např. působení podpory nízkoemisní dopravy zprostředkovaně na kvalitu ovzduší.</w:t>
      </w:r>
    </w:p>
  </w:footnote>
  <w:footnote w:id="11">
    <w:p w14:paraId="5D7C87C0" w14:textId="406AF60E" w:rsidR="00A36775" w:rsidRDefault="00A36775" w:rsidP="00DF5D27">
      <w:pPr>
        <w:pStyle w:val="Textpoznpodarou"/>
      </w:pPr>
      <w:r>
        <w:rPr>
          <w:rStyle w:val="Znakapoznpodarou"/>
        </w:rPr>
        <w:footnoteRef/>
      </w:r>
      <w:r>
        <w:t xml:space="preserve"> Sekundární vliv působí následně tj. např. působení zásahu do přírodě blízkých ekosystémů v důsledku vymezení zastavitelných ploch na šíření invazních druhů.</w:t>
      </w:r>
    </w:p>
  </w:footnote>
  <w:footnote w:id="12">
    <w:p w14:paraId="0D70C544" w14:textId="77777777" w:rsidR="00A36775" w:rsidRDefault="00A36775" w:rsidP="00DF5D27">
      <w:pPr>
        <w:pStyle w:val="Textpoznpodarou"/>
      </w:pPr>
      <w:r>
        <w:rPr>
          <w:rStyle w:val="Znakapoznpodarou"/>
        </w:rPr>
        <w:footnoteRef/>
      </w:r>
      <w:r>
        <w:t xml:space="preserve"> </w:t>
      </w:r>
      <w:r w:rsidRPr="0063782A">
        <w:rPr>
          <w:sz w:val="16"/>
          <w:szCs w:val="18"/>
        </w:rPr>
        <w:t>Zjištění vlivu však automaticky neznamená, že k významně negativnímu ovlivnění vždy dojde. Při hodnocení v této kategorii je stanoveno opatření k vyloučení, minimalizaci nebo kompenzaci vlivů</w:t>
      </w:r>
      <w:r>
        <w:t>.</w:t>
      </w:r>
    </w:p>
  </w:footnote>
  <w:footnote w:id="13">
    <w:p w14:paraId="3A4C867D" w14:textId="77777777" w:rsidR="00A36775" w:rsidRDefault="00A36775" w:rsidP="00DF5D27">
      <w:pPr>
        <w:pStyle w:val="Textpoznpodarou"/>
      </w:pPr>
      <w:r w:rsidRPr="00202F60">
        <w:rPr>
          <w:rStyle w:val="Znakapoznpodarou"/>
          <w:sz w:val="16"/>
        </w:rPr>
        <w:footnoteRef/>
      </w:r>
      <w:r w:rsidRPr="00202F60">
        <w:rPr>
          <w:sz w:val="16"/>
        </w:rPr>
        <w:t xml:space="preserve"> Pozn.: </w:t>
      </w:r>
      <w:r>
        <w:rPr>
          <w:sz w:val="16"/>
        </w:rPr>
        <w:t xml:space="preserve">například </w:t>
      </w:r>
      <w:r w:rsidRPr="00202F60">
        <w:rPr>
          <w:sz w:val="16"/>
        </w:rPr>
        <w:t xml:space="preserve">kód </w:t>
      </w:r>
      <w:r w:rsidRPr="003A298E">
        <w:rPr>
          <w:sz w:val="16"/>
          <w:bdr w:val="single" w:sz="18" w:space="0" w:color="FF0000"/>
          <w:shd w:val="clear" w:color="auto" w:fill="97DE74"/>
        </w:rPr>
        <w:t>+1/B/dp/S</w:t>
      </w:r>
      <w:r w:rsidRPr="00202F60">
        <w:rPr>
          <w:sz w:val="16"/>
        </w:rPr>
        <w:t xml:space="preserve"> tak znamená mírně pozitivní vliv s místním dosahem, dlouhodobým působením a pozitivním spolupůsobením se synergickým efektem v kontextu ostatních plánovaných záměrů v širším území, přičemž v bezprostředním okolí řešené plochy nebo koridoru se může projevit mírně negativní vliv (např. v případě nějakého hlukově chráněného objektu v blízkosti křižovatky dopravních koridorů apod.)</w:t>
      </w:r>
      <w:r>
        <w:rPr>
          <w:sz w:val="16"/>
        </w:rPr>
        <w:t xml:space="preserve"> viz výše uvedená stupnice hodnocení.</w:t>
      </w:r>
    </w:p>
  </w:footnote>
  <w:footnote w:id="14">
    <w:p w14:paraId="17415C9C" w14:textId="77777777" w:rsidR="00A36775" w:rsidRPr="00E650CB" w:rsidRDefault="00A36775" w:rsidP="00BA64D4">
      <w:pPr>
        <w:rPr>
          <w:sz w:val="18"/>
        </w:rPr>
      </w:pPr>
      <w:r w:rsidRPr="00E650CB">
        <w:rPr>
          <w:rStyle w:val="Znakapoznpodarou"/>
          <w:sz w:val="18"/>
        </w:rPr>
        <w:footnoteRef/>
      </w:r>
      <w:r w:rsidRPr="00E650CB">
        <w:rPr>
          <w:sz w:val="18"/>
        </w:rPr>
        <w:t xml:space="preserve"> Ze souboru sledovaných cílů a indikátorů dle ÚAP Praha byly vybrány ty, které mají vazbu na posuzovanou ÚPD, které podstatně ovlivňují řešené území, nebo které jsou podstatně ovlivněny návrhem řešené změny územního plánu, případně jej podstatně ovlivňují a lze u nich tento vliv prokázat. V případě, že sledovaný cíl je vůči posuzované ÚPD relevantní, ale nemá stanovený žádný indikátor, je hodnocení provedeno ve formě komentáře.</w:t>
      </w:r>
    </w:p>
    <w:p w14:paraId="418A98E0" w14:textId="77777777" w:rsidR="00A36775" w:rsidRDefault="00A36775" w:rsidP="00BA64D4">
      <w:pPr>
        <w:pStyle w:val="Textpoznpodarou"/>
      </w:pPr>
    </w:p>
  </w:footnote>
  <w:footnote w:id="15">
    <w:p w14:paraId="7D1798CC" w14:textId="77777777" w:rsidR="00A36775" w:rsidRDefault="00A36775" w:rsidP="00BA64D4">
      <w:pPr>
        <w:pStyle w:val="Textpoznpodarou"/>
      </w:pPr>
      <w:r>
        <w:rPr>
          <w:rStyle w:val="Znakapoznpodarou"/>
        </w:rPr>
        <w:footnoteRef/>
      </w:r>
      <w:r>
        <w:t xml:space="preserve"> Tučně jsou sledované cíle. Kurzívou zvýrazněny jsou ty indikátory, které jsou převzaty z ÚAP Praha pro kraj a mají tak nadmístní význam</w:t>
      </w:r>
    </w:p>
  </w:footnote>
  <w:footnote w:id="16">
    <w:p w14:paraId="70920964" w14:textId="77777777" w:rsidR="00A36775" w:rsidRPr="00E650CB" w:rsidRDefault="00A36775" w:rsidP="00BA64D4">
      <w:pPr>
        <w:rPr>
          <w:sz w:val="18"/>
        </w:rPr>
      </w:pPr>
      <w:r w:rsidRPr="00E650CB">
        <w:rPr>
          <w:rStyle w:val="Znakapoznpodarou"/>
          <w:sz w:val="18"/>
        </w:rPr>
        <w:footnoteRef/>
      </w:r>
      <w:r w:rsidRPr="00E650CB">
        <w:rPr>
          <w:sz w:val="18"/>
        </w:rPr>
        <w:t xml:space="preserve"> Ze souboru sledovaných cílů a indikátorů dle ÚAP Praha byly vybrány ty, které mají vazbu na posuzovanou ÚPD, které podstatně ovlivňují řešené území, nebo které jsou podstatně ovlivněny návrhem řešené změny územního plánu, případně jej podstatně ovlivňují a lze u nich tento vliv prokázat. V případě, že sledovaný cíl je vůči posuzované ÚPD relevantní, ale nemá stanovený žádný indikátor, je hodnocení provedeno ve formě komentáře.</w:t>
      </w:r>
    </w:p>
    <w:p w14:paraId="2D7F2AC1" w14:textId="77777777" w:rsidR="00A36775" w:rsidRDefault="00A36775" w:rsidP="00BA64D4">
      <w:pPr>
        <w:pStyle w:val="Textpoznpodarou"/>
      </w:pPr>
    </w:p>
  </w:footnote>
  <w:footnote w:id="17">
    <w:p w14:paraId="0297F779" w14:textId="77777777" w:rsidR="00A36775" w:rsidRDefault="00A36775" w:rsidP="00BA64D4">
      <w:pPr>
        <w:pStyle w:val="Textpoznpodarou"/>
      </w:pPr>
      <w:r>
        <w:rPr>
          <w:rStyle w:val="Znakapoznpodarou"/>
        </w:rPr>
        <w:footnoteRef/>
      </w:r>
      <w:r>
        <w:t xml:space="preserve"> Tučně jsou sledované cíle. Kurzívou zvýrazněny jsou ty indikátory, které jsou převzaty z ÚAP Praha pro kraj a mají tak nadmístní význam</w:t>
      </w:r>
    </w:p>
  </w:footnote>
  <w:footnote w:id="18">
    <w:p w14:paraId="597E2A46" w14:textId="77777777" w:rsidR="00A36775" w:rsidRPr="00E650CB" w:rsidRDefault="00A36775" w:rsidP="00C61521">
      <w:pPr>
        <w:rPr>
          <w:sz w:val="18"/>
        </w:rPr>
      </w:pPr>
      <w:r w:rsidRPr="00E650CB">
        <w:rPr>
          <w:rStyle w:val="Znakapoznpodarou"/>
          <w:sz w:val="18"/>
        </w:rPr>
        <w:footnoteRef/>
      </w:r>
      <w:r w:rsidRPr="00E650CB">
        <w:rPr>
          <w:sz w:val="18"/>
        </w:rPr>
        <w:t xml:space="preserve"> Ze souboru sledovaných cílů a indikátorů dle ÚAP Praha byly vybrány ty, které mají vazbu na posuzovanou ÚPD, které podstatně ovlivňují řešené území, nebo které jsou podstatně ovlivněny návrhem řešené změny územního plánu, případně jej podstatně ovlivňují a lze u nich tento vliv prokázat. V případě, že sledovaný cíl je vůči posuzované ÚPD relevantní, ale nemá stanovený žádný indikátor, je hodnocení provedeno ve formě komentáře.</w:t>
      </w:r>
    </w:p>
    <w:p w14:paraId="5828AD6C" w14:textId="77777777" w:rsidR="00A36775" w:rsidRDefault="00A36775" w:rsidP="00C61521">
      <w:pPr>
        <w:pStyle w:val="Textpoznpodarou"/>
      </w:pPr>
    </w:p>
  </w:footnote>
  <w:footnote w:id="19">
    <w:p w14:paraId="2B91FAF3" w14:textId="77777777" w:rsidR="00A36775" w:rsidRDefault="00A36775" w:rsidP="00C61521">
      <w:pPr>
        <w:pStyle w:val="Textpoznpodarou"/>
      </w:pPr>
      <w:r>
        <w:rPr>
          <w:rStyle w:val="Znakapoznpodarou"/>
        </w:rPr>
        <w:footnoteRef/>
      </w:r>
      <w:r>
        <w:t xml:space="preserve"> Tučně jsou sledované principy udržitelného rozvoje a cíle. Kurzívou zvýrazněny jsou ty indikátory, které jsou převzaty z ÚAP Praha pro kraj a mají tak nadmístní význam</w:t>
      </w:r>
    </w:p>
  </w:footnote>
  <w:footnote w:id="20">
    <w:p w14:paraId="3BE04A72" w14:textId="77777777" w:rsidR="00A36775" w:rsidRDefault="00A36775" w:rsidP="001C07BE">
      <w:pPr>
        <w:pStyle w:val="Textpoznpodarou"/>
      </w:pPr>
      <w:r>
        <w:rPr>
          <w:rStyle w:val="Znakapoznpodarou"/>
        </w:rPr>
        <w:footnoteRef/>
      </w:r>
      <w:r>
        <w:t xml:space="preserve"> Z hodnot sledovaných v ÚAP Praha byly vybrány ty hodnoty, které jsou relevantní z hlediska územně plánovací dokumentace</w:t>
      </w:r>
    </w:p>
  </w:footnote>
  <w:footnote w:id="21">
    <w:p w14:paraId="7A8F4534" w14:textId="77777777" w:rsidR="00A36775" w:rsidRDefault="00A36775" w:rsidP="009B13BF">
      <w:pPr>
        <w:pStyle w:val="Textpoznpodarou"/>
      </w:pPr>
      <w:r>
        <w:rPr>
          <w:rStyle w:val="Znakapoznpodarou"/>
        </w:rPr>
        <w:footnoteRef/>
      </w:r>
      <w:r>
        <w:t xml:space="preserve"> uvedené orientační hranice jsou součty pro celou rozvojovou lokalitu a je třeba je chápat jako přibližnou hranici, bez ostrého rozhraní, která má vazbu na územní kontext konkrétní posuzované lokality.</w:t>
      </w:r>
    </w:p>
  </w:footnote>
  <w:footnote w:id="22">
    <w:p w14:paraId="655EC876" w14:textId="77777777" w:rsidR="00A36775" w:rsidRDefault="00A36775" w:rsidP="009B13BF">
      <w:pPr>
        <w:pStyle w:val="Textpoznpodarou"/>
      </w:pPr>
      <w:r>
        <w:rPr>
          <w:rStyle w:val="Znakapoznpodarou"/>
        </w:rPr>
        <w:footnoteRef/>
      </w:r>
      <w:r>
        <w:t xml:space="preserve"> cestovní ruch ve smyslu referenčního cíle 2.4 je chápán jako víkendová, eventová, kongresová i prázdninová turistika ovlivňující mobilitu jak v rámci aglomerace, tak i s nadregionálním významem – jedná se o aktivity vyvolané přítomností atraktivit cestovního ruchu (typicky např. centrum města, přírodní a kulturní atraktivity Šárka, Petřín, Stromovka, Obora Hvězda apod.) nebo volnočasové a sportovní infrastruktury s nadmístním významem (aquaparky, sjezdovky, lanovky, single traily, rozhledny, naučné stezky, cyklo, hipo a in-line infrastruktura apod.)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1F1888" w14:textId="1BCAD017" w:rsidR="00A24C1D" w:rsidRDefault="00A24C1D" w:rsidP="00A24C1D">
    <w:r w:rsidRPr="007E1652">
      <w:rPr>
        <w:sz w:val="14"/>
        <w:szCs w:val="14"/>
      </w:rPr>
      <w:t>Vyhodnocení vlivů na udržitelný rozvoj území</w:t>
    </w:r>
    <w:r>
      <w:rPr>
        <w:sz w:val="14"/>
        <w:szCs w:val="14"/>
      </w:rPr>
      <w:tab/>
    </w:r>
    <w:r>
      <w:rPr>
        <w:sz w:val="14"/>
        <w:szCs w:val="14"/>
      </w:rPr>
      <w:tab/>
    </w:r>
    <w:r>
      <w:rPr>
        <w:sz w:val="14"/>
        <w:szCs w:val="14"/>
      </w:rPr>
      <w:tab/>
    </w:r>
    <w:r>
      <w:rPr>
        <w:sz w:val="14"/>
        <w:szCs w:val="14"/>
      </w:rPr>
      <w:tab/>
    </w:r>
    <w:r>
      <w:rPr>
        <w:sz w:val="14"/>
        <w:szCs w:val="14"/>
      </w:rPr>
      <w:tab/>
    </w:r>
    <w:r>
      <w:object w:dxaOrig="4370" w:dyaOrig="1052" w14:anchorId="3DBA42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72.1pt;height:13.2pt">
          <v:imagedata r:id="rId1" o:title=""/>
        </v:shape>
        <o:OLEObject Type="Embed" ProgID="CorelDRAW.Graphic.13" ShapeID="_x0000_i1037" DrawAspect="Content" ObjectID="_1752925988" r:id="rId2"/>
      </w:obje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67AA4B" w14:textId="235E307E" w:rsidR="00A36775" w:rsidRDefault="00A36775" w:rsidP="00A8264D">
    <w:pPr>
      <w:tabs>
        <w:tab w:val="left" w:pos="2622"/>
        <w:tab w:val="left" w:pos="5735"/>
        <w:tab w:val="right" w:pos="9638"/>
      </w:tabs>
      <w:spacing w:before="0"/>
    </w:pPr>
    <w:r w:rsidRPr="007E1652">
      <w:rPr>
        <w:sz w:val="14"/>
        <w:szCs w:val="14"/>
      </w:rPr>
      <w:t>Vyhodnocení vlivů na udržitelný rozvoj územ</w:t>
    </w:r>
    <w:r>
      <w:rPr>
        <w:sz w:val="14"/>
        <w:szCs w:val="14"/>
      </w:rPr>
      <w:t xml:space="preserve">í </w:t>
    </w:r>
    <w:r>
      <w:tab/>
    </w:r>
    <w:r>
      <w:tab/>
    </w:r>
    <w:r>
      <w:tab/>
    </w:r>
    <w:r>
      <w:tab/>
    </w:r>
    <w:r>
      <w:tab/>
    </w:r>
    <w:r>
      <w:object w:dxaOrig="4370" w:dyaOrig="1052" w14:anchorId="6FB596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in;height:13.5pt">
          <v:imagedata r:id="rId1" o:title=""/>
        </v:shape>
        <o:OLEObject Type="Embed" ProgID="CorelDRAW.Graphic.13" ShapeID="_x0000_i1032" DrawAspect="Content" ObjectID="_1752925997" r:id="rId2"/>
      </w:obje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BF9708" w14:textId="77777777" w:rsidR="00A36775" w:rsidRDefault="00A36775" w:rsidP="00A8264D">
    <w:pPr>
      <w:tabs>
        <w:tab w:val="left" w:pos="2622"/>
        <w:tab w:val="left" w:pos="5735"/>
        <w:tab w:val="right" w:pos="9638"/>
      </w:tabs>
      <w:spacing w:before="0"/>
    </w:pPr>
    <w:r w:rsidRPr="007E1652">
      <w:rPr>
        <w:sz w:val="14"/>
        <w:szCs w:val="14"/>
      </w:rPr>
      <w:t>Vyhodnocení vlivů na udržitelný rozvoj územ</w:t>
    </w:r>
    <w:r>
      <w:rPr>
        <w:sz w:val="14"/>
        <w:szCs w:val="14"/>
      </w:rPr>
      <w:t xml:space="preserve">í </w:t>
    </w:r>
    <w:r>
      <w:tab/>
    </w:r>
    <w:r>
      <w:tab/>
    </w:r>
    <w:r>
      <w:object w:dxaOrig="4370" w:dyaOrig="1052" w14:anchorId="5AFBE6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in;height:13.5pt">
          <v:imagedata r:id="rId1" o:title=""/>
        </v:shape>
        <o:OLEObject Type="Embed" ProgID="CorelDRAW.Graphic.13" ShapeID="_x0000_i1033" DrawAspect="Content" ObjectID="_1752925998" r:id="rId2"/>
      </w:objec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33FE7" w14:textId="149FE776" w:rsidR="00A36775" w:rsidRDefault="00A36775" w:rsidP="007E1652">
    <w:pPr>
      <w:tabs>
        <w:tab w:val="left" w:pos="2622"/>
        <w:tab w:val="right" w:pos="9638"/>
      </w:tabs>
    </w:pPr>
    <w:r w:rsidRPr="007E1652">
      <w:rPr>
        <w:sz w:val="14"/>
        <w:szCs w:val="14"/>
      </w:rPr>
      <w:t>Vyhodnocení vlivů na udržitelný rozvoj územ</w:t>
    </w:r>
    <w:r>
      <w:rPr>
        <w:sz w:val="14"/>
        <w:szCs w:val="14"/>
      </w:rPr>
      <w:t>í</w:t>
    </w:r>
    <w:r>
      <w:tab/>
    </w:r>
    <w:r>
      <w:tab/>
    </w:r>
    <w:r>
      <w:tab/>
    </w:r>
    <w:r>
      <w:tab/>
    </w:r>
    <w:r>
      <w:object w:dxaOrig="4370" w:dyaOrig="1052" w14:anchorId="4C435E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4" type="#_x0000_t75" style="width:1in;height:13.5pt">
          <v:imagedata r:id="rId1" o:title=""/>
        </v:shape>
        <o:OLEObject Type="Embed" ProgID="CorelDRAW.Graphic.13" ShapeID="_x0000_i1034" DrawAspect="Content" ObjectID="_1752925999" r:id="rId2"/>
      </w:objec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C89CE0" w14:textId="5F1D8DFA" w:rsidR="00A36775" w:rsidRDefault="00A36775" w:rsidP="007E1652">
    <w:pPr>
      <w:tabs>
        <w:tab w:val="left" w:pos="2622"/>
        <w:tab w:val="right" w:pos="9638"/>
      </w:tabs>
    </w:pPr>
    <w:r w:rsidRPr="007E1652">
      <w:rPr>
        <w:sz w:val="14"/>
        <w:szCs w:val="14"/>
      </w:rPr>
      <w:t>Vyhodnocení vlivů na udržitelný rozvoj územ</w:t>
    </w:r>
    <w:r>
      <w:rPr>
        <w:sz w:val="14"/>
        <w:szCs w:val="14"/>
      </w:rPr>
      <w:t>í</w:t>
    </w:r>
    <w:r>
      <w:tab/>
    </w:r>
    <w:r>
      <w:object w:dxaOrig="4370" w:dyaOrig="1052" w14:anchorId="09896A8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1in;height:13.5pt">
          <v:imagedata r:id="rId1" o:title=""/>
        </v:shape>
        <o:OLEObject Type="Embed" ProgID="CorelDRAW.Graphic.13" ShapeID="_x0000_i1035" DrawAspect="Content" ObjectID="_1752926000" r:id="rId2"/>
      </w:objec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BF0447" w14:textId="6060A9E5" w:rsidR="00A36775" w:rsidRDefault="00A24C1D" w:rsidP="00A24C1D">
    <w:r w:rsidRPr="007E1652">
      <w:rPr>
        <w:sz w:val="14"/>
        <w:szCs w:val="14"/>
      </w:rPr>
      <w:t>Vyhodnocení vlivů na udržitelný rozvoj území</w:t>
    </w:r>
    <w:r>
      <w:rPr>
        <w:sz w:val="14"/>
        <w:szCs w:val="14"/>
      </w:rPr>
      <w:tab/>
    </w:r>
    <w:r>
      <w:rPr>
        <w:sz w:val="14"/>
        <w:szCs w:val="14"/>
      </w:rPr>
      <w:tab/>
    </w:r>
    <w:r>
      <w:rPr>
        <w:sz w:val="14"/>
        <w:szCs w:val="14"/>
      </w:rPr>
      <w:tab/>
    </w:r>
    <w:r>
      <w:rPr>
        <w:sz w:val="14"/>
        <w:szCs w:val="14"/>
      </w:rPr>
      <w:tab/>
    </w:r>
    <w:r>
      <w:rPr>
        <w:sz w:val="14"/>
        <w:szCs w:val="14"/>
      </w:rPr>
      <w:tab/>
    </w:r>
    <w:r>
      <w:object w:dxaOrig="4370" w:dyaOrig="1052" w14:anchorId="5E6AC0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7" type="#_x0000_t75" style="width:1in;height:13.5pt">
          <v:imagedata r:id="rId1" o:title=""/>
        </v:shape>
        <o:OLEObject Type="Embed" ProgID="CorelDRAW.Graphic.13" ShapeID="_x0000_i1047" DrawAspect="Content" ObjectID="_1752926001" r:id="rId2"/>
      </w:objec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BAF552" w14:textId="77777777" w:rsidR="00A36775" w:rsidRDefault="00A36775"/>
  <w:p w14:paraId="5D6223E1" w14:textId="77777777" w:rsidR="00A36775" w:rsidRDefault="00A3677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EC0C7C" w14:textId="4C14B2BA" w:rsidR="00A24C1D" w:rsidRPr="004856A2" w:rsidRDefault="004856A2" w:rsidP="004856A2">
    <w:pPr>
      <w:pStyle w:val="Zhlav"/>
      <w:jc w:val="right"/>
    </w:pPr>
    <w:r>
      <w:object w:dxaOrig="4370" w:dyaOrig="1052" w14:anchorId="62C21E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8" type="#_x0000_t75" style="width:126.05pt;height:30pt;mso-position-vertical:absolute">
          <v:imagedata r:id="rId1" o:title=""/>
        </v:shape>
        <o:OLEObject Type="Embed" ProgID="CorelDRAW.Graphic.13" ShapeID="_x0000_i1058" DrawAspect="Content" ObjectID="_1752925989" r:id="rId2"/>
      </w:obje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0FC767" w14:textId="36BC3D73" w:rsidR="00A36775" w:rsidRDefault="00A36775" w:rsidP="005320C9">
    <w:pPr>
      <w:pStyle w:val="Zhlav"/>
      <w:tabs>
        <w:tab w:val="clear" w:pos="9072"/>
        <w:tab w:val="left" w:pos="702"/>
        <w:tab w:val="right" w:pos="9498"/>
        <w:tab w:val="right" w:pos="9638"/>
      </w:tabs>
    </w:pPr>
    <w:r w:rsidRPr="007E1652">
      <w:rPr>
        <w:sz w:val="14"/>
        <w:szCs w:val="14"/>
      </w:rPr>
      <w:t>Vyhodnocení vlivů na udržitelný rozvoj území</w:t>
    </w:r>
    <w:r>
      <w:t xml:space="preserve"> </w:t>
    </w:r>
    <w:r>
      <w:tab/>
    </w:r>
    <w:r>
      <w:tab/>
    </w:r>
    <w:r>
      <w:tab/>
    </w:r>
    <w:r>
      <w:tab/>
    </w:r>
    <w:r>
      <w:tab/>
    </w:r>
    <w:r>
      <w:tab/>
    </w:r>
    <w:r>
      <w:object w:dxaOrig="4370" w:dyaOrig="1052" w14:anchorId="07A1B7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2.1pt;height:15pt">
          <v:imagedata r:id="rId1" o:title=""/>
        </v:shape>
        <o:OLEObject Type="Embed" ProgID="CorelDRAW.Graphic.13" ShapeID="_x0000_i1025" DrawAspect="Content" ObjectID="_1752925990" r:id="rId2"/>
      </w:obje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7D17F" w14:textId="5F6B4440" w:rsidR="00A36775" w:rsidRDefault="00A36775" w:rsidP="00A24C1D">
    <w:pPr>
      <w:tabs>
        <w:tab w:val="left" w:pos="2622"/>
      </w:tabs>
    </w:pPr>
    <w:r w:rsidRPr="007E1652">
      <w:rPr>
        <w:sz w:val="14"/>
        <w:szCs w:val="14"/>
      </w:rPr>
      <w:t>Vyhodnocení vlivů na udržitelný rozvoj území</w:t>
    </w:r>
    <w:r>
      <w:rPr>
        <w:sz w:val="14"/>
        <w:szCs w:val="14"/>
      </w:rPr>
      <w:t xml:space="preserve">     </w:t>
    </w:r>
    <w:r>
      <w:rPr>
        <w:sz w:val="14"/>
        <w:szCs w:val="14"/>
      </w:rPr>
      <w:tab/>
    </w:r>
    <w:r>
      <w:rPr>
        <w:sz w:val="14"/>
        <w:szCs w:val="14"/>
      </w:rPr>
      <w:tab/>
    </w:r>
    <w:r>
      <w:rPr>
        <w:sz w:val="14"/>
        <w:szCs w:val="14"/>
      </w:rPr>
      <w:tab/>
    </w:r>
    <w:r>
      <w:rPr>
        <w:sz w:val="14"/>
        <w:szCs w:val="14"/>
      </w:rPr>
      <w:tab/>
    </w:r>
    <w:r>
      <w:rPr>
        <w:sz w:val="14"/>
        <w:szCs w:val="14"/>
      </w:rPr>
      <w:tab/>
    </w:r>
    <w:r>
      <w:t xml:space="preserve"> </w:t>
    </w:r>
    <w:r>
      <w:object w:dxaOrig="4370" w:dyaOrig="1052" w14:anchorId="24D03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72.1pt;height:13.8pt">
          <v:imagedata r:id="rId1" o:title=""/>
        </v:shape>
        <o:OLEObject Type="Embed" ProgID="CorelDRAW.Graphic.13" ShapeID="_x0000_i1026" DrawAspect="Content" ObjectID="_1752925991" r:id="rId2"/>
      </w:obje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4FD29" w14:textId="77777777" w:rsidR="00A36775" w:rsidRDefault="00A36775" w:rsidP="0063344A">
    <w:pPr>
      <w:pStyle w:val="Zhlav"/>
      <w:jc w:val="right"/>
    </w:pPr>
    <w:r>
      <w:object w:dxaOrig="4370" w:dyaOrig="1052" w14:anchorId="633B10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28.9pt;height:28.8pt">
          <v:imagedata r:id="rId1" o:title=""/>
        </v:shape>
        <o:OLEObject Type="Embed" ProgID="CorelDRAW.Graphic.13" ShapeID="_x0000_i1027" DrawAspect="Content" ObjectID="_1752925992" r:id="rId2"/>
      </w:obje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910F84" w14:textId="4157628D" w:rsidR="00A36775" w:rsidRDefault="00A36775" w:rsidP="005320C9">
    <w:r w:rsidRPr="007E1652">
      <w:rPr>
        <w:sz w:val="14"/>
        <w:szCs w:val="14"/>
      </w:rPr>
      <w:t>Vyhodnocení vlivů na udržitelný rozvoj území</w:t>
    </w:r>
    <w:r>
      <w:rPr>
        <w:sz w:val="14"/>
        <w:szCs w:val="14"/>
      </w:rPr>
      <w:tab/>
    </w:r>
    <w:r>
      <w:rPr>
        <w:sz w:val="14"/>
        <w:szCs w:val="14"/>
      </w:rPr>
      <w:tab/>
    </w:r>
    <w:r>
      <w:rPr>
        <w:sz w:val="14"/>
        <w:szCs w:val="14"/>
      </w:rPr>
      <w:tab/>
    </w:r>
    <w:r>
      <w:rPr>
        <w:sz w:val="14"/>
        <w:szCs w:val="14"/>
      </w:rPr>
      <w:tab/>
    </w:r>
    <w:r>
      <w:rPr>
        <w:sz w:val="14"/>
        <w:szCs w:val="14"/>
      </w:rPr>
      <w:tab/>
    </w:r>
    <w:r>
      <w:rPr>
        <w:sz w:val="14"/>
        <w:szCs w:val="14"/>
      </w:rPr>
      <w:tab/>
    </w:r>
    <w:r>
      <w:rPr>
        <w:sz w:val="14"/>
        <w:szCs w:val="14"/>
      </w:rPr>
      <w:tab/>
    </w:r>
    <w:r>
      <w:rPr>
        <w:sz w:val="14"/>
        <w:szCs w:val="14"/>
      </w:rPr>
      <w:tab/>
    </w:r>
    <w:r>
      <w:rPr>
        <w:sz w:val="14"/>
        <w:szCs w:val="14"/>
      </w:rPr>
      <w:tab/>
    </w:r>
    <w:r>
      <w:object w:dxaOrig="4370" w:dyaOrig="1052" w14:anchorId="4B95EB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72.1pt;height:13.8pt">
          <v:imagedata r:id="rId1" o:title=""/>
        </v:shape>
        <o:OLEObject Type="Embed" ProgID="CorelDRAW.Graphic.13" ShapeID="_x0000_i1028" DrawAspect="Content" ObjectID="_1752925993" r:id="rId2"/>
      </w:obje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okmarkStart w:id="247" w:name="_Hlk33604502"/>
  <w:p w14:paraId="4CC1E88D" w14:textId="01246AA0" w:rsidR="00A36775" w:rsidRDefault="00A36775" w:rsidP="0063344A">
    <w:pPr>
      <w:pStyle w:val="Zhlav"/>
      <w:jc w:val="right"/>
    </w:pPr>
    <w:r>
      <w:object w:dxaOrig="4370" w:dyaOrig="1052" w14:anchorId="739821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28.9pt;height:28.8pt">
          <v:imagedata r:id="rId1" o:title=""/>
        </v:shape>
        <o:OLEObject Type="Embed" ProgID="CorelDRAW.Graphic.13" ShapeID="_x0000_i1029" DrawAspect="Content" ObjectID="_1752925994" r:id="rId2"/>
      </w:object>
    </w:r>
    <w:bookmarkEnd w:id="247"/>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D16C50" w14:textId="03F615C4" w:rsidR="00A36775" w:rsidRDefault="00A36775" w:rsidP="005320C9">
    <w:r w:rsidRPr="007E1652">
      <w:rPr>
        <w:sz w:val="14"/>
        <w:szCs w:val="14"/>
      </w:rPr>
      <w:t>Vyhodnocení vlivů na udržitelný rozvoj území</w:t>
    </w:r>
    <w:r>
      <w:rPr>
        <w:sz w:val="14"/>
        <w:szCs w:val="14"/>
      </w:rPr>
      <w:tab/>
    </w:r>
    <w:r>
      <w:rPr>
        <w:sz w:val="14"/>
        <w:szCs w:val="14"/>
      </w:rPr>
      <w:tab/>
    </w:r>
    <w:r>
      <w:rPr>
        <w:sz w:val="14"/>
        <w:szCs w:val="14"/>
      </w:rPr>
      <w:tab/>
    </w:r>
    <w:r>
      <w:rPr>
        <w:sz w:val="14"/>
        <w:szCs w:val="14"/>
      </w:rPr>
      <w:tab/>
    </w:r>
    <w:r>
      <w:rPr>
        <w:sz w:val="14"/>
        <w:szCs w:val="14"/>
      </w:rPr>
      <w:tab/>
    </w:r>
    <w:r>
      <w:object w:dxaOrig="4370" w:dyaOrig="1052" w14:anchorId="52833D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72.1pt;height:13.2pt">
          <v:imagedata r:id="rId1" o:title=""/>
        </v:shape>
        <o:OLEObject Type="Embed" ProgID="CorelDRAW.Graphic.13" ShapeID="_x0000_i1030" DrawAspect="Content" ObjectID="_1752925995" r:id="rId2"/>
      </w:objec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3962ED" w14:textId="26D6C43D" w:rsidR="00A36775" w:rsidRDefault="00A36775" w:rsidP="00A8264D">
    <w:pPr>
      <w:tabs>
        <w:tab w:val="left" w:pos="2622"/>
        <w:tab w:val="right" w:pos="9638"/>
      </w:tabs>
      <w:spacing w:before="0"/>
    </w:pPr>
    <w:r w:rsidRPr="007E1652">
      <w:rPr>
        <w:sz w:val="14"/>
        <w:szCs w:val="14"/>
      </w:rPr>
      <w:t>Vyhodnocení vlivů na udržitelný rozvoj územ</w:t>
    </w:r>
    <w:r>
      <w:rPr>
        <w:sz w:val="14"/>
        <w:szCs w:val="14"/>
      </w:rPr>
      <w:t>í</w:t>
    </w:r>
    <w:r>
      <w:tab/>
    </w:r>
    <w:r>
      <w:object w:dxaOrig="4370" w:dyaOrig="1052" w14:anchorId="36CB5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1" type="#_x0000_t75" style="width:1in;height:13.5pt">
          <v:imagedata r:id="rId1" o:title=""/>
        </v:shape>
        <o:OLEObject Type="Embed" ProgID="CorelDRAW.Graphic.13" ShapeID="_x0000_i1031" DrawAspect="Content" ObjectID="_1752925996" r:id="rId2"/>
      </w:obje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75CA4D28"/>
    <w:lvl w:ilvl="0">
      <w:start w:val="1"/>
      <w:numFmt w:val="decimal"/>
      <w:pStyle w:val="Tabulkanzev"/>
      <w:lvlText w:val="Tab. %1"/>
      <w:lvlJc w:val="left"/>
      <w:pPr>
        <w:ind w:left="3763" w:hanging="360"/>
      </w:pPr>
      <w:rPr>
        <w:rFonts w:ascii="Arial" w:hAnsi="Arial" w:hint="default"/>
        <w:b/>
        <w:i w:val="0"/>
        <w:color w:val="0070C0"/>
        <w:sz w:val="18"/>
      </w:rPr>
    </w:lvl>
  </w:abstractNum>
  <w:abstractNum w:abstractNumId="1" w15:restartNumberingAfterBreak="0">
    <w:nsid w:val="01B93E26"/>
    <w:multiLevelType w:val="hybridMultilevel"/>
    <w:tmpl w:val="FF5057A2"/>
    <w:lvl w:ilvl="0" w:tplc="04050001">
      <w:start w:val="1"/>
      <w:numFmt w:val="bullet"/>
      <w:lvlText w:val=""/>
      <w:lvlJc w:val="left"/>
      <w:pPr>
        <w:ind w:left="1080" w:hanging="360"/>
      </w:pPr>
      <w:rPr>
        <w:rFonts w:ascii="Symbol" w:hAnsi="Symbol" w:hint="default"/>
        <w:color w:val="88C540"/>
        <w:sz w:val="18"/>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2" w15:restartNumberingAfterBreak="0">
    <w:nsid w:val="039C21FB"/>
    <w:multiLevelType w:val="hybridMultilevel"/>
    <w:tmpl w:val="2098BD8E"/>
    <w:lvl w:ilvl="0" w:tplc="6F2A0FE0">
      <w:start w:val="1"/>
      <w:numFmt w:val="bullet"/>
      <w:pStyle w:val="Odsazentext"/>
      <w:lvlText w:val=""/>
      <w:lvlJc w:val="left"/>
      <w:pPr>
        <w:tabs>
          <w:tab w:val="num" w:pos="1287"/>
        </w:tabs>
        <w:ind w:left="1287" w:hanging="360"/>
      </w:pPr>
      <w:rPr>
        <w:rFonts w:ascii="Symbol" w:hAnsi="Symbol" w:hint="default"/>
      </w:rPr>
    </w:lvl>
    <w:lvl w:ilvl="1" w:tplc="04090003">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 w15:restartNumberingAfterBreak="0">
    <w:nsid w:val="04CA6961"/>
    <w:multiLevelType w:val="hybridMultilevel"/>
    <w:tmpl w:val="519676F6"/>
    <w:lvl w:ilvl="0" w:tplc="C1A0C07E">
      <w:start w:val="2"/>
      <w:numFmt w:val="bullet"/>
      <w:lvlText w:val="-"/>
      <w:lvlJc w:val="left"/>
      <w:pPr>
        <w:ind w:left="720" w:hanging="360"/>
      </w:pPr>
      <w:rPr>
        <w:rFonts w:ascii="Arial" w:eastAsia="Arial"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65A54F7"/>
    <w:multiLevelType w:val="hybridMultilevel"/>
    <w:tmpl w:val="6BF8981C"/>
    <w:lvl w:ilvl="0" w:tplc="1A8A8A78">
      <w:start w:val="1"/>
      <w:numFmt w:val="bullet"/>
      <w:pStyle w:val="Odrky1"/>
      <w:lvlText w:val="●"/>
      <w:lvlJc w:val="left"/>
      <w:pPr>
        <w:ind w:left="360" w:hanging="360"/>
      </w:pPr>
      <w:rPr>
        <w:rFonts w:ascii="Arial" w:hAnsi="Arial" w:hint="default"/>
        <w:color w:val="88C540"/>
        <w:sz w:val="18"/>
      </w:rPr>
    </w:lvl>
    <w:lvl w:ilvl="1" w:tplc="08090003">
      <w:start w:val="1"/>
      <w:numFmt w:val="bullet"/>
      <w:lvlText w:val="o"/>
      <w:lvlJc w:val="left"/>
      <w:pPr>
        <w:ind w:left="1353"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66A3622"/>
    <w:multiLevelType w:val="hybridMultilevel"/>
    <w:tmpl w:val="E17029D6"/>
    <w:lvl w:ilvl="0" w:tplc="04050001">
      <w:start w:val="1"/>
      <w:numFmt w:val="bullet"/>
      <w:lvlText w:val=""/>
      <w:lvlJc w:val="left"/>
      <w:pPr>
        <w:ind w:left="720" w:hanging="360"/>
      </w:pPr>
      <w:rPr>
        <w:rFonts w:ascii="Symbol" w:hAnsi="Symbol" w:hint="default"/>
        <w:color w:val="88C540"/>
        <w:sz w:val="18"/>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06FF0C65"/>
    <w:multiLevelType w:val="hybridMultilevel"/>
    <w:tmpl w:val="45320AFC"/>
    <w:lvl w:ilvl="0" w:tplc="04050001">
      <w:start w:val="1"/>
      <w:numFmt w:val="bullet"/>
      <w:lvlText w:val=""/>
      <w:lvlJc w:val="left"/>
      <w:pPr>
        <w:ind w:left="720" w:hanging="360"/>
      </w:pPr>
      <w:rPr>
        <w:rFonts w:ascii="Symbol" w:hAnsi="Symbol" w:hint="default"/>
        <w:color w:val="88C540"/>
        <w:sz w:val="18"/>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0ACE29C7"/>
    <w:multiLevelType w:val="hybridMultilevel"/>
    <w:tmpl w:val="10505162"/>
    <w:lvl w:ilvl="0" w:tplc="04050001">
      <w:start w:val="1"/>
      <w:numFmt w:val="bullet"/>
      <w:lvlText w:val=""/>
      <w:lvlJc w:val="left"/>
      <w:rPr>
        <w:rFonts w:ascii="Symbol" w:hAnsi="Symbol" w:hint="default"/>
        <w:b w:val="0"/>
        <w:bCs w:val="0"/>
        <w:i w:val="0"/>
        <w:iCs w:val="0"/>
        <w:caps w:val="0"/>
        <w:smallCaps w:val="0"/>
        <w:strike w:val="0"/>
        <w:dstrike w:val="0"/>
        <w:noProof w:val="0"/>
        <w:vanish w:val="0"/>
        <w:color w:val="88C540"/>
        <w:spacing w:val="0"/>
        <w:kern w:val="0"/>
        <w:position w:val="0"/>
        <w:sz w:val="18"/>
        <w:u w:val="none"/>
        <w:effect w:val="none"/>
        <w:vertAlign w:val="baseline"/>
        <w:em w:val="none"/>
        <w:specVanish w:val="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 w15:restartNumberingAfterBreak="0">
    <w:nsid w:val="0DAC3055"/>
    <w:multiLevelType w:val="hybridMultilevel"/>
    <w:tmpl w:val="B798C81C"/>
    <w:lvl w:ilvl="0" w:tplc="2452B724">
      <w:start w:val="1"/>
      <w:numFmt w:val="bullet"/>
      <w:lvlText w:val="►"/>
      <w:lvlJc w:val="left"/>
      <w:pPr>
        <w:ind w:left="720" w:hanging="360"/>
      </w:pPr>
      <w:rPr>
        <w:rFonts w:ascii="Arial" w:hAnsi="Arial" w:hint="default"/>
        <w:color w:val="1F497D" w:themeColor="text2"/>
        <w:sz w:val="18"/>
      </w:rPr>
    </w:lvl>
    <w:lvl w:ilvl="1" w:tplc="A156E9EE">
      <w:numFmt w:val="bullet"/>
      <w:lvlText w:val="•"/>
      <w:lvlJc w:val="left"/>
      <w:pPr>
        <w:ind w:left="1440" w:hanging="360"/>
      </w:pPr>
      <w:rPr>
        <w:rFonts w:ascii="Arial" w:eastAsiaTheme="minorHAnsi" w:hAnsi="Arial" w:cs="Arial"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0E2260B4"/>
    <w:multiLevelType w:val="hybridMultilevel"/>
    <w:tmpl w:val="2E2CA9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0E481326"/>
    <w:multiLevelType w:val="hybridMultilevel"/>
    <w:tmpl w:val="DFA0C094"/>
    <w:lvl w:ilvl="0" w:tplc="2452B724">
      <w:start w:val="1"/>
      <w:numFmt w:val="bullet"/>
      <w:lvlText w:val="►"/>
      <w:lvlJc w:val="left"/>
      <w:pPr>
        <w:ind w:left="720" w:hanging="360"/>
      </w:pPr>
      <w:rPr>
        <w:rFonts w:ascii="Arial" w:hAnsi="Arial" w:hint="default"/>
        <w:color w:val="1F497D" w:themeColor="text2"/>
        <w:sz w:val="18"/>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0E55185E"/>
    <w:multiLevelType w:val="hybridMultilevel"/>
    <w:tmpl w:val="119A8888"/>
    <w:lvl w:ilvl="0" w:tplc="2452B724">
      <w:start w:val="1"/>
      <w:numFmt w:val="bullet"/>
      <w:lvlText w:val="►"/>
      <w:lvlJc w:val="left"/>
      <w:pPr>
        <w:ind w:left="360" w:hanging="360"/>
      </w:pPr>
      <w:rPr>
        <w:rFonts w:ascii="Arial" w:hAnsi="Arial" w:hint="default"/>
        <w:color w:val="1F497D" w:themeColor="text2"/>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3AE21CD"/>
    <w:multiLevelType w:val="hybridMultilevel"/>
    <w:tmpl w:val="4F04C678"/>
    <w:lvl w:ilvl="0" w:tplc="3BF6D966">
      <w:start w:val="1"/>
      <w:numFmt w:val="bullet"/>
      <w:pStyle w:val="Odrky3"/>
      <w:lvlText w:val="●"/>
      <w:lvlJc w:val="left"/>
      <w:pPr>
        <w:ind w:left="927" w:hanging="360"/>
      </w:pPr>
      <w:rPr>
        <w:rFonts w:ascii="Arial" w:hAnsi="Arial" w:hint="default"/>
        <w:color w:val="884C91"/>
        <w:sz w:val="18"/>
      </w:rPr>
    </w:lvl>
    <w:lvl w:ilvl="1" w:tplc="08090003" w:tentative="1">
      <w:start w:val="1"/>
      <w:numFmt w:val="bullet"/>
      <w:lvlText w:val="o"/>
      <w:lvlJc w:val="left"/>
      <w:pPr>
        <w:ind w:left="2517" w:hanging="360"/>
      </w:pPr>
      <w:rPr>
        <w:rFonts w:ascii="Courier New" w:hAnsi="Courier New" w:cs="Courier New" w:hint="default"/>
      </w:rPr>
    </w:lvl>
    <w:lvl w:ilvl="2" w:tplc="08090005" w:tentative="1">
      <w:start w:val="1"/>
      <w:numFmt w:val="bullet"/>
      <w:lvlText w:val=""/>
      <w:lvlJc w:val="left"/>
      <w:pPr>
        <w:ind w:left="3237" w:hanging="360"/>
      </w:pPr>
      <w:rPr>
        <w:rFonts w:ascii="Wingdings" w:hAnsi="Wingdings" w:hint="default"/>
      </w:rPr>
    </w:lvl>
    <w:lvl w:ilvl="3" w:tplc="08090001" w:tentative="1">
      <w:start w:val="1"/>
      <w:numFmt w:val="bullet"/>
      <w:lvlText w:val=""/>
      <w:lvlJc w:val="left"/>
      <w:pPr>
        <w:ind w:left="3957" w:hanging="360"/>
      </w:pPr>
      <w:rPr>
        <w:rFonts w:ascii="Symbol" w:hAnsi="Symbol" w:hint="default"/>
      </w:rPr>
    </w:lvl>
    <w:lvl w:ilvl="4" w:tplc="08090003" w:tentative="1">
      <w:start w:val="1"/>
      <w:numFmt w:val="bullet"/>
      <w:lvlText w:val="o"/>
      <w:lvlJc w:val="left"/>
      <w:pPr>
        <w:ind w:left="4677" w:hanging="360"/>
      </w:pPr>
      <w:rPr>
        <w:rFonts w:ascii="Courier New" w:hAnsi="Courier New" w:cs="Courier New" w:hint="default"/>
      </w:rPr>
    </w:lvl>
    <w:lvl w:ilvl="5" w:tplc="08090005" w:tentative="1">
      <w:start w:val="1"/>
      <w:numFmt w:val="bullet"/>
      <w:lvlText w:val=""/>
      <w:lvlJc w:val="left"/>
      <w:pPr>
        <w:ind w:left="5397" w:hanging="360"/>
      </w:pPr>
      <w:rPr>
        <w:rFonts w:ascii="Wingdings" w:hAnsi="Wingdings" w:hint="default"/>
      </w:rPr>
    </w:lvl>
    <w:lvl w:ilvl="6" w:tplc="08090001" w:tentative="1">
      <w:start w:val="1"/>
      <w:numFmt w:val="bullet"/>
      <w:lvlText w:val=""/>
      <w:lvlJc w:val="left"/>
      <w:pPr>
        <w:ind w:left="6117" w:hanging="360"/>
      </w:pPr>
      <w:rPr>
        <w:rFonts w:ascii="Symbol" w:hAnsi="Symbol" w:hint="default"/>
      </w:rPr>
    </w:lvl>
    <w:lvl w:ilvl="7" w:tplc="08090003" w:tentative="1">
      <w:start w:val="1"/>
      <w:numFmt w:val="bullet"/>
      <w:lvlText w:val="o"/>
      <w:lvlJc w:val="left"/>
      <w:pPr>
        <w:ind w:left="6837" w:hanging="360"/>
      </w:pPr>
      <w:rPr>
        <w:rFonts w:ascii="Courier New" w:hAnsi="Courier New" w:cs="Courier New" w:hint="default"/>
      </w:rPr>
    </w:lvl>
    <w:lvl w:ilvl="8" w:tplc="08090005" w:tentative="1">
      <w:start w:val="1"/>
      <w:numFmt w:val="bullet"/>
      <w:lvlText w:val=""/>
      <w:lvlJc w:val="left"/>
      <w:pPr>
        <w:ind w:left="7557" w:hanging="360"/>
      </w:pPr>
      <w:rPr>
        <w:rFonts w:ascii="Wingdings" w:hAnsi="Wingdings" w:hint="default"/>
      </w:rPr>
    </w:lvl>
  </w:abstractNum>
  <w:abstractNum w:abstractNumId="13" w15:restartNumberingAfterBreak="0">
    <w:nsid w:val="18F118DF"/>
    <w:multiLevelType w:val="hybridMultilevel"/>
    <w:tmpl w:val="F96E9F16"/>
    <w:lvl w:ilvl="0" w:tplc="09009782">
      <w:numFmt w:val="bullet"/>
      <w:lvlText w:val="-"/>
      <w:lvlJc w:val="left"/>
      <w:pPr>
        <w:ind w:left="1080" w:hanging="360"/>
      </w:pPr>
      <w:rPr>
        <w:rFonts w:ascii="Arial" w:eastAsia="Arial" w:hAnsi="Arial" w:cs="Arial" w:hint="default"/>
      </w:rPr>
    </w:lvl>
    <w:lvl w:ilvl="1" w:tplc="04050003">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4" w15:restartNumberingAfterBreak="0">
    <w:nsid w:val="19D77E3C"/>
    <w:multiLevelType w:val="hybridMultilevel"/>
    <w:tmpl w:val="2FEA8FD8"/>
    <w:lvl w:ilvl="0" w:tplc="D0780ABE">
      <w:start w:val="1"/>
      <w:numFmt w:val="bullet"/>
      <w:pStyle w:val="seznamsodrkami"/>
      <w:lvlText w:val=""/>
      <w:lvlJc w:val="left"/>
      <w:pPr>
        <w:ind w:left="36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 w15:restartNumberingAfterBreak="0">
    <w:nsid w:val="1CF47ED0"/>
    <w:multiLevelType w:val="multilevel"/>
    <w:tmpl w:val="199256B8"/>
    <w:lvl w:ilvl="0">
      <w:numFmt w:val="bullet"/>
      <w:pStyle w:val="Styl3"/>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6" w15:restartNumberingAfterBreak="0">
    <w:nsid w:val="1E3D3A1C"/>
    <w:multiLevelType w:val="hybridMultilevel"/>
    <w:tmpl w:val="2C8078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 w15:restartNumberingAfterBreak="0">
    <w:nsid w:val="239C3D7E"/>
    <w:multiLevelType w:val="hybridMultilevel"/>
    <w:tmpl w:val="8CB0BB58"/>
    <w:lvl w:ilvl="0" w:tplc="A156E9EE">
      <w:numFmt w:val="bullet"/>
      <w:lvlText w:val="•"/>
      <w:lvlJc w:val="left"/>
      <w:pPr>
        <w:ind w:left="360" w:hanging="360"/>
      </w:pPr>
      <w:rPr>
        <w:rFonts w:ascii="Arial" w:eastAsiaTheme="minorHAnsi" w:hAnsi="Arial" w:cs="Aria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8" w15:restartNumberingAfterBreak="0">
    <w:nsid w:val="24284877"/>
    <w:multiLevelType w:val="hybridMultilevel"/>
    <w:tmpl w:val="028293CC"/>
    <w:lvl w:ilvl="0" w:tplc="7DB027B8">
      <w:numFmt w:val="decimal"/>
      <w:lvlText w:val="%1"/>
      <w:lvlJc w:val="left"/>
      <w:pPr>
        <w:ind w:left="1626" w:hanging="1200"/>
      </w:pPr>
      <w:rPr>
        <w:rFonts w:hint="default"/>
      </w:rPr>
    </w:lvl>
    <w:lvl w:ilvl="1" w:tplc="04050019" w:tentative="1">
      <w:start w:val="1"/>
      <w:numFmt w:val="lowerLetter"/>
      <w:lvlText w:val="%2."/>
      <w:lvlJc w:val="left"/>
      <w:pPr>
        <w:ind w:left="1506" w:hanging="360"/>
      </w:pPr>
    </w:lvl>
    <w:lvl w:ilvl="2" w:tplc="0405001B" w:tentative="1">
      <w:start w:val="1"/>
      <w:numFmt w:val="lowerRoman"/>
      <w:lvlText w:val="%3."/>
      <w:lvlJc w:val="right"/>
      <w:pPr>
        <w:ind w:left="2226" w:hanging="180"/>
      </w:pPr>
    </w:lvl>
    <w:lvl w:ilvl="3" w:tplc="0405000F" w:tentative="1">
      <w:start w:val="1"/>
      <w:numFmt w:val="decimal"/>
      <w:lvlText w:val="%4."/>
      <w:lvlJc w:val="left"/>
      <w:pPr>
        <w:ind w:left="2946" w:hanging="360"/>
      </w:pPr>
    </w:lvl>
    <w:lvl w:ilvl="4" w:tplc="04050019" w:tentative="1">
      <w:start w:val="1"/>
      <w:numFmt w:val="lowerLetter"/>
      <w:lvlText w:val="%5."/>
      <w:lvlJc w:val="left"/>
      <w:pPr>
        <w:ind w:left="3666" w:hanging="360"/>
      </w:pPr>
    </w:lvl>
    <w:lvl w:ilvl="5" w:tplc="0405001B" w:tentative="1">
      <w:start w:val="1"/>
      <w:numFmt w:val="lowerRoman"/>
      <w:lvlText w:val="%6."/>
      <w:lvlJc w:val="right"/>
      <w:pPr>
        <w:ind w:left="4386" w:hanging="180"/>
      </w:pPr>
    </w:lvl>
    <w:lvl w:ilvl="6" w:tplc="0405000F" w:tentative="1">
      <w:start w:val="1"/>
      <w:numFmt w:val="decimal"/>
      <w:lvlText w:val="%7."/>
      <w:lvlJc w:val="left"/>
      <w:pPr>
        <w:ind w:left="5106" w:hanging="360"/>
      </w:pPr>
    </w:lvl>
    <w:lvl w:ilvl="7" w:tplc="04050019" w:tentative="1">
      <w:start w:val="1"/>
      <w:numFmt w:val="lowerLetter"/>
      <w:lvlText w:val="%8."/>
      <w:lvlJc w:val="left"/>
      <w:pPr>
        <w:ind w:left="5826" w:hanging="360"/>
      </w:pPr>
    </w:lvl>
    <w:lvl w:ilvl="8" w:tplc="0405001B" w:tentative="1">
      <w:start w:val="1"/>
      <w:numFmt w:val="lowerRoman"/>
      <w:lvlText w:val="%9."/>
      <w:lvlJc w:val="right"/>
      <w:pPr>
        <w:ind w:left="6546" w:hanging="180"/>
      </w:pPr>
    </w:lvl>
  </w:abstractNum>
  <w:abstractNum w:abstractNumId="19" w15:restartNumberingAfterBreak="0">
    <w:nsid w:val="2B3422A1"/>
    <w:multiLevelType w:val="hybridMultilevel"/>
    <w:tmpl w:val="5B4265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2B9247D9"/>
    <w:multiLevelType w:val="hybridMultilevel"/>
    <w:tmpl w:val="3098B948"/>
    <w:lvl w:ilvl="0" w:tplc="04050001">
      <w:start w:val="1"/>
      <w:numFmt w:val="bullet"/>
      <w:lvlText w:val=""/>
      <w:lvlJc w:val="left"/>
      <w:pPr>
        <w:ind w:left="862" w:hanging="360"/>
      </w:pPr>
      <w:rPr>
        <w:rFonts w:ascii="Symbol" w:hAnsi="Symbol" w:hint="default"/>
        <w:color w:val="88C540"/>
        <w:sz w:val="18"/>
      </w:rPr>
    </w:lvl>
    <w:lvl w:ilvl="1" w:tplc="04050003" w:tentative="1">
      <w:start w:val="1"/>
      <w:numFmt w:val="bullet"/>
      <w:lvlText w:val="o"/>
      <w:lvlJc w:val="left"/>
      <w:pPr>
        <w:ind w:left="1582" w:hanging="360"/>
      </w:pPr>
      <w:rPr>
        <w:rFonts w:ascii="Courier New" w:hAnsi="Courier New" w:cs="Courier New" w:hint="default"/>
      </w:rPr>
    </w:lvl>
    <w:lvl w:ilvl="2" w:tplc="04050005" w:tentative="1">
      <w:start w:val="1"/>
      <w:numFmt w:val="bullet"/>
      <w:lvlText w:val=""/>
      <w:lvlJc w:val="left"/>
      <w:pPr>
        <w:ind w:left="2302" w:hanging="360"/>
      </w:pPr>
      <w:rPr>
        <w:rFonts w:ascii="Wingdings" w:hAnsi="Wingdings" w:hint="default"/>
      </w:rPr>
    </w:lvl>
    <w:lvl w:ilvl="3" w:tplc="04050001" w:tentative="1">
      <w:start w:val="1"/>
      <w:numFmt w:val="bullet"/>
      <w:lvlText w:val=""/>
      <w:lvlJc w:val="left"/>
      <w:pPr>
        <w:ind w:left="3022" w:hanging="360"/>
      </w:pPr>
      <w:rPr>
        <w:rFonts w:ascii="Symbol" w:hAnsi="Symbol" w:hint="default"/>
      </w:rPr>
    </w:lvl>
    <w:lvl w:ilvl="4" w:tplc="04050003" w:tentative="1">
      <w:start w:val="1"/>
      <w:numFmt w:val="bullet"/>
      <w:lvlText w:val="o"/>
      <w:lvlJc w:val="left"/>
      <w:pPr>
        <w:ind w:left="3742" w:hanging="360"/>
      </w:pPr>
      <w:rPr>
        <w:rFonts w:ascii="Courier New" w:hAnsi="Courier New" w:cs="Courier New" w:hint="default"/>
      </w:rPr>
    </w:lvl>
    <w:lvl w:ilvl="5" w:tplc="04050005" w:tentative="1">
      <w:start w:val="1"/>
      <w:numFmt w:val="bullet"/>
      <w:lvlText w:val=""/>
      <w:lvlJc w:val="left"/>
      <w:pPr>
        <w:ind w:left="4462" w:hanging="360"/>
      </w:pPr>
      <w:rPr>
        <w:rFonts w:ascii="Wingdings" w:hAnsi="Wingdings" w:hint="default"/>
      </w:rPr>
    </w:lvl>
    <w:lvl w:ilvl="6" w:tplc="04050001" w:tentative="1">
      <w:start w:val="1"/>
      <w:numFmt w:val="bullet"/>
      <w:lvlText w:val=""/>
      <w:lvlJc w:val="left"/>
      <w:pPr>
        <w:ind w:left="5182" w:hanging="360"/>
      </w:pPr>
      <w:rPr>
        <w:rFonts w:ascii="Symbol" w:hAnsi="Symbol" w:hint="default"/>
      </w:rPr>
    </w:lvl>
    <w:lvl w:ilvl="7" w:tplc="04050003" w:tentative="1">
      <w:start w:val="1"/>
      <w:numFmt w:val="bullet"/>
      <w:lvlText w:val="o"/>
      <w:lvlJc w:val="left"/>
      <w:pPr>
        <w:ind w:left="5902" w:hanging="360"/>
      </w:pPr>
      <w:rPr>
        <w:rFonts w:ascii="Courier New" w:hAnsi="Courier New" w:cs="Courier New" w:hint="default"/>
      </w:rPr>
    </w:lvl>
    <w:lvl w:ilvl="8" w:tplc="04050005" w:tentative="1">
      <w:start w:val="1"/>
      <w:numFmt w:val="bullet"/>
      <w:lvlText w:val=""/>
      <w:lvlJc w:val="left"/>
      <w:pPr>
        <w:ind w:left="6622" w:hanging="360"/>
      </w:pPr>
      <w:rPr>
        <w:rFonts w:ascii="Wingdings" w:hAnsi="Wingdings" w:hint="default"/>
      </w:rPr>
    </w:lvl>
  </w:abstractNum>
  <w:abstractNum w:abstractNumId="21" w15:restartNumberingAfterBreak="0">
    <w:nsid w:val="2C045407"/>
    <w:multiLevelType w:val="hybridMultilevel"/>
    <w:tmpl w:val="D05027CA"/>
    <w:lvl w:ilvl="0" w:tplc="2452B724">
      <w:start w:val="1"/>
      <w:numFmt w:val="bullet"/>
      <w:lvlText w:val="►"/>
      <w:lvlJc w:val="left"/>
      <w:pPr>
        <w:ind w:left="360" w:hanging="360"/>
      </w:pPr>
      <w:rPr>
        <w:rFonts w:ascii="Arial" w:hAnsi="Arial" w:hint="default"/>
        <w:color w:val="1F497D" w:themeColor="text2"/>
        <w:sz w:val="18"/>
      </w:rPr>
    </w:lvl>
    <w:lvl w:ilvl="1" w:tplc="93DAA35A">
      <w:numFmt w:val="bullet"/>
      <w:lvlText w:val="•"/>
      <w:lvlJc w:val="left"/>
      <w:pPr>
        <w:ind w:left="1800" w:hanging="720"/>
      </w:pPr>
      <w:rPr>
        <w:rFonts w:ascii="Arial" w:eastAsiaTheme="minorHAnsi" w:hAnsi="Arial" w:cs="Aria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E6E6A6A"/>
    <w:multiLevelType w:val="hybridMultilevel"/>
    <w:tmpl w:val="8B36414A"/>
    <w:lvl w:ilvl="0" w:tplc="04050001">
      <w:start w:val="1"/>
      <w:numFmt w:val="bullet"/>
      <w:lvlText w:val=""/>
      <w:lvlJc w:val="left"/>
      <w:pPr>
        <w:ind w:left="720" w:hanging="360"/>
      </w:pPr>
      <w:rPr>
        <w:rFonts w:ascii="Symbol" w:hAnsi="Symbol" w:hint="default"/>
        <w:color w:val="88C540"/>
        <w:sz w:val="18"/>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3" w15:restartNumberingAfterBreak="0">
    <w:nsid w:val="313905FB"/>
    <w:multiLevelType w:val="hybridMultilevel"/>
    <w:tmpl w:val="568A4F00"/>
    <w:lvl w:ilvl="0" w:tplc="04050001">
      <w:start w:val="1"/>
      <w:numFmt w:val="bullet"/>
      <w:lvlText w:val=""/>
      <w:lvlJc w:val="left"/>
      <w:pPr>
        <w:ind w:left="720" w:hanging="360"/>
      </w:pPr>
      <w:rPr>
        <w:rFonts w:ascii="Symbol" w:hAnsi="Symbol" w:hint="default"/>
        <w:color w:val="88C540"/>
        <w:sz w:val="18"/>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32CF5EAB"/>
    <w:multiLevelType w:val="hybridMultilevel"/>
    <w:tmpl w:val="45E83B62"/>
    <w:lvl w:ilvl="0" w:tplc="04050001">
      <w:start w:val="1"/>
      <w:numFmt w:val="bullet"/>
      <w:lvlText w:val=""/>
      <w:lvlJc w:val="left"/>
      <w:pPr>
        <w:ind w:left="433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32E53CAD"/>
    <w:multiLevelType w:val="hybridMultilevel"/>
    <w:tmpl w:val="A0A2F254"/>
    <w:lvl w:ilvl="0" w:tplc="13A4C114">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6" w15:restartNumberingAfterBreak="0">
    <w:nsid w:val="34F02720"/>
    <w:multiLevelType w:val="hybridMultilevel"/>
    <w:tmpl w:val="6DAA77A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387D4807"/>
    <w:multiLevelType w:val="hybridMultilevel"/>
    <w:tmpl w:val="E078F1F6"/>
    <w:lvl w:ilvl="0" w:tplc="04050001">
      <w:start w:val="1"/>
      <w:numFmt w:val="bullet"/>
      <w:lvlText w:val=""/>
      <w:lvlJc w:val="left"/>
      <w:pPr>
        <w:ind w:left="720" w:hanging="360"/>
      </w:pPr>
      <w:rPr>
        <w:rFonts w:ascii="Symbol" w:hAnsi="Symbol" w:hint="default"/>
        <w:color w:val="88C540"/>
        <w:sz w:val="18"/>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39DF5139"/>
    <w:multiLevelType w:val="hybridMultilevel"/>
    <w:tmpl w:val="74FC444A"/>
    <w:lvl w:ilvl="0" w:tplc="8C842B94">
      <w:start w:val="1"/>
      <w:numFmt w:val="bullet"/>
      <w:lvlText w:val=""/>
      <w:lvlJc w:val="left"/>
      <w:pPr>
        <w:ind w:left="720" w:hanging="360"/>
      </w:pPr>
      <w:rPr>
        <w:rFonts w:ascii="Symbol" w:hAnsi="Symbol" w:hint="default"/>
        <w:color w:val="88C540"/>
        <w:sz w:val="16"/>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9" w15:restartNumberingAfterBreak="0">
    <w:nsid w:val="3C956E29"/>
    <w:multiLevelType w:val="hybridMultilevel"/>
    <w:tmpl w:val="F8601914"/>
    <w:lvl w:ilvl="0" w:tplc="04050001">
      <w:start w:val="1"/>
      <w:numFmt w:val="bullet"/>
      <w:lvlText w:val=""/>
      <w:lvlJc w:val="left"/>
      <w:pPr>
        <w:ind w:left="720" w:hanging="360"/>
      </w:pPr>
      <w:rPr>
        <w:rFonts w:ascii="Symbol" w:hAnsi="Symbol" w:hint="default"/>
        <w:color w:val="88C540"/>
        <w:sz w:val="18"/>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3D07738D"/>
    <w:multiLevelType w:val="hybridMultilevel"/>
    <w:tmpl w:val="8C0665D6"/>
    <w:lvl w:ilvl="0" w:tplc="04050001">
      <w:start w:val="1"/>
      <w:numFmt w:val="bullet"/>
      <w:lvlText w:val=""/>
      <w:lvlJc w:val="left"/>
      <w:pPr>
        <w:ind w:left="360" w:hanging="360"/>
      </w:pPr>
      <w:rPr>
        <w:rFonts w:ascii="Symbol" w:hAnsi="Symbol" w:hint="default"/>
        <w:color w:val="88C540"/>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3D290F0B"/>
    <w:multiLevelType w:val="hybridMultilevel"/>
    <w:tmpl w:val="5AA6143E"/>
    <w:lvl w:ilvl="0" w:tplc="70AE30AA">
      <w:start w:val="1"/>
      <w:numFmt w:val="decimal"/>
      <w:pStyle w:val="Nadpis-Ploha"/>
      <w:lvlText w:val="Příloha %1"/>
      <w:lvlJc w:val="left"/>
      <w:pPr>
        <w:ind w:left="360" w:hanging="360"/>
      </w:pPr>
      <w:rPr>
        <w:rFonts w:ascii="Arial" w:hAnsi="Arial" w:hint="default"/>
        <w:b w:val="0"/>
        <w:i w:val="0"/>
        <w:sz w:val="20"/>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2" w15:restartNumberingAfterBreak="0">
    <w:nsid w:val="40D4552C"/>
    <w:multiLevelType w:val="hybridMultilevel"/>
    <w:tmpl w:val="04241F6E"/>
    <w:lvl w:ilvl="0" w:tplc="B414EE42">
      <w:start w:val="1"/>
      <w:numFmt w:val="bullet"/>
      <w:pStyle w:val="Odrky2"/>
      <w:lvlText w:val="●"/>
      <w:lvlJc w:val="left"/>
      <w:pPr>
        <w:ind w:left="644" w:hanging="360"/>
      </w:pPr>
      <w:rPr>
        <w:rFonts w:ascii="Arial" w:hAnsi="Arial" w:hint="default"/>
        <w:color w:val="00B0B9"/>
        <w:sz w:val="18"/>
      </w:rPr>
    </w:lvl>
    <w:lvl w:ilvl="1" w:tplc="08090003" w:tentative="1">
      <w:start w:val="1"/>
      <w:numFmt w:val="bullet"/>
      <w:lvlText w:val="o"/>
      <w:lvlJc w:val="left"/>
      <w:pPr>
        <w:ind w:left="1950" w:hanging="360"/>
      </w:pPr>
      <w:rPr>
        <w:rFonts w:ascii="Courier New" w:hAnsi="Courier New" w:cs="Courier New" w:hint="default"/>
      </w:rPr>
    </w:lvl>
    <w:lvl w:ilvl="2" w:tplc="08090005" w:tentative="1">
      <w:start w:val="1"/>
      <w:numFmt w:val="bullet"/>
      <w:lvlText w:val=""/>
      <w:lvlJc w:val="left"/>
      <w:pPr>
        <w:ind w:left="2670" w:hanging="360"/>
      </w:pPr>
      <w:rPr>
        <w:rFonts w:ascii="Wingdings" w:hAnsi="Wingdings" w:hint="default"/>
      </w:rPr>
    </w:lvl>
    <w:lvl w:ilvl="3" w:tplc="08090001" w:tentative="1">
      <w:start w:val="1"/>
      <w:numFmt w:val="bullet"/>
      <w:lvlText w:val=""/>
      <w:lvlJc w:val="left"/>
      <w:pPr>
        <w:ind w:left="3390" w:hanging="360"/>
      </w:pPr>
      <w:rPr>
        <w:rFonts w:ascii="Symbol" w:hAnsi="Symbol" w:hint="default"/>
      </w:rPr>
    </w:lvl>
    <w:lvl w:ilvl="4" w:tplc="08090003" w:tentative="1">
      <w:start w:val="1"/>
      <w:numFmt w:val="bullet"/>
      <w:lvlText w:val="o"/>
      <w:lvlJc w:val="left"/>
      <w:pPr>
        <w:ind w:left="4110" w:hanging="360"/>
      </w:pPr>
      <w:rPr>
        <w:rFonts w:ascii="Courier New" w:hAnsi="Courier New" w:cs="Courier New" w:hint="default"/>
      </w:rPr>
    </w:lvl>
    <w:lvl w:ilvl="5" w:tplc="08090005" w:tentative="1">
      <w:start w:val="1"/>
      <w:numFmt w:val="bullet"/>
      <w:lvlText w:val=""/>
      <w:lvlJc w:val="left"/>
      <w:pPr>
        <w:ind w:left="4830" w:hanging="360"/>
      </w:pPr>
      <w:rPr>
        <w:rFonts w:ascii="Wingdings" w:hAnsi="Wingdings" w:hint="default"/>
      </w:rPr>
    </w:lvl>
    <w:lvl w:ilvl="6" w:tplc="08090001" w:tentative="1">
      <w:start w:val="1"/>
      <w:numFmt w:val="bullet"/>
      <w:lvlText w:val=""/>
      <w:lvlJc w:val="left"/>
      <w:pPr>
        <w:ind w:left="5550" w:hanging="360"/>
      </w:pPr>
      <w:rPr>
        <w:rFonts w:ascii="Symbol" w:hAnsi="Symbol" w:hint="default"/>
      </w:rPr>
    </w:lvl>
    <w:lvl w:ilvl="7" w:tplc="08090003" w:tentative="1">
      <w:start w:val="1"/>
      <w:numFmt w:val="bullet"/>
      <w:lvlText w:val="o"/>
      <w:lvlJc w:val="left"/>
      <w:pPr>
        <w:ind w:left="6270" w:hanging="360"/>
      </w:pPr>
      <w:rPr>
        <w:rFonts w:ascii="Courier New" w:hAnsi="Courier New" w:cs="Courier New" w:hint="default"/>
      </w:rPr>
    </w:lvl>
    <w:lvl w:ilvl="8" w:tplc="08090005" w:tentative="1">
      <w:start w:val="1"/>
      <w:numFmt w:val="bullet"/>
      <w:lvlText w:val=""/>
      <w:lvlJc w:val="left"/>
      <w:pPr>
        <w:ind w:left="6990" w:hanging="360"/>
      </w:pPr>
      <w:rPr>
        <w:rFonts w:ascii="Wingdings" w:hAnsi="Wingdings" w:hint="default"/>
      </w:rPr>
    </w:lvl>
  </w:abstractNum>
  <w:abstractNum w:abstractNumId="33" w15:restartNumberingAfterBreak="0">
    <w:nsid w:val="46F86B06"/>
    <w:multiLevelType w:val="hybridMultilevel"/>
    <w:tmpl w:val="9746E838"/>
    <w:lvl w:ilvl="0" w:tplc="04050001">
      <w:start w:val="1"/>
      <w:numFmt w:val="bullet"/>
      <w:lvlText w:val=""/>
      <w:lvlJc w:val="left"/>
      <w:rPr>
        <w:rFonts w:ascii="Symbol" w:hAnsi="Symbol" w:hint="default"/>
        <w:b w:val="0"/>
        <w:bCs w:val="0"/>
        <w:i w:val="0"/>
        <w:iCs w:val="0"/>
        <w:caps w:val="0"/>
        <w:smallCaps w:val="0"/>
        <w:strike w:val="0"/>
        <w:dstrike w:val="0"/>
        <w:noProof w:val="0"/>
        <w:vanish w:val="0"/>
        <w:color w:val="88C540"/>
        <w:spacing w:val="0"/>
        <w:kern w:val="0"/>
        <w:position w:val="0"/>
        <w:sz w:val="18"/>
        <w:u w:val="none"/>
        <w:effect w:val="none"/>
        <w:vertAlign w:val="baseline"/>
        <w:em w:val="none"/>
        <w:specVanish w:val="0"/>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4" w15:restartNumberingAfterBreak="0">
    <w:nsid w:val="471D79A5"/>
    <w:multiLevelType w:val="hybridMultilevel"/>
    <w:tmpl w:val="DD86E148"/>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5" w15:restartNumberingAfterBreak="0">
    <w:nsid w:val="4C6B6F24"/>
    <w:multiLevelType w:val="hybridMultilevel"/>
    <w:tmpl w:val="36246646"/>
    <w:lvl w:ilvl="0" w:tplc="04B263D8">
      <w:start w:val="1"/>
      <w:numFmt w:val="decimal"/>
      <w:pStyle w:val="Obrnadpis"/>
      <w:lvlText w:val="Obr. %1"/>
      <w:lvlJc w:val="left"/>
      <w:pPr>
        <w:ind w:left="786" w:hanging="360"/>
      </w:pPr>
      <w:rPr>
        <w:rFonts w:ascii="Arial" w:hAnsi="Arial" w:cs="Arial" w:hint="default"/>
        <w:b/>
        <w:bCs/>
        <w:i w:val="0"/>
        <w:iCs w:val="0"/>
        <w:caps w:val="0"/>
        <w:strike w:val="0"/>
        <w:dstrike w:val="0"/>
        <w:snapToGrid w:val="0"/>
        <w:vanish w:val="0"/>
        <w:color w:val="0070C0"/>
        <w:spacing w:val="0"/>
        <w:kern w:val="0"/>
        <w:position w:val="0"/>
        <w:sz w:val="18"/>
        <w:szCs w:val="18"/>
        <w:u w:val="none"/>
        <w:vertAlign w:val="baseline"/>
        <w:em w:val="none"/>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6" w15:restartNumberingAfterBreak="0">
    <w:nsid w:val="4D2B3A9F"/>
    <w:multiLevelType w:val="hybridMultilevel"/>
    <w:tmpl w:val="308E19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7" w15:restartNumberingAfterBreak="0">
    <w:nsid w:val="4EAD77A6"/>
    <w:multiLevelType w:val="hybridMultilevel"/>
    <w:tmpl w:val="0F021CC6"/>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8" w15:restartNumberingAfterBreak="0">
    <w:nsid w:val="51207B7F"/>
    <w:multiLevelType w:val="hybridMultilevel"/>
    <w:tmpl w:val="09BCDA22"/>
    <w:lvl w:ilvl="0" w:tplc="2452B724">
      <w:start w:val="1"/>
      <w:numFmt w:val="bullet"/>
      <w:lvlText w:val="►"/>
      <w:lvlJc w:val="left"/>
      <w:pPr>
        <w:ind w:left="360" w:hanging="360"/>
      </w:pPr>
      <w:rPr>
        <w:rFonts w:ascii="Arial" w:hAnsi="Arial" w:hint="default"/>
        <w:color w:val="1F497D" w:themeColor="text2"/>
        <w:sz w:val="18"/>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15:restartNumberingAfterBreak="0">
    <w:nsid w:val="52292459"/>
    <w:multiLevelType w:val="hybridMultilevel"/>
    <w:tmpl w:val="FA9254C2"/>
    <w:lvl w:ilvl="0" w:tplc="825ED556">
      <w:start w:val="1"/>
      <w:numFmt w:val="bullet"/>
      <w:pStyle w:val="Zkladntextodsazen2"/>
      <w:lvlText w:val=""/>
      <w:lvlJc w:val="left"/>
      <w:pPr>
        <w:ind w:left="502" w:hanging="360"/>
      </w:pPr>
      <w:rPr>
        <w:rFonts w:ascii="Wingdings" w:hAnsi="Wingdings" w:hint="default"/>
      </w:rPr>
    </w:lvl>
    <w:lvl w:ilvl="1" w:tplc="04090003">
      <w:start w:val="1"/>
      <w:numFmt w:val="bullet"/>
      <w:lvlText w:val=""/>
      <w:lvlJc w:val="left"/>
      <w:pPr>
        <w:tabs>
          <w:tab w:val="num" w:pos="1440"/>
        </w:tabs>
        <w:ind w:left="1440" w:hanging="360"/>
      </w:pPr>
      <w:rPr>
        <w:rFonts w:ascii="Symbol" w:hAnsi="Symbo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0" w15:restartNumberingAfterBreak="0">
    <w:nsid w:val="53A3561B"/>
    <w:multiLevelType w:val="hybridMultilevel"/>
    <w:tmpl w:val="41E42B0C"/>
    <w:lvl w:ilvl="0" w:tplc="FFFFFFFF">
      <w:start w:val="1"/>
      <w:numFmt w:val="bullet"/>
      <w:pStyle w:val="Seznamsodrkami0"/>
      <w:lvlText w:val=""/>
      <w:lvlJc w:val="left"/>
      <w:pPr>
        <w:tabs>
          <w:tab w:val="num" w:pos="360"/>
        </w:tabs>
        <w:ind w:left="360" w:hanging="360"/>
      </w:pPr>
      <w:rPr>
        <w:rFonts w:ascii="Wingdings" w:hAnsi="Wingdings" w:hint="default"/>
      </w:rPr>
    </w:lvl>
    <w:lvl w:ilvl="1" w:tplc="D44C118C">
      <w:start w:val="1"/>
      <w:numFmt w:val="decimal"/>
      <w:lvlText w:val="%2."/>
      <w:lvlJc w:val="left"/>
      <w:pPr>
        <w:tabs>
          <w:tab w:val="num" w:pos="1533"/>
        </w:tabs>
        <w:ind w:left="1533" w:hanging="453"/>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4F464B4"/>
    <w:multiLevelType w:val="hybridMultilevel"/>
    <w:tmpl w:val="25FA41AE"/>
    <w:lvl w:ilvl="0" w:tplc="2452B724">
      <w:start w:val="1"/>
      <w:numFmt w:val="bullet"/>
      <w:lvlText w:val="►"/>
      <w:lvlJc w:val="left"/>
      <w:pPr>
        <w:ind w:left="720" w:hanging="360"/>
      </w:pPr>
      <w:rPr>
        <w:rFonts w:ascii="Arial" w:hAnsi="Arial" w:hint="default"/>
        <w:color w:val="1F497D" w:themeColor="text2"/>
        <w:sz w:val="18"/>
      </w:rPr>
    </w:lvl>
    <w:lvl w:ilvl="1" w:tplc="A156E9EE">
      <w:numFmt w:val="bullet"/>
      <w:lvlText w:val="•"/>
      <w:lvlJc w:val="left"/>
      <w:pPr>
        <w:ind w:left="1440" w:hanging="360"/>
      </w:pPr>
      <w:rPr>
        <w:rFonts w:ascii="Arial" w:eastAsiaTheme="minorHAnsi" w:hAnsi="Arial" w:cs="Arial"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2" w15:restartNumberingAfterBreak="0">
    <w:nsid w:val="571B7FEC"/>
    <w:multiLevelType w:val="hybridMultilevel"/>
    <w:tmpl w:val="9BBAC444"/>
    <w:lvl w:ilvl="0" w:tplc="04050001">
      <w:start w:val="1"/>
      <w:numFmt w:val="bullet"/>
      <w:lvlText w:val=""/>
      <w:lvlJc w:val="left"/>
      <w:pPr>
        <w:ind w:left="1004" w:hanging="360"/>
      </w:pPr>
      <w:rPr>
        <w:rFonts w:ascii="Symbol" w:hAnsi="Symbol" w:hint="default"/>
        <w:color w:val="88C540"/>
        <w:sz w:val="18"/>
      </w:rPr>
    </w:lvl>
    <w:lvl w:ilvl="1" w:tplc="04050003">
      <w:start w:val="1"/>
      <w:numFmt w:val="bullet"/>
      <w:lvlText w:val="o"/>
      <w:lvlJc w:val="left"/>
      <w:pPr>
        <w:ind w:left="1724" w:hanging="360"/>
      </w:pPr>
      <w:rPr>
        <w:rFonts w:ascii="Courier New" w:hAnsi="Courier New" w:cs="Courier New" w:hint="default"/>
      </w:rPr>
    </w:lvl>
    <w:lvl w:ilvl="2" w:tplc="04050005">
      <w:start w:val="1"/>
      <w:numFmt w:val="bullet"/>
      <w:lvlText w:val=""/>
      <w:lvlJc w:val="left"/>
      <w:pPr>
        <w:ind w:left="2444" w:hanging="360"/>
      </w:pPr>
      <w:rPr>
        <w:rFonts w:ascii="Wingdings" w:hAnsi="Wingdings" w:hint="default"/>
      </w:rPr>
    </w:lvl>
    <w:lvl w:ilvl="3" w:tplc="04050001">
      <w:start w:val="1"/>
      <w:numFmt w:val="bullet"/>
      <w:lvlText w:val=""/>
      <w:lvlJc w:val="left"/>
      <w:pPr>
        <w:ind w:left="3164" w:hanging="360"/>
      </w:pPr>
      <w:rPr>
        <w:rFonts w:ascii="Symbol" w:hAnsi="Symbol" w:hint="default"/>
      </w:rPr>
    </w:lvl>
    <w:lvl w:ilvl="4" w:tplc="04050003">
      <w:start w:val="1"/>
      <w:numFmt w:val="bullet"/>
      <w:lvlText w:val="o"/>
      <w:lvlJc w:val="left"/>
      <w:pPr>
        <w:ind w:left="3884" w:hanging="360"/>
      </w:pPr>
      <w:rPr>
        <w:rFonts w:ascii="Courier New" w:hAnsi="Courier New" w:cs="Courier New" w:hint="default"/>
      </w:rPr>
    </w:lvl>
    <w:lvl w:ilvl="5" w:tplc="04050005">
      <w:start w:val="1"/>
      <w:numFmt w:val="bullet"/>
      <w:lvlText w:val=""/>
      <w:lvlJc w:val="left"/>
      <w:pPr>
        <w:ind w:left="4604" w:hanging="360"/>
      </w:pPr>
      <w:rPr>
        <w:rFonts w:ascii="Wingdings" w:hAnsi="Wingdings" w:hint="default"/>
      </w:rPr>
    </w:lvl>
    <w:lvl w:ilvl="6" w:tplc="04050001">
      <w:start w:val="1"/>
      <w:numFmt w:val="bullet"/>
      <w:lvlText w:val=""/>
      <w:lvlJc w:val="left"/>
      <w:pPr>
        <w:ind w:left="5324" w:hanging="360"/>
      </w:pPr>
      <w:rPr>
        <w:rFonts w:ascii="Symbol" w:hAnsi="Symbol" w:hint="default"/>
      </w:rPr>
    </w:lvl>
    <w:lvl w:ilvl="7" w:tplc="04050003">
      <w:start w:val="1"/>
      <w:numFmt w:val="bullet"/>
      <w:lvlText w:val="o"/>
      <w:lvlJc w:val="left"/>
      <w:pPr>
        <w:ind w:left="6044" w:hanging="360"/>
      </w:pPr>
      <w:rPr>
        <w:rFonts w:ascii="Courier New" w:hAnsi="Courier New" w:cs="Courier New" w:hint="default"/>
      </w:rPr>
    </w:lvl>
    <w:lvl w:ilvl="8" w:tplc="04050005">
      <w:start w:val="1"/>
      <w:numFmt w:val="bullet"/>
      <w:lvlText w:val=""/>
      <w:lvlJc w:val="left"/>
      <w:pPr>
        <w:ind w:left="6764" w:hanging="360"/>
      </w:pPr>
      <w:rPr>
        <w:rFonts w:ascii="Wingdings" w:hAnsi="Wingdings" w:hint="default"/>
      </w:rPr>
    </w:lvl>
  </w:abstractNum>
  <w:abstractNum w:abstractNumId="43" w15:restartNumberingAfterBreak="0">
    <w:nsid w:val="5A1E683B"/>
    <w:multiLevelType w:val="hybridMultilevel"/>
    <w:tmpl w:val="B75270F6"/>
    <w:lvl w:ilvl="0" w:tplc="8C842B94">
      <w:start w:val="1"/>
      <w:numFmt w:val="bullet"/>
      <w:lvlText w:val=""/>
      <w:lvlJc w:val="left"/>
      <w:pPr>
        <w:ind w:left="720" w:hanging="360"/>
      </w:pPr>
      <w:rPr>
        <w:rFonts w:ascii="Symbol" w:hAnsi="Symbol" w:hint="default"/>
        <w:color w:val="88C540"/>
        <w:sz w:val="16"/>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4" w15:restartNumberingAfterBreak="0">
    <w:nsid w:val="5B4C4F0F"/>
    <w:multiLevelType w:val="hybridMultilevel"/>
    <w:tmpl w:val="22B82EB8"/>
    <w:lvl w:ilvl="0" w:tplc="E2209E32">
      <w:start w:val="1"/>
      <w:numFmt w:val="bullet"/>
      <w:pStyle w:val="seznamsodrkami1"/>
      <w:lvlText w:val=""/>
      <w:lvlJc w:val="left"/>
      <w:pPr>
        <w:tabs>
          <w:tab w:val="num" w:pos="720"/>
        </w:tabs>
        <w:ind w:left="720" w:hanging="360"/>
      </w:pPr>
      <w:rPr>
        <w:rFonts w:ascii="Symbol" w:hAnsi="Symbol" w:hint="default"/>
        <w:color w:val="auto"/>
      </w:rPr>
    </w:lvl>
    <w:lvl w:ilvl="1" w:tplc="04050003">
      <w:start w:val="1"/>
      <w:numFmt w:val="bullet"/>
      <w:lvlText w:val="o"/>
      <w:lvlJc w:val="left"/>
      <w:pPr>
        <w:tabs>
          <w:tab w:val="num" w:pos="1440"/>
        </w:tabs>
        <w:ind w:left="1440" w:hanging="360"/>
      </w:pPr>
      <w:rPr>
        <w:rFonts w:ascii="Times New Roman" w:hAnsi="Times New Roman" w:cs="Times New Roman" w:hint="default"/>
      </w:rPr>
    </w:lvl>
    <w:lvl w:ilvl="2" w:tplc="04050005" w:tentative="1">
      <w:start w:val="1"/>
      <w:numFmt w:val="bullet"/>
      <w:lvlText w:val=""/>
      <w:lvlJc w:val="left"/>
      <w:pPr>
        <w:tabs>
          <w:tab w:val="num" w:pos="2160"/>
        </w:tabs>
        <w:ind w:left="2160" w:hanging="360"/>
      </w:pPr>
      <w:rPr>
        <w:rFonts w:ascii="Symbol" w:hAnsi="Symbol"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Times New Roman" w:hAnsi="Times New Roman" w:cs="Times New Roman" w:hint="default"/>
      </w:rPr>
    </w:lvl>
    <w:lvl w:ilvl="5" w:tplc="04050005" w:tentative="1">
      <w:start w:val="1"/>
      <w:numFmt w:val="bullet"/>
      <w:lvlText w:val=""/>
      <w:lvlJc w:val="left"/>
      <w:pPr>
        <w:tabs>
          <w:tab w:val="num" w:pos="4320"/>
        </w:tabs>
        <w:ind w:left="4320" w:hanging="360"/>
      </w:pPr>
      <w:rPr>
        <w:rFonts w:ascii="Symbol" w:hAnsi="Symbol"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Times New Roman" w:hAnsi="Times New Roman" w:cs="Times New Roman" w:hint="default"/>
      </w:rPr>
    </w:lvl>
    <w:lvl w:ilvl="8" w:tplc="04050005" w:tentative="1">
      <w:start w:val="1"/>
      <w:numFmt w:val="bullet"/>
      <w:lvlText w:val=""/>
      <w:lvlJc w:val="left"/>
      <w:pPr>
        <w:tabs>
          <w:tab w:val="num" w:pos="6480"/>
        </w:tabs>
        <w:ind w:left="6480" w:hanging="360"/>
      </w:pPr>
      <w:rPr>
        <w:rFonts w:ascii="Symbol" w:hAnsi="Symbol" w:hint="default"/>
      </w:rPr>
    </w:lvl>
  </w:abstractNum>
  <w:abstractNum w:abstractNumId="45" w15:restartNumberingAfterBreak="0">
    <w:nsid w:val="5DFE25DB"/>
    <w:multiLevelType w:val="singleLevel"/>
    <w:tmpl w:val="DF74F384"/>
    <w:lvl w:ilvl="0">
      <w:start w:val="1"/>
      <w:numFmt w:val="bullet"/>
      <w:pStyle w:val="Odrka1"/>
      <w:lvlText w:val=""/>
      <w:lvlJc w:val="left"/>
      <w:pPr>
        <w:tabs>
          <w:tab w:val="num" w:pos="360"/>
        </w:tabs>
        <w:ind w:left="340" w:hanging="340"/>
      </w:pPr>
      <w:rPr>
        <w:rFonts w:ascii="Symbol" w:hAnsi="Symbol" w:hint="default"/>
      </w:rPr>
    </w:lvl>
  </w:abstractNum>
  <w:abstractNum w:abstractNumId="46" w15:restartNumberingAfterBreak="0">
    <w:nsid w:val="5F1E3E64"/>
    <w:multiLevelType w:val="hybridMultilevel"/>
    <w:tmpl w:val="8E8AC594"/>
    <w:lvl w:ilvl="0" w:tplc="A156E9EE">
      <w:numFmt w:val="bullet"/>
      <w:lvlText w:val="•"/>
      <w:lvlJc w:val="left"/>
      <w:pPr>
        <w:ind w:left="720" w:hanging="360"/>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7" w15:restartNumberingAfterBreak="0">
    <w:nsid w:val="606D0084"/>
    <w:multiLevelType w:val="multilevel"/>
    <w:tmpl w:val="F8BAA992"/>
    <w:lvl w:ilvl="0">
      <w:start w:val="1"/>
      <w:numFmt w:val="upperLetter"/>
      <w:pStyle w:val="Nadpis1"/>
      <w:lvlText w:val="ČÁST %1"/>
      <w:lvlJc w:val="left"/>
      <w:pPr>
        <w:tabs>
          <w:tab w:val="num" w:pos="1843"/>
        </w:tabs>
        <w:ind w:left="1843" w:hanging="1843"/>
      </w:pPr>
      <w:rPr>
        <w:rFonts w:ascii="Arial" w:hAnsi="Arial" w:hint="default"/>
        <w:b w:val="0"/>
        <w:i w:val="0"/>
        <w:color w:val="0070C0"/>
        <w:sz w:val="40"/>
      </w:rPr>
    </w:lvl>
    <w:lvl w:ilvl="1">
      <w:start w:val="1"/>
      <w:numFmt w:val="upperRoman"/>
      <w:pStyle w:val="Nadpis2"/>
      <w:lvlText w:val="%1.%2"/>
      <w:lvlJc w:val="left"/>
      <w:rPr>
        <w:b w:val="0"/>
        <w:bCs w:val="0"/>
        <w:i w:val="0"/>
        <w:iCs w:val="0"/>
        <w:caps w:val="0"/>
        <w:smallCaps w:val="0"/>
        <w:strike w:val="0"/>
        <w:dstrike w:val="0"/>
        <w:noProof w:val="0"/>
        <w:vanish w:val="0"/>
        <w:color w:val="7030A0"/>
        <w:spacing w:val="0"/>
        <w:kern w:val="0"/>
        <w:position w:val="0"/>
        <w:u w:val="none"/>
        <w:effect w:val="none"/>
        <w:vertAlign w:val="baseline"/>
        <w:em w:val="none"/>
        <w:specVanish w:val="0"/>
      </w:rPr>
    </w:lvl>
    <w:lvl w:ilvl="2">
      <w:start w:val="1"/>
      <w:numFmt w:val="decimal"/>
      <w:pStyle w:val="Nadpis3"/>
      <w:lvlText w:val="%1.%2.%3"/>
      <w:lvlJc w:val="left"/>
      <w:pPr>
        <w:tabs>
          <w:tab w:val="num" w:pos="2156"/>
        </w:tabs>
        <w:ind w:left="2156" w:hanging="737"/>
      </w:pPr>
      <w:rPr>
        <w:rFonts w:ascii="Arial" w:hAnsi="Arial" w:hint="default"/>
        <w:b w:val="0"/>
        <w:i w:val="0"/>
        <w:color w:val="0070C0"/>
        <w:sz w:val="24"/>
      </w:rPr>
    </w:lvl>
    <w:lvl w:ilvl="3">
      <w:start w:val="1"/>
      <w:numFmt w:val="decimal"/>
      <w:pStyle w:val="Nadpis4"/>
      <w:lvlText w:val="%1.%2.%3.%4"/>
      <w:lvlJc w:val="left"/>
      <w:pPr>
        <w:tabs>
          <w:tab w:val="num" w:pos="2013"/>
        </w:tabs>
        <w:ind w:left="2013" w:hanging="737"/>
      </w:pPr>
      <w:rPr>
        <w:rFonts w:ascii="Arial" w:hAnsi="Arial" w:hint="default"/>
        <w:b w:val="0"/>
        <w:i w:val="0"/>
        <w:color w:val="8064A2" w:themeColor="accent4"/>
        <w:sz w:val="20"/>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8" w15:restartNumberingAfterBreak="0">
    <w:nsid w:val="61A53DB6"/>
    <w:multiLevelType w:val="hybridMultilevel"/>
    <w:tmpl w:val="51685786"/>
    <w:lvl w:ilvl="0" w:tplc="A156E9EE">
      <w:numFmt w:val="bullet"/>
      <w:lvlText w:val="•"/>
      <w:lvlJc w:val="left"/>
      <w:pPr>
        <w:ind w:left="720" w:hanging="360"/>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9" w15:restartNumberingAfterBreak="0">
    <w:nsid w:val="68333A2A"/>
    <w:multiLevelType w:val="hybridMultilevel"/>
    <w:tmpl w:val="39B09DDE"/>
    <w:lvl w:ilvl="0" w:tplc="04050001">
      <w:start w:val="1"/>
      <w:numFmt w:val="bullet"/>
      <w:lvlText w:val=""/>
      <w:lvlJc w:val="left"/>
      <w:pPr>
        <w:ind w:left="720" w:hanging="360"/>
      </w:pPr>
      <w:rPr>
        <w:rFonts w:ascii="Symbol" w:hAnsi="Symbol" w:hint="default"/>
        <w:color w:val="88C540"/>
        <w:sz w:val="18"/>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0" w15:restartNumberingAfterBreak="0">
    <w:nsid w:val="68334C93"/>
    <w:multiLevelType w:val="hybridMultilevel"/>
    <w:tmpl w:val="E2A45C0A"/>
    <w:lvl w:ilvl="0" w:tplc="04050001">
      <w:start w:val="1"/>
      <w:numFmt w:val="bullet"/>
      <w:lvlText w:val=""/>
      <w:lvlJc w:val="left"/>
      <w:rPr>
        <w:rFonts w:ascii="Symbol" w:hAnsi="Symbol" w:hint="default"/>
        <w:b w:val="0"/>
        <w:bCs w:val="0"/>
        <w:i w:val="0"/>
        <w:iCs w:val="0"/>
        <w:caps w:val="0"/>
        <w:smallCaps w:val="0"/>
        <w:strike w:val="0"/>
        <w:dstrike w:val="0"/>
        <w:noProof w:val="0"/>
        <w:vanish w:val="0"/>
        <w:color w:val="88C540"/>
        <w:spacing w:val="0"/>
        <w:kern w:val="0"/>
        <w:position w:val="0"/>
        <w:sz w:val="18"/>
        <w:u w:val="none"/>
        <w:effect w:val="none"/>
        <w:vertAlign w:val="baseline"/>
        <w:em w:val="none"/>
        <w:specVanish w:val="0"/>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51" w15:restartNumberingAfterBreak="0">
    <w:nsid w:val="6A812B68"/>
    <w:multiLevelType w:val="hybridMultilevel"/>
    <w:tmpl w:val="E738E97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2" w15:restartNumberingAfterBreak="0">
    <w:nsid w:val="6A9C2B0B"/>
    <w:multiLevelType w:val="hybridMultilevel"/>
    <w:tmpl w:val="FA8EE320"/>
    <w:lvl w:ilvl="0" w:tplc="1EE8EE6A">
      <w:start w:val="1"/>
      <w:numFmt w:val="decimal"/>
      <w:lvlText w:val="%1"/>
      <w:lvlJc w:val="left"/>
      <w:pPr>
        <w:ind w:left="1500" w:hanging="114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3" w15:restartNumberingAfterBreak="0">
    <w:nsid w:val="6C287970"/>
    <w:multiLevelType w:val="hybridMultilevel"/>
    <w:tmpl w:val="0B7A833C"/>
    <w:lvl w:ilvl="0" w:tplc="CCA8073C">
      <w:start w:val="1"/>
      <w:numFmt w:val="bullet"/>
      <w:pStyle w:val="Bullets"/>
      <w:lvlText w:val=""/>
      <w:lvlJc w:val="left"/>
      <w:pPr>
        <w:ind w:left="720" w:hanging="360"/>
      </w:pPr>
      <w:rPr>
        <w:rFonts w:ascii="Wingdings 3" w:hAnsi="Wingdings 3" w:hint="default"/>
        <w:color w:val="9BBB59"/>
        <w:sz w:val="18"/>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CBE031F"/>
    <w:multiLevelType w:val="hybridMultilevel"/>
    <w:tmpl w:val="CE88E75E"/>
    <w:lvl w:ilvl="0" w:tplc="04050001">
      <w:start w:val="1"/>
      <w:numFmt w:val="bullet"/>
      <w:lvlText w:val=""/>
      <w:lvlJc w:val="left"/>
      <w:pPr>
        <w:ind w:left="720" w:hanging="360"/>
      </w:pPr>
      <w:rPr>
        <w:rFonts w:ascii="Symbol" w:hAnsi="Symbol" w:hint="default"/>
        <w:color w:val="88C540"/>
        <w:sz w:val="18"/>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5" w15:restartNumberingAfterBreak="0">
    <w:nsid w:val="6EC714EE"/>
    <w:multiLevelType w:val="hybridMultilevel"/>
    <w:tmpl w:val="5030AD70"/>
    <w:lvl w:ilvl="0" w:tplc="04050001">
      <w:start w:val="1"/>
      <w:numFmt w:val="bullet"/>
      <w:lvlText w:val=""/>
      <w:lvlJc w:val="left"/>
      <w:pPr>
        <w:ind w:left="360" w:hanging="360"/>
      </w:pPr>
      <w:rPr>
        <w:rFonts w:ascii="Symbol" w:hAnsi="Symbol" w:hint="default"/>
        <w:color w:val="88C540"/>
        <w:sz w:val="18"/>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6" w15:restartNumberingAfterBreak="0">
    <w:nsid w:val="703D1F72"/>
    <w:multiLevelType w:val="hybridMultilevel"/>
    <w:tmpl w:val="6B46DD54"/>
    <w:lvl w:ilvl="0" w:tplc="A156E9EE">
      <w:numFmt w:val="bullet"/>
      <w:lvlText w:val="•"/>
      <w:lvlJc w:val="left"/>
      <w:pPr>
        <w:ind w:left="360" w:hanging="360"/>
      </w:pPr>
      <w:rPr>
        <w:rFonts w:ascii="Arial" w:eastAsiaTheme="minorHAnsi" w:hAnsi="Arial" w:cs="Aria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num w:numId="1" w16cid:durableId="316693808">
    <w:abstractNumId w:val="0"/>
  </w:num>
  <w:num w:numId="2" w16cid:durableId="1033506625">
    <w:abstractNumId w:val="4"/>
  </w:num>
  <w:num w:numId="3" w16cid:durableId="695498888">
    <w:abstractNumId w:val="32"/>
  </w:num>
  <w:num w:numId="4" w16cid:durableId="862862902">
    <w:abstractNumId w:val="12"/>
  </w:num>
  <w:num w:numId="5" w16cid:durableId="1580404423">
    <w:abstractNumId w:val="35"/>
  </w:num>
  <w:num w:numId="6" w16cid:durableId="279647781">
    <w:abstractNumId w:val="31"/>
  </w:num>
  <w:num w:numId="7" w16cid:durableId="52047729">
    <w:abstractNumId w:val="47"/>
  </w:num>
  <w:num w:numId="8" w16cid:durableId="1696420356">
    <w:abstractNumId w:val="14"/>
  </w:num>
  <w:num w:numId="9" w16cid:durableId="1622372876">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678435788">
    <w:abstractNumId w:val="44"/>
  </w:num>
  <w:num w:numId="11" w16cid:durableId="746537153">
    <w:abstractNumId w:val="13"/>
  </w:num>
  <w:num w:numId="12" w16cid:durableId="1092318687">
    <w:abstractNumId w:val="45"/>
  </w:num>
  <w:num w:numId="13" w16cid:durableId="1149974866">
    <w:abstractNumId w:val="15"/>
  </w:num>
  <w:num w:numId="14" w16cid:durableId="1659773448">
    <w:abstractNumId w:val="40"/>
  </w:num>
  <w:num w:numId="15" w16cid:durableId="1512914830">
    <w:abstractNumId w:val="39"/>
  </w:num>
  <w:num w:numId="16" w16cid:durableId="1930891333">
    <w:abstractNumId w:val="53"/>
  </w:num>
  <w:num w:numId="17" w16cid:durableId="1893692379">
    <w:abstractNumId w:val="2"/>
  </w:num>
  <w:num w:numId="18" w16cid:durableId="557744038">
    <w:abstractNumId w:val="49"/>
  </w:num>
  <w:num w:numId="19" w16cid:durableId="1041588860">
    <w:abstractNumId w:val="20"/>
  </w:num>
  <w:num w:numId="20" w16cid:durableId="892078599">
    <w:abstractNumId w:val="38"/>
  </w:num>
  <w:num w:numId="21" w16cid:durableId="1631396074">
    <w:abstractNumId w:val="37"/>
  </w:num>
  <w:num w:numId="22" w16cid:durableId="1940596466">
    <w:abstractNumId w:val="8"/>
  </w:num>
  <w:num w:numId="23" w16cid:durableId="1371343599">
    <w:abstractNumId w:val="21"/>
  </w:num>
  <w:num w:numId="24" w16cid:durableId="1969050374">
    <w:abstractNumId w:val="11"/>
  </w:num>
  <w:num w:numId="25" w16cid:durableId="991329584">
    <w:abstractNumId w:val="41"/>
  </w:num>
  <w:num w:numId="26" w16cid:durableId="1974484260">
    <w:abstractNumId w:val="30"/>
  </w:num>
  <w:num w:numId="27" w16cid:durableId="1974676877">
    <w:abstractNumId w:val="55"/>
  </w:num>
  <w:num w:numId="28" w16cid:durableId="1714572176">
    <w:abstractNumId w:val="42"/>
  </w:num>
  <w:num w:numId="29" w16cid:durableId="146676455">
    <w:abstractNumId w:val="22"/>
  </w:num>
  <w:num w:numId="30" w16cid:durableId="70433302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18500872">
    <w:abstractNumId w:val="54"/>
  </w:num>
  <w:num w:numId="32" w16cid:durableId="615914019">
    <w:abstractNumId w:val="29"/>
  </w:num>
  <w:num w:numId="33" w16cid:durableId="1915698843">
    <w:abstractNumId w:val="23"/>
  </w:num>
  <w:num w:numId="34" w16cid:durableId="338195974">
    <w:abstractNumId w:val="34"/>
  </w:num>
  <w:num w:numId="35" w16cid:durableId="824055063">
    <w:abstractNumId w:val="36"/>
  </w:num>
  <w:num w:numId="36" w16cid:durableId="2053185990">
    <w:abstractNumId w:val="46"/>
  </w:num>
  <w:num w:numId="37" w16cid:durableId="867525807">
    <w:abstractNumId w:val="43"/>
  </w:num>
  <w:num w:numId="38" w16cid:durableId="2083065212">
    <w:abstractNumId w:val="25"/>
  </w:num>
  <w:num w:numId="39" w16cid:durableId="1944680051">
    <w:abstractNumId w:val="52"/>
  </w:num>
  <w:num w:numId="40" w16cid:durableId="1589265314">
    <w:abstractNumId w:val="18"/>
  </w:num>
  <w:num w:numId="41" w16cid:durableId="1018044514">
    <w:abstractNumId w:val="6"/>
  </w:num>
  <w:num w:numId="42" w16cid:durableId="1584559299">
    <w:abstractNumId w:val="33"/>
  </w:num>
  <w:num w:numId="43" w16cid:durableId="706176044">
    <w:abstractNumId w:val="7"/>
  </w:num>
  <w:num w:numId="44" w16cid:durableId="78603801">
    <w:abstractNumId w:val="1"/>
  </w:num>
  <w:num w:numId="45" w16cid:durableId="1261061520">
    <w:abstractNumId w:val="17"/>
  </w:num>
  <w:num w:numId="46" w16cid:durableId="357924770">
    <w:abstractNumId w:val="56"/>
  </w:num>
  <w:num w:numId="47" w16cid:durableId="1136796142">
    <w:abstractNumId w:val="50"/>
  </w:num>
  <w:num w:numId="48" w16cid:durableId="1856918293">
    <w:abstractNumId w:val="26"/>
  </w:num>
  <w:num w:numId="49" w16cid:durableId="1300112745">
    <w:abstractNumId w:val="9"/>
  </w:num>
  <w:num w:numId="50" w16cid:durableId="437456002">
    <w:abstractNumId w:val="24"/>
  </w:num>
  <w:num w:numId="51" w16cid:durableId="834567249">
    <w:abstractNumId w:val="28"/>
  </w:num>
  <w:num w:numId="52" w16cid:durableId="235674826">
    <w:abstractNumId w:val="35"/>
    <w:lvlOverride w:ilvl="0">
      <w:startOverride w:val="1"/>
    </w:lvlOverride>
  </w:num>
  <w:num w:numId="53" w16cid:durableId="1547597069">
    <w:abstractNumId w:val="3"/>
  </w:num>
  <w:num w:numId="54" w16cid:durableId="2012370179">
    <w:abstractNumId w:val="48"/>
  </w:num>
  <w:num w:numId="55" w16cid:durableId="1599485392">
    <w:abstractNumId w:val="51"/>
  </w:num>
  <w:num w:numId="56" w16cid:durableId="2116973982">
    <w:abstractNumId w:val="16"/>
  </w:num>
  <w:num w:numId="57" w16cid:durableId="1295521225">
    <w:abstractNumId w:val="19"/>
  </w:num>
  <w:num w:numId="58" w16cid:durableId="220024709">
    <w:abstractNumId w:val="27"/>
  </w:num>
  <w:num w:numId="59" w16cid:durableId="1563060406">
    <w:abstractNumId w:val="5"/>
  </w:num>
  <w:num w:numId="60" w16cid:durableId="958681446">
    <w:abstractNumId w:val="10"/>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defaultTabStop w:val="1134"/>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30273"/>
    <w:rsid w:val="00000454"/>
    <w:rsid w:val="0000052A"/>
    <w:rsid w:val="00000A9E"/>
    <w:rsid w:val="0000147C"/>
    <w:rsid w:val="00001C7E"/>
    <w:rsid w:val="00001CE9"/>
    <w:rsid w:val="00002230"/>
    <w:rsid w:val="00002497"/>
    <w:rsid w:val="00003543"/>
    <w:rsid w:val="00003FA6"/>
    <w:rsid w:val="00004188"/>
    <w:rsid w:val="0000438E"/>
    <w:rsid w:val="0000488B"/>
    <w:rsid w:val="0000571B"/>
    <w:rsid w:val="0000612D"/>
    <w:rsid w:val="00006130"/>
    <w:rsid w:val="00007358"/>
    <w:rsid w:val="00007A57"/>
    <w:rsid w:val="00010530"/>
    <w:rsid w:val="00010935"/>
    <w:rsid w:val="00010A9E"/>
    <w:rsid w:val="00010BCE"/>
    <w:rsid w:val="00010C20"/>
    <w:rsid w:val="00010E69"/>
    <w:rsid w:val="000119F4"/>
    <w:rsid w:val="00011DED"/>
    <w:rsid w:val="0001212C"/>
    <w:rsid w:val="000140FD"/>
    <w:rsid w:val="0001441E"/>
    <w:rsid w:val="00014AB2"/>
    <w:rsid w:val="0001577A"/>
    <w:rsid w:val="00015E88"/>
    <w:rsid w:val="000161C0"/>
    <w:rsid w:val="000164C0"/>
    <w:rsid w:val="00016D60"/>
    <w:rsid w:val="000206C4"/>
    <w:rsid w:val="000207E0"/>
    <w:rsid w:val="0002143C"/>
    <w:rsid w:val="000218BB"/>
    <w:rsid w:val="00022324"/>
    <w:rsid w:val="00022FB5"/>
    <w:rsid w:val="000235ED"/>
    <w:rsid w:val="000238B5"/>
    <w:rsid w:val="00023F04"/>
    <w:rsid w:val="00024117"/>
    <w:rsid w:val="00024C68"/>
    <w:rsid w:val="0002533C"/>
    <w:rsid w:val="00025DDF"/>
    <w:rsid w:val="00026ACC"/>
    <w:rsid w:val="00026EFE"/>
    <w:rsid w:val="000271D6"/>
    <w:rsid w:val="00027200"/>
    <w:rsid w:val="00027EDB"/>
    <w:rsid w:val="00030894"/>
    <w:rsid w:val="000308F3"/>
    <w:rsid w:val="00031381"/>
    <w:rsid w:val="000314F4"/>
    <w:rsid w:val="0003162A"/>
    <w:rsid w:val="00032D05"/>
    <w:rsid w:val="00032F0E"/>
    <w:rsid w:val="000330BA"/>
    <w:rsid w:val="00033394"/>
    <w:rsid w:val="00033D6D"/>
    <w:rsid w:val="000344D8"/>
    <w:rsid w:val="00034671"/>
    <w:rsid w:val="00034B53"/>
    <w:rsid w:val="00034C85"/>
    <w:rsid w:val="00035641"/>
    <w:rsid w:val="0003598D"/>
    <w:rsid w:val="00035B28"/>
    <w:rsid w:val="00036379"/>
    <w:rsid w:val="00036898"/>
    <w:rsid w:val="00036B1D"/>
    <w:rsid w:val="00037554"/>
    <w:rsid w:val="00037C3A"/>
    <w:rsid w:val="00040D31"/>
    <w:rsid w:val="000418B0"/>
    <w:rsid w:val="00042079"/>
    <w:rsid w:val="000427FC"/>
    <w:rsid w:val="00043D95"/>
    <w:rsid w:val="00043F26"/>
    <w:rsid w:val="00044A5C"/>
    <w:rsid w:val="00044B39"/>
    <w:rsid w:val="00044F17"/>
    <w:rsid w:val="000450D2"/>
    <w:rsid w:val="00046414"/>
    <w:rsid w:val="00046607"/>
    <w:rsid w:val="000469A1"/>
    <w:rsid w:val="00047449"/>
    <w:rsid w:val="0004789A"/>
    <w:rsid w:val="00047CE1"/>
    <w:rsid w:val="00047D22"/>
    <w:rsid w:val="00047DE3"/>
    <w:rsid w:val="0005070D"/>
    <w:rsid w:val="0005086F"/>
    <w:rsid w:val="000508E0"/>
    <w:rsid w:val="000514E1"/>
    <w:rsid w:val="00051BFB"/>
    <w:rsid w:val="00052751"/>
    <w:rsid w:val="00053BCE"/>
    <w:rsid w:val="00053D8C"/>
    <w:rsid w:val="0005469F"/>
    <w:rsid w:val="000549F9"/>
    <w:rsid w:val="00054DE7"/>
    <w:rsid w:val="000552C6"/>
    <w:rsid w:val="00055819"/>
    <w:rsid w:val="00056215"/>
    <w:rsid w:val="00056B17"/>
    <w:rsid w:val="000572D8"/>
    <w:rsid w:val="00057A95"/>
    <w:rsid w:val="00057FED"/>
    <w:rsid w:val="000606B8"/>
    <w:rsid w:val="0006098B"/>
    <w:rsid w:val="00061F67"/>
    <w:rsid w:val="000624F6"/>
    <w:rsid w:val="000626E4"/>
    <w:rsid w:val="0006295C"/>
    <w:rsid w:val="0006339A"/>
    <w:rsid w:val="00063F4D"/>
    <w:rsid w:val="0006453D"/>
    <w:rsid w:val="00064B48"/>
    <w:rsid w:val="00064B73"/>
    <w:rsid w:val="00065588"/>
    <w:rsid w:val="000656FB"/>
    <w:rsid w:val="0006622B"/>
    <w:rsid w:val="0006682A"/>
    <w:rsid w:val="000670D2"/>
    <w:rsid w:val="000671CA"/>
    <w:rsid w:val="00067DCC"/>
    <w:rsid w:val="00067F6D"/>
    <w:rsid w:val="000709FE"/>
    <w:rsid w:val="0007166D"/>
    <w:rsid w:val="00072D86"/>
    <w:rsid w:val="000732E0"/>
    <w:rsid w:val="00073D80"/>
    <w:rsid w:val="00073EC7"/>
    <w:rsid w:val="0007445F"/>
    <w:rsid w:val="00074E8E"/>
    <w:rsid w:val="00074F0D"/>
    <w:rsid w:val="00075302"/>
    <w:rsid w:val="00075795"/>
    <w:rsid w:val="00075878"/>
    <w:rsid w:val="00075A6E"/>
    <w:rsid w:val="00076032"/>
    <w:rsid w:val="0007696D"/>
    <w:rsid w:val="00076CB0"/>
    <w:rsid w:val="0007717F"/>
    <w:rsid w:val="0008043D"/>
    <w:rsid w:val="0008263B"/>
    <w:rsid w:val="00082CFB"/>
    <w:rsid w:val="00083C86"/>
    <w:rsid w:val="00083E15"/>
    <w:rsid w:val="00084108"/>
    <w:rsid w:val="000850CD"/>
    <w:rsid w:val="00085178"/>
    <w:rsid w:val="000855DD"/>
    <w:rsid w:val="000856CB"/>
    <w:rsid w:val="00086129"/>
    <w:rsid w:val="000866CF"/>
    <w:rsid w:val="00086C86"/>
    <w:rsid w:val="0008722F"/>
    <w:rsid w:val="000875E3"/>
    <w:rsid w:val="00087B60"/>
    <w:rsid w:val="00087FFC"/>
    <w:rsid w:val="0009053D"/>
    <w:rsid w:val="00090D8F"/>
    <w:rsid w:val="0009181F"/>
    <w:rsid w:val="00092F8E"/>
    <w:rsid w:val="00093699"/>
    <w:rsid w:val="00093858"/>
    <w:rsid w:val="00093E3A"/>
    <w:rsid w:val="00094866"/>
    <w:rsid w:val="000950D8"/>
    <w:rsid w:val="00095901"/>
    <w:rsid w:val="00095934"/>
    <w:rsid w:val="0009610C"/>
    <w:rsid w:val="000965AD"/>
    <w:rsid w:val="000972D4"/>
    <w:rsid w:val="000979E0"/>
    <w:rsid w:val="000A01C9"/>
    <w:rsid w:val="000A09B3"/>
    <w:rsid w:val="000A1007"/>
    <w:rsid w:val="000A1043"/>
    <w:rsid w:val="000A1110"/>
    <w:rsid w:val="000A19F8"/>
    <w:rsid w:val="000A2A0E"/>
    <w:rsid w:val="000A2B7B"/>
    <w:rsid w:val="000A2C13"/>
    <w:rsid w:val="000A356F"/>
    <w:rsid w:val="000A3CD3"/>
    <w:rsid w:val="000A4211"/>
    <w:rsid w:val="000A4AA0"/>
    <w:rsid w:val="000A4F3B"/>
    <w:rsid w:val="000A5125"/>
    <w:rsid w:val="000A566C"/>
    <w:rsid w:val="000A5BA6"/>
    <w:rsid w:val="000A5BF7"/>
    <w:rsid w:val="000A5C4C"/>
    <w:rsid w:val="000A63DC"/>
    <w:rsid w:val="000A6850"/>
    <w:rsid w:val="000A6868"/>
    <w:rsid w:val="000A6B26"/>
    <w:rsid w:val="000A7298"/>
    <w:rsid w:val="000A78C6"/>
    <w:rsid w:val="000A7D26"/>
    <w:rsid w:val="000A7EB8"/>
    <w:rsid w:val="000B0750"/>
    <w:rsid w:val="000B0823"/>
    <w:rsid w:val="000B0C40"/>
    <w:rsid w:val="000B2643"/>
    <w:rsid w:val="000B26C5"/>
    <w:rsid w:val="000B2BA7"/>
    <w:rsid w:val="000B4543"/>
    <w:rsid w:val="000B4D4E"/>
    <w:rsid w:val="000B4E10"/>
    <w:rsid w:val="000B4F9A"/>
    <w:rsid w:val="000B55A7"/>
    <w:rsid w:val="000B5640"/>
    <w:rsid w:val="000B624E"/>
    <w:rsid w:val="000B6260"/>
    <w:rsid w:val="000B64BE"/>
    <w:rsid w:val="000B686A"/>
    <w:rsid w:val="000B694A"/>
    <w:rsid w:val="000B79D1"/>
    <w:rsid w:val="000B7D83"/>
    <w:rsid w:val="000B7FB7"/>
    <w:rsid w:val="000C00FB"/>
    <w:rsid w:val="000C0323"/>
    <w:rsid w:val="000C0A0D"/>
    <w:rsid w:val="000C0B39"/>
    <w:rsid w:val="000C24B3"/>
    <w:rsid w:val="000C268C"/>
    <w:rsid w:val="000C2C01"/>
    <w:rsid w:val="000C2E99"/>
    <w:rsid w:val="000C36EE"/>
    <w:rsid w:val="000C3881"/>
    <w:rsid w:val="000C4047"/>
    <w:rsid w:val="000C4F0C"/>
    <w:rsid w:val="000C51FD"/>
    <w:rsid w:val="000C5506"/>
    <w:rsid w:val="000C5DF3"/>
    <w:rsid w:val="000C5ED8"/>
    <w:rsid w:val="000C5FCB"/>
    <w:rsid w:val="000C7842"/>
    <w:rsid w:val="000C7FCB"/>
    <w:rsid w:val="000D0656"/>
    <w:rsid w:val="000D0CE1"/>
    <w:rsid w:val="000D0DF3"/>
    <w:rsid w:val="000D1C64"/>
    <w:rsid w:val="000D248A"/>
    <w:rsid w:val="000D3477"/>
    <w:rsid w:val="000D38BE"/>
    <w:rsid w:val="000D3BDA"/>
    <w:rsid w:val="000D4161"/>
    <w:rsid w:val="000D435E"/>
    <w:rsid w:val="000D55BD"/>
    <w:rsid w:val="000D57B6"/>
    <w:rsid w:val="000D5DF2"/>
    <w:rsid w:val="000D623A"/>
    <w:rsid w:val="000D6603"/>
    <w:rsid w:val="000D6FA0"/>
    <w:rsid w:val="000D7206"/>
    <w:rsid w:val="000D7242"/>
    <w:rsid w:val="000D79BD"/>
    <w:rsid w:val="000D7CBD"/>
    <w:rsid w:val="000D7ECA"/>
    <w:rsid w:val="000E0622"/>
    <w:rsid w:val="000E0E7E"/>
    <w:rsid w:val="000E0E9D"/>
    <w:rsid w:val="000E2307"/>
    <w:rsid w:val="000E2E2B"/>
    <w:rsid w:val="000E2EAB"/>
    <w:rsid w:val="000E3D9E"/>
    <w:rsid w:val="000E4502"/>
    <w:rsid w:val="000E4523"/>
    <w:rsid w:val="000E515F"/>
    <w:rsid w:val="000E523B"/>
    <w:rsid w:val="000E5F7D"/>
    <w:rsid w:val="000E66B4"/>
    <w:rsid w:val="000E71EC"/>
    <w:rsid w:val="000E7213"/>
    <w:rsid w:val="000F02E4"/>
    <w:rsid w:val="000F05B4"/>
    <w:rsid w:val="000F0E33"/>
    <w:rsid w:val="000F0EAA"/>
    <w:rsid w:val="000F101C"/>
    <w:rsid w:val="000F1528"/>
    <w:rsid w:val="000F1530"/>
    <w:rsid w:val="000F15BC"/>
    <w:rsid w:val="000F262E"/>
    <w:rsid w:val="000F2D6D"/>
    <w:rsid w:val="000F2FDD"/>
    <w:rsid w:val="000F356C"/>
    <w:rsid w:val="000F3671"/>
    <w:rsid w:val="000F4558"/>
    <w:rsid w:val="000F4A64"/>
    <w:rsid w:val="000F4DE7"/>
    <w:rsid w:val="000F4FB9"/>
    <w:rsid w:val="000F5AC8"/>
    <w:rsid w:val="000F62DB"/>
    <w:rsid w:val="000F638E"/>
    <w:rsid w:val="000F70C3"/>
    <w:rsid w:val="000F75F4"/>
    <w:rsid w:val="000F7C6E"/>
    <w:rsid w:val="000F7CE1"/>
    <w:rsid w:val="00100246"/>
    <w:rsid w:val="00100800"/>
    <w:rsid w:val="00100815"/>
    <w:rsid w:val="0010115E"/>
    <w:rsid w:val="00101224"/>
    <w:rsid w:val="00101328"/>
    <w:rsid w:val="0010220C"/>
    <w:rsid w:val="0010298A"/>
    <w:rsid w:val="00102F3C"/>
    <w:rsid w:val="00103065"/>
    <w:rsid w:val="00103095"/>
    <w:rsid w:val="00103300"/>
    <w:rsid w:val="00103499"/>
    <w:rsid w:val="0010383B"/>
    <w:rsid w:val="00103892"/>
    <w:rsid w:val="00103A86"/>
    <w:rsid w:val="00103F1F"/>
    <w:rsid w:val="0010613A"/>
    <w:rsid w:val="00106518"/>
    <w:rsid w:val="00106A8A"/>
    <w:rsid w:val="00106BF4"/>
    <w:rsid w:val="00106F0C"/>
    <w:rsid w:val="00107466"/>
    <w:rsid w:val="00110926"/>
    <w:rsid w:val="00110B3C"/>
    <w:rsid w:val="00110EAF"/>
    <w:rsid w:val="001110E1"/>
    <w:rsid w:val="001111FD"/>
    <w:rsid w:val="00111F34"/>
    <w:rsid w:val="00112A42"/>
    <w:rsid w:val="00112E55"/>
    <w:rsid w:val="0011311E"/>
    <w:rsid w:val="0011369D"/>
    <w:rsid w:val="001141B0"/>
    <w:rsid w:val="00114282"/>
    <w:rsid w:val="00114A17"/>
    <w:rsid w:val="00116E25"/>
    <w:rsid w:val="00116E48"/>
    <w:rsid w:val="00116FF6"/>
    <w:rsid w:val="001174C8"/>
    <w:rsid w:val="00120563"/>
    <w:rsid w:val="00121351"/>
    <w:rsid w:val="0012225E"/>
    <w:rsid w:val="00122674"/>
    <w:rsid w:val="00122898"/>
    <w:rsid w:val="001228F6"/>
    <w:rsid w:val="00122E88"/>
    <w:rsid w:val="001233A0"/>
    <w:rsid w:val="00123539"/>
    <w:rsid w:val="00123803"/>
    <w:rsid w:val="00123CAB"/>
    <w:rsid w:val="00123D09"/>
    <w:rsid w:val="00123F27"/>
    <w:rsid w:val="0012416A"/>
    <w:rsid w:val="00124EED"/>
    <w:rsid w:val="0012552F"/>
    <w:rsid w:val="001259C9"/>
    <w:rsid w:val="00125A75"/>
    <w:rsid w:val="001269EF"/>
    <w:rsid w:val="0012758C"/>
    <w:rsid w:val="00127975"/>
    <w:rsid w:val="001307C8"/>
    <w:rsid w:val="00130F4B"/>
    <w:rsid w:val="0013142E"/>
    <w:rsid w:val="00131710"/>
    <w:rsid w:val="00132861"/>
    <w:rsid w:val="00132C2A"/>
    <w:rsid w:val="00132DE2"/>
    <w:rsid w:val="00132E35"/>
    <w:rsid w:val="001331AB"/>
    <w:rsid w:val="001350FE"/>
    <w:rsid w:val="00135214"/>
    <w:rsid w:val="00135772"/>
    <w:rsid w:val="001376F8"/>
    <w:rsid w:val="00140323"/>
    <w:rsid w:val="00140E86"/>
    <w:rsid w:val="00140EA2"/>
    <w:rsid w:val="00141149"/>
    <w:rsid w:val="00141BE1"/>
    <w:rsid w:val="00141DFB"/>
    <w:rsid w:val="00142914"/>
    <w:rsid w:val="00142BD1"/>
    <w:rsid w:val="00142BF6"/>
    <w:rsid w:val="00143278"/>
    <w:rsid w:val="00143AE1"/>
    <w:rsid w:val="00144547"/>
    <w:rsid w:val="00144F06"/>
    <w:rsid w:val="00145850"/>
    <w:rsid w:val="0014653F"/>
    <w:rsid w:val="00150F6E"/>
    <w:rsid w:val="00151238"/>
    <w:rsid w:val="00151724"/>
    <w:rsid w:val="001518ED"/>
    <w:rsid w:val="00152733"/>
    <w:rsid w:val="001531DC"/>
    <w:rsid w:val="0015354D"/>
    <w:rsid w:val="0015393D"/>
    <w:rsid w:val="001541D6"/>
    <w:rsid w:val="001545D7"/>
    <w:rsid w:val="00154896"/>
    <w:rsid w:val="001548B9"/>
    <w:rsid w:val="00154990"/>
    <w:rsid w:val="00154E2B"/>
    <w:rsid w:val="001552EF"/>
    <w:rsid w:val="00155632"/>
    <w:rsid w:val="00157540"/>
    <w:rsid w:val="00157A58"/>
    <w:rsid w:val="00160003"/>
    <w:rsid w:val="0016014E"/>
    <w:rsid w:val="00161007"/>
    <w:rsid w:val="0016112E"/>
    <w:rsid w:val="001616E5"/>
    <w:rsid w:val="00161CF8"/>
    <w:rsid w:val="001623AD"/>
    <w:rsid w:val="00162774"/>
    <w:rsid w:val="0016287E"/>
    <w:rsid w:val="00162EFD"/>
    <w:rsid w:val="001630FB"/>
    <w:rsid w:val="001632B7"/>
    <w:rsid w:val="00163885"/>
    <w:rsid w:val="00163BE6"/>
    <w:rsid w:val="00163E56"/>
    <w:rsid w:val="00164842"/>
    <w:rsid w:val="00164E26"/>
    <w:rsid w:val="0016564B"/>
    <w:rsid w:val="0016566E"/>
    <w:rsid w:val="00165684"/>
    <w:rsid w:val="001660A9"/>
    <w:rsid w:val="001663EA"/>
    <w:rsid w:val="00166474"/>
    <w:rsid w:val="00166F1A"/>
    <w:rsid w:val="00166FC8"/>
    <w:rsid w:val="00167D5F"/>
    <w:rsid w:val="00170A8E"/>
    <w:rsid w:val="00171370"/>
    <w:rsid w:val="00171F86"/>
    <w:rsid w:val="001721B0"/>
    <w:rsid w:val="001723AC"/>
    <w:rsid w:val="00172787"/>
    <w:rsid w:val="00172938"/>
    <w:rsid w:val="00172F54"/>
    <w:rsid w:val="0017314B"/>
    <w:rsid w:val="001747C7"/>
    <w:rsid w:val="001749D9"/>
    <w:rsid w:val="0017528C"/>
    <w:rsid w:val="0017530C"/>
    <w:rsid w:val="001756C0"/>
    <w:rsid w:val="00175AAB"/>
    <w:rsid w:val="00175DB0"/>
    <w:rsid w:val="00175FF7"/>
    <w:rsid w:val="00176FA2"/>
    <w:rsid w:val="0017724F"/>
    <w:rsid w:val="00180CA1"/>
    <w:rsid w:val="00181CB5"/>
    <w:rsid w:val="00181FBC"/>
    <w:rsid w:val="0018203F"/>
    <w:rsid w:val="00182994"/>
    <w:rsid w:val="00182AC8"/>
    <w:rsid w:val="00182BFF"/>
    <w:rsid w:val="0018499E"/>
    <w:rsid w:val="00186BCE"/>
    <w:rsid w:val="00187980"/>
    <w:rsid w:val="00187A55"/>
    <w:rsid w:val="00190C10"/>
    <w:rsid w:val="001919B6"/>
    <w:rsid w:val="00191A49"/>
    <w:rsid w:val="00191B63"/>
    <w:rsid w:val="001923FA"/>
    <w:rsid w:val="00192FB8"/>
    <w:rsid w:val="00193213"/>
    <w:rsid w:val="001932BC"/>
    <w:rsid w:val="0019403F"/>
    <w:rsid w:val="001942DC"/>
    <w:rsid w:val="00194548"/>
    <w:rsid w:val="00194A11"/>
    <w:rsid w:val="00194B0C"/>
    <w:rsid w:val="001964D3"/>
    <w:rsid w:val="001A0400"/>
    <w:rsid w:val="001A057B"/>
    <w:rsid w:val="001A0E04"/>
    <w:rsid w:val="001A0F72"/>
    <w:rsid w:val="001A19B1"/>
    <w:rsid w:val="001A1CD9"/>
    <w:rsid w:val="001A43D0"/>
    <w:rsid w:val="001A47D2"/>
    <w:rsid w:val="001A4F05"/>
    <w:rsid w:val="001A5527"/>
    <w:rsid w:val="001A726B"/>
    <w:rsid w:val="001A7A48"/>
    <w:rsid w:val="001A7F1C"/>
    <w:rsid w:val="001B0F4F"/>
    <w:rsid w:val="001B107C"/>
    <w:rsid w:val="001B1C9D"/>
    <w:rsid w:val="001B2631"/>
    <w:rsid w:val="001B2A0E"/>
    <w:rsid w:val="001B2D6F"/>
    <w:rsid w:val="001B3497"/>
    <w:rsid w:val="001B371F"/>
    <w:rsid w:val="001B40FA"/>
    <w:rsid w:val="001B40FF"/>
    <w:rsid w:val="001B4FE2"/>
    <w:rsid w:val="001B51E2"/>
    <w:rsid w:val="001B51EE"/>
    <w:rsid w:val="001B5A87"/>
    <w:rsid w:val="001B5D03"/>
    <w:rsid w:val="001B5E3D"/>
    <w:rsid w:val="001B6124"/>
    <w:rsid w:val="001C07BE"/>
    <w:rsid w:val="001C0E58"/>
    <w:rsid w:val="001C191D"/>
    <w:rsid w:val="001C1A81"/>
    <w:rsid w:val="001C1C92"/>
    <w:rsid w:val="001C22CA"/>
    <w:rsid w:val="001C2B51"/>
    <w:rsid w:val="001C3053"/>
    <w:rsid w:val="001C3796"/>
    <w:rsid w:val="001C393D"/>
    <w:rsid w:val="001C4064"/>
    <w:rsid w:val="001C4D5D"/>
    <w:rsid w:val="001C4FBB"/>
    <w:rsid w:val="001C531E"/>
    <w:rsid w:val="001C53CE"/>
    <w:rsid w:val="001C5D8A"/>
    <w:rsid w:val="001C6497"/>
    <w:rsid w:val="001C65B1"/>
    <w:rsid w:val="001C6C8D"/>
    <w:rsid w:val="001C769F"/>
    <w:rsid w:val="001C7B0A"/>
    <w:rsid w:val="001C7EF8"/>
    <w:rsid w:val="001D0231"/>
    <w:rsid w:val="001D066B"/>
    <w:rsid w:val="001D090A"/>
    <w:rsid w:val="001D091C"/>
    <w:rsid w:val="001D0EB0"/>
    <w:rsid w:val="001D1406"/>
    <w:rsid w:val="001D1FAC"/>
    <w:rsid w:val="001D315B"/>
    <w:rsid w:val="001D33C9"/>
    <w:rsid w:val="001D38A4"/>
    <w:rsid w:val="001D3A8C"/>
    <w:rsid w:val="001D3DB5"/>
    <w:rsid w:val="001D4426"/>
    <w:rsid w:val="001D4533"/>
    <w:rsid w:val="001D4A62"/>
    <w:rsid w:val="001D4B14"/>
    <w:rsid w:val="001D4B49"/>
    <w:rsid w:val="001D4B9A"/>
    <w:rsid w:val="001D501E"/>
    <w:rsid w:val="001D50D4"/>
    <w:rsid w:val="001D5272"/>
    <w:rsid w:val="001D696A"/>
    <w:rsid w:val="001D6F1C"/>
    <w:rsid w:val="001D6F89"/>
    <w:rsid w:val="001D72C0"/>
    <w:rsid w:val="001D749A"/>
    <w:rsid w:val="001D79CE"/>
    <w:rsid w:val="001D7AF0"/>
    <w:rsid w:val="001D7BDF"/>
    <w:rsid w:val="001E0847"/>
    <w:rsid w:val="001E09EA"/>
    <w:rsid w:val="001E0FE3"/>
    <w:rsid w:val="001E1AF9"/>
    <w:rsid w:val="001E2122"/>
    <w:rsid w:val="001E23FE"/>
    <w:rsid w:val="001E2F53"/>
    <w:rsid w:val="001E4791"/>
    <w:rsid w:val="001E4993"/>
    <w:rsid w:val="001E611B"/>
    <w:rsid w:val="001E65AB"/>
    <w:rsid w:val="001E6944"/>
    <w:rsid w:val="001E6EFE"/>
    <w:rsid w:val="001E767E"/>
    <w:rsid w:val="001E777B"/>
    <w:rsid w:val="001E7B4F"/>
    <w:rsid w:val="001F0B11"/>
    <w:rsid w:val="001F0B78"/>
    <w:rsid w:val="001F0C5D"/>
    <w:rsid w:val="001F12BA"/>
    <w:rsid w:val="001F225F"/>
    <w:rsid w:val="001F25D3"/>
    <w:rsid w:val="001F2624"/>
    <w:rsid w:val="001F275A"/>
    <w:rsid w:val="001F3C90"/>
    <w:rsid w:val="001F46CE"/>
    <w:rsid w:val="001F4DFA"/>
    <w:rsid w:val="001F59A3"/>
    <w:rsid w:val="001F5F54"/>
    <w:rsid w:val="001F608B"/>
    <w:rsid w:val="001F7FC3"/>
    <w:rsid w:val="002000A9"/>
    <w:rsid w:val="002004B4"/>
    <w:rsid w:val="00200B16"/>
    <w:rsid w:val="00201018"/>
    <w:rsid w:val="00201F40"/>
    <w:rsid w:val="002021A5"/>
    <w:rsid w:val="0020294F"/>
    <w:rsid w:val="00202E91"/>
    <w:rsid w:val="00203094"/>
    <w:rsid w:val="002032B1"/>
    <w:rsid w:val="002036CE"/>
    <w:rsid w:val="00204275"/>
    <w:rsid w:val="00205335"/>
    <w:rsid w:val="0020557D"/>
    <w:rsid w:val="002063C4"/>
    <w:rsid w:val="00206780"/>
    <w:rsid w:val="00207BA8"/>
    <w:rsid w:val="00207D2F"/>
    <w:rsid w:val="002108D7"/>
    <w:rsid w:val="00210E31"/>
    <w:rsid w:val="00210F9C"/>
    <w:rsid w:val="0021192A"/>
    <w:rsid w:val="00211D05"/>
    <w:rsid w:val="00212AEF"/>
    <w:rsid w:val="00213102"/>
    <w:rsid w:val="002132C3"/>
    <w:rsid w:val="0021384A"/>
    <w:rsid w:val="00213935"/>
    <w:rsid w:val="002144CE"/>
    <w:rsid w:val="0021507F"/>
    <w:rsid w:val="00215391"/>
    <w:rsid w:val="00215476"/>
    <w:rsid w:val="002155EB"/>
    <w:rsid w:val="00216ADD"/>
    <w:rsid w:val="00216DD8"/>
    <w:rsid w:val="002172D6"/>
    <w:rsid w:val="002174A4"/>
    <w:rsid w:val="00217C64"/>
    <w:rsid w:val="00220527"/>
    <w:rsid w:val="002210A8"/>
    <w:rsid w:val="00221544"/>
    <w:rsid w:val="00221BDC"/>
    <w:rsid w:val="00221FF5"/>
    <w:rsid w:val="00222989"/>
    <w:rsid w:val="00223009"/>
    <w:rsid w:val="002234FC"/>
    <w:rsid w:val="00223799"/>
    <w:rsid w:val="00224669"/>
    <w:rsid w:val="00224822"/>
    <w:rsid w:val="00224AA5"/>
    <w:rsid w:val="00224D90"/>
    <w:rsid w:val="00224D92"/>
    <w:rsid w:val="002258CE"/>
    <w:rsid w:val="00225F28"/>
    <w:rsid w:val="00226D84"/>
    <w:rsid w:val="00227522"/>
    <w:rsid w:val="002301E9"/>
    <w:rsid w:val="00230425"/>
    <w:rsid w:val="00230D32"/>
    <w:rsid w:val="00230F3C"/>
    <w:rsid w:val="002312E8"/>
    <w:rsid w:val="00231DE3"/>
    <w:rsid w:val="0023408C"/>
    <w:rsid w:val="0023422A"/>
    <w:rsid w:val="00235123"/>
    <w:rsid w:val="00235402"/>
    <w:rsid w:val="00235470"/>
    <w:rsid w:val="00235616"/>
    <w:rsid w:val="0023585C"/>
    <w:rsid w:val="002369C7"/>
    <w:rsid w:val="00236A64"/>
    <w:rsid w:val="002378DB"/>
    <w:rsid w:val="00237990"/>
    <w:rsid w:val="0024023A"/>
    <w:rsid w:val="00242281"/>
    <w:rsid w:val="00242E8D"/>
    <w:rsid w:val="00243CB3"/>
    <w:rsid w:val="00244269"/>
    <w:rsid w:val="00245BEC"/>
    <w:rsid w:val="00245C50"/>
    <w:rsid w:val="00246114"/>
    <w:rsid w:val="00246D18"/>
    <w:rsid w:val="00250465"/>
    <w:rsid w:val="00250EAC"/>
    <w:rsid w:val="00251099"/>
    <w:rsid w:val="00251312"/>
    <w:rsid w:val="00251A01"/>
    <w:rsid w:val="00252A0D"/>
    <w:rsid w:val="00252EA6"/>
    <w:rsid w:val="00253ACE"/>
    <w:rsid w:val="00254B8A"/>
    <w:rsid w:val="00255791"/>
    <w:rsid w:val="0025642F"/>
    <w:rsid w:val="002564D7"/>
    <w:rsid w:val="002565B3"/>
    <w:rsid w:val="00256ACD"/>
    <w:rsid w:val="00256C96"/>
    <w:rsid w:val="00257221"/>
    <w:rsid w:val="00257AA0"/>
    <w:rsid w:val="00257FED"/>
    <w:rsid w:val="0026044B"/>
    <w:rsid w:val="00260BD9"/>
    <w:rsid w:val="00260F03"/>
    <w:rsid w:val="002612BA"/>
    <w:rsid w:val="002612BB"/>
    <w:rsid w:val="00261654"/>
    <w:rsid w:val="002617DA"/>
    <w:rsid w:val="00261AC5"/>
    <w:rsid w:val="00261D68"/>
    <w:rsid w:val="002628BB"/>
    <w:rsid w:val="00262DF6"/>
    <w:rsid w:val="002631CA"/>
    <w:rsid w:val="00263340"/>
    <w:rsid w:val="0026340D"/>
    <w:rsid w:val="00264608"/>
    <w:rsid w:val="002650E4"/>
    <w:rsid w:val="002650EA"/>
    <w:rsid w:val="002658F9"/>
    <w:rsid w:val="00265A59"/>
    <w:rsid w:val="00265E49"/>
    <w:rsid w:val="00266672"/>
    <w:rsid w:val="00267775"/>
    <w:rsid w:val="00267A52"/>
    <w:rsid w:val="00267F99"/>
    <w:rsid w:val="0027010A"/>
    <w:rsid w:val="00270648"/>
    <w:rsid w:val="00271A40"/>
    <w:rsid w:val="00271CBD"/>
    <w:rsid w:val="00271F7A"/>
    <w:rsid w:val="0027246B"/>
    <w:rsid w:val="00272984"/>
    <w:rsid w:val="0027327C"/>
    <w:rsid w:val="00273BE0"/>
    <w:rsid w:val="002743B8"/>
    <w:rsid w:val="0027480D"/>
    <w:rsid w:val="00274BB3"/>
    <w:rsid w:val="00274CE8"/>
    <w:rsid w:val="00275401"/>
    <w:rsid w:val="00275B3F"/>
    <w:rsid w:val="00276FB4"/>
    <w:rsid w:val="00277426"/>
    <w:rsid w:val="002779C1"/>
    <w:rsid w:val="00277D50"/>
    <w:rsid w:val="002801A0"/>
    <w:rsid w:val="002805A6"/>
    <w:rsid w:val="0028115B"/>
    <w:rsid w:val="00281C67"/>
    <w:rsid w:val="002823F5"/>
    <w:rsid w:val="002826AD"/>
    <w:rsid w:val="002828BC"/>
    <w:rsid w:val="00282EFC"/>
    <w:rsid w:val="00283464"/>
    <w:rsid w:val="002835FB"/>
    <w:rsid w:val="00283D38"/>
    <w:rsid w:val="002843A3"/>
    <w:rsid w:val="0028445F"/>
    <w:rsid w:val="002845AA"/>
    <w:rsid w:val="00284AEB"/>
    <w:rsid w:val="00284F6A"/>
    <w:rsid w:val="0028660A"/>
    <w:rsid w:val="00286A17"/>
    <w:rsid w:val="00286ECE"/>
    <w:rsid w:val="00286EF9"/>
    <w:rsid w:val="002873A9"/>
    <w:rsid w:val="002876A6"/>
    <w:rsid w:val="00287E37"/>
    <w:rsid w:val="00287FA2"/>
    <w:rsid w:val="00290856"/>
    <w:rsid w:val="00290CF3"/>
    <w:rsid w:val="00290D24"/>
    <w:rsid w:val="00290DBA"/>
    <w:rsid w:val="002922B5"/>
    <w:rsid w:val="002924B0"/>
    <w:rsid w:val="00294632"/>
    <w:rsid w:val="0029487B"/>
    <w:rsid w:val="00294C03"/>
    <w:rsid w:val="00295D0D"/>
    <w:rsid w:val="00295F00"/>
    <w:rsid w:val="00296FBA"/>
    <w:rsid w:val="00297849"/>
    <w:rsid w:val="0029788F"/>
    <w:rsid w:val="00297927"/>
    <w:rsid w:val="00297AA5"/>
    <w:rsid w:val="00297D6A"/>
    <w:rsid w:val="002A01BF"/>
    <w:rsid w:val="002A15F5"/>
    <w:rsid w:val="002A236F"/>
    <w:rsid w:val="002A2BCE"/>
    <w:rsid w:val="002A2D5C"/>
    <w:rsid w:val="002A2F4F"/>
    <w:rsid w:val="002A3A42"/>
    <w:rsid w:val="002A3EA8"/>
    <w:rsid w:val="002A41DE"/>
    <w:rsid w:val="002A46B3"/>
    <w:rsid w:val="002A597E"/>
    <w:rsid w:val="002A6001"/>
    <w:rsid w:val="002A6226"/>
    <w:rsid w:val="002A6360"/>
    <w:rsid w:val="002A6552"/>
    <w:rsid w:val="002A656F"/>
    <w:rsid w:val="002A67F1"/>
    <w:rsid w:val="002A68D2"/>
    <w:rsid w:val="002A6B36"/>
    <w:rsid w:val="002A6E8E"/>
    <w:rsid w:val="002B001A"/>
    <w:rsid w:val="002B00F8"/>
    <w:rsid w:val="002B0121"/>
    <w:rsid w:val="002B05A1"/>
    <w:rsid w:val="002B1148"/>
    <w:rsid w:val="002B19A2"/>
    <w:rsid w:val="002B1A3F"/>
    <w:rsid w:val="002B22C8"/>
    <w:rsid w:val="002B34D6"/>
    <w:rsid w:val="002B3B80"/>
    <w:rsid w:val="002B49FC"/>
    <w:rsid w:val="002B4E65"/>
    <w:rsid w:val="002B56A9"/>
    <w:rsid w:val="002B6142"/>
    <w:rsid w:val="002B624C"/>
    <w:rsid w:val="002B62F1"/>
    <w:rsid w:val="002B6AAA"/>
    <w:rsid w:val="002B6D97"/>
    <w:rsid w:val="002C0A77"/>
    <w:rsid w:val="002C11AF"/>
    <w:rsid w:val="002C138D"/>
    <w:rsid w:val="002C1C1C"/>
    <w:rsid w:val="002C2240"/>
    <w:rsid w:val="002C2679"/>
    <w:rsid w:val="002C29B4"/>
    <w:rsid w:val="002C2E3F"/>
    <w:rsid w:val="002C3260"/>
    <w:rsid w:val="002C34C2"/>
    <w:rsid w:val="002C3544"/>
    <w:rsid w:val="002C3756"/>
    <w:rsid w:val="002C3A43"/>
    <w:rsid w:val="002C3D59"/>
    <w:rsid w:val="002C4213"/>
    <w:rsid w:val="002C4226"/>
    <w:rsid w:val="002C4A7B"/>
    <w:rsid w:val="002C547F"/>
    <w:rsid w:val="002C5BB0"/>
    <w:rsid w:val="002C5E46"/>
    <w:rsid w:val="002C6E34"/>
    <w:rsid w:val="002C6F3B"/>
    <w:rsid w:val="002C7623"/>
    <w:rsid w:val="002C78F4"/>
    <w:rsid w:val="002C7D92"/>
    <w:rsid w:val="002C7E62"/>
    <w:rsid w:val="002C7F36"/>
    <w:rsid w:val="002D059B"/>
    <w:rsid w:val="002D1155"/>
    <w:rsid w:val="002D14E1"/>
    <w:rsid w:val="002D364E"/>
    <w:rsid w:val="002D3672"/>
    <w:rsid w:val="002D3C84"/>
    <w:rsid w:val="002D3DCB"/>
    <w:rsid w:val="002D50C7"/>
    <w:rsid w:val="002D51BD"/>
    <w:rsid w:val="002D5357"/>
    <w:rsid w:val="002D53E7"/>
    <w:rsid w:val="002D61EB"/>
    <w:rsid w:val="002D6405"/>
    <w:rsid w:val="002D66C1"/>
    <w:rsid w:val="002D6994"/>
    <w:rsid w:val="002D6A11"/>
    <w:rsid w:val="002D7199"/>
    <w:rsid w:val="002D7339"/>
    <w:rsid w:val="002D73D2"/>
    <w:rsid w:val="002E006D"/>
    <w:rsid w:val="002E039E"/>
    <w:rsid w:val="002E072A"/>
    <w:rsid w:val="002E10A1"/>
    <w:rsid w:val="002E1222"/>
    <w:rsid w:val="002E185B"/>
    <w:rsid w:val="002E1939"/>
    <w:rsid w:val="002E1FD1"/>
    <w:rsid w:val="002E2091"/>
    <w:rsid w:val="002E20A9"/>
    <w:rsid w:val="002E2230"/>
    <w:rsid w:val="002E2396"/>
    <w:rsid w:val="002E247C"/>
    <w:rsid w:val="002E2808"/>
    <w:rsid w:val="002E2A02"/>
    <w:rsid w:val="002E2C7D"/>
    <w:rsid w:val="002E3514"/>
    <w:rsid w:val="002E3727"/>
    <w:rsid w:val="002E5A0E"/>
    <w:rsid w:val="002E5E3B"/>
    <w:rsid w:val="002E61F7"/>
    <w:rsid w:val="002E658D"/>
    <w:rsid w:val="002E724B"/>
    <w:rsid w:val="002E753B"/>
    <w:rsid w:val="002E76FE"/>
    <w:rsid w:val="002E7BB5"/>
    <w:rsid w:val="002F0471"/>
    <w:rsid w:val="002F0C99"/>
    <w:rsid w:val="002F10C1"/>
    <w:rsid w:val="002F1603"/>
    <w:rsid w:val="002F211F"/>
    <w:rsid w:val="002F2A1F"/>
    <w:rsid w:val="002F320F"/>
    <w:rsid w:val="002F3438"/>
    <w:rsid w:val="002F4137"/>
    <w:rsid w:val="002F4381"/>
    <w:rsid w:val="002F448B"/>
    <w:rsid w:val="002F4DAA"/>
    <w:rsid w:val="002F612A"/>
    <w:rsid w:val="002F63C2"/>
    <w:rsid w:val="002F6EF6"/>
    <w:rsid w:val="002F727C"/>
    <w:rsid w:val="00300248"/>
    <w:rsid w:val="0030081A"/>
    <w:rsid w:val="00300A2C"/>
    <w:rsid w:val="00300B6A"/>
    <w:rsid w:val="00301134"/>
    <w:rsid w:val="00301913"/>
    <w:rsid w:val="0030273F"/>
    <w:rsid w:val="003027E8"/>
    <w:rsid w:val="00302B12"/>
    <w:rsid w:val="003035B8"/>
    <w:rsid w:val="003037A1"/>
    <w:rsid w:val="003045AE"/>
    <w:rsid w:val="003046D4"/>
    <w:rsid w:val="00304D16"/>
    <w:rsid w:val="00305570"/>
    <w:rsid w:val="00305C36"/>
    <w:rsid w:val="00306050"/>
    <w:rsid w:val="00306E4A"/>
    <w:rsid w:val="00307B50"/>
    <w:rsid w:val="00310910"/>
    <w:rsid w:val="00310A28"/>
    <w:rsid w:val="003115C3"/>
    <w:rsid w:val="00311779"/>
    <w:rsid w:val="00311861"/>
    <w:rsid w:val="003119CA"/>
    <w:rsid w:val="00311B67"/>
    <w:rsid w:val="00312F16"/>
    <w:rsid w:val="00312F8A"/>
    <w:rsid w:val="0031353B"/>
    <w:rsid w:val="00313E59"/>
    <w:rsid w:val="003142C7"/>
    <w:rsid w:val="003144A6"/>
    <w:rsid w:val="0031461A"/>
    <w:rsid w:val="003148C5"/>
    <w:rsid w:val="00314CEF"/>
    <w:rsid w:val="00314D7A"/>
    <w:rsid w:val="00316358"/>
    <w:rsid w:val="00316887"/>
    <w:rsid w:val="003168D6"/>
    <w:rsid w:val="003178B3"/>
    <w:rsid w:val="0032086C"/>
    <w:rsid w:val="00320C1F"/>
    <w:rsid w:val="00321220"/>
    <w:rsid w:val="00321305"/>
    <w:rsid w:val="003239F1"/>
    <w:rsid w:val="0032418B"/>
    <w:rsid w:val="00324406"/>
    <w:rsid w:val="00324B40"/>
    <w:rsid w:val="0032549B"/>
    <w:rsid w:val="00325D31"/>
    <w:rsid w:val="00326920"/>
    <w:rsid w:val="00326E58"/>
    <w:rsid w:val="00327883"/>
    <w:rsid w:val="003279FD"/>
    <w:rsid w:val="00327BA9"/>
    <w:rsid w:val="00330ADD"/>
    <w:rsid w:val="00331476"/>
    <w:rsid w:val="003317EF"/>
    <w:rsid w:val="00332038"/>
    <w:rsid w:val="00332182"/>
    <w:rsid w:val="00332F6B"/>
    <w:rsid w:val="00333465"/>
    <w:rsid w:val="0033368A"/>
    <w:rsid w:val="00333748"/>
    <w:rsid w:val="00333A84"/>
    <w:rsid w:val="003344DA"/>
    <w:rsid w:val="00334B07"/>
    <w:rsid w:val="00334B60"/>
    <w:rsid w:val="00334F50"/>
    <w:rsid w:val="00335E62"/>
    <w:rsid w:val="00336A43"/>
    <w:rsid w:val="00337306"/>
    <w:rsid w:val="00337362"/>
    <w:rsid w:val="00337BD6"/>
    <w:rsid w:val="00337E6F"/>
    <w:rsid w:val="00340407"/>
    <w:rsid w:val="0034063B"/>
    <w:rsid w:val="00340812"/>
    <w:rsid w:val="00340C7D"/>
    <w:rsid w:val="00340D73"/>
    <w:rsid w:val="00340E02"/>
    <w:rsid w:val="003411C7"/>
    <w:rsid w:val="0034122E"/>
    <w:rsid w:val="00341BA2"/>
    <w:rsid w:val="003422BE"/>
    <w:rsid w:val="00344921"/>
    <w:rsid w:val="00345738"/>
    <w:rsid w:val="003457D7"/>
    <w:rsid w:val="00345A01"/>
    <w:rsid w:val="00345CFE"/>
    <w:rsid w:val="00346B78"/>
    <w:rsid w:val="00346C6D"/>
    <w:rsid w:val="00347111"/>
    <w:rsid w:val="00347489"/>
    <w:rsid w:val="003477F7"/>
    <w:rsid w:val="00347CB6"/>
    <w:rsid w:val="00347DF4"/>
    <w:rsid w:val="00347E6A"/>
    <w:rsid w:val="00347F85"/>
    <w:rsid w:val="003506EF"/>
    <w:rsid w:val="00351A40"/>
    <w:rsid w:val="003523B9"/>
    <w:rsid w:val="00352975"/>
    <w:rsid w:val="00352EB5"/>
    <w:rsid w:val="00353694"/>
    <w:rsid w:val="00353A93"/>
    <w:rsid w:val="0035462E"/>
    <w:rsid w:val="00354861"/>
    <w:rsid w:val="00355936"/>
    <w:rsid w:val="00355DC6"/>
    <w:rsid w:val="003565A8"/>
    <w:rsid w:val="00356C65"/>
    <w:rsid w:val="00356DC3"/>
    <w:rsid w:val="003574A5"/>
    <w:rsid w:val="003577E4"/>
    <w:rsid w:val="00357DA7"/>
    <w:rsid w:val="00360CE7"/>
    <w:rsid w:val="003612A6"/>
    <w:rsid w:val="003619FD"/>
    <w:rsid w:val="00361F4D"/>
    <w:rsid w:val="00362477"/>
    <w:rsid w:val="003624EB"/>
    <w:rsid w:val="0036268F"/>
    <w:rsid w:val="00363122"/>
    <w:rsid w:val="003634DA"/>
    <w:rsid w:val="00363683"/>
    <w:rsid w:val="00364567"/>
    <w:rsid w:val="00364DBC"/>
    <w:rsid w:val="003656BB"/>
    <w:rsid w:val="003664A6"/>
    <w:rsid w:val="0036748D"/>
    <w:rsid w:val="003676DE"/>
    <w:rsid w:val="003679F6"/>
    <w:rsid w:val="00367F84"/>
    <w:rsid w:val="003701A6"/>
    <w:rsid w:val="003715CE"/>
    <w:rsid w:val="003717ED"/>
    <w:rsid w:val="00371EFB"/>
    <w:rsid w:val="00372712"/>
    <w:rsid w:val="00372B76"/>
    <w:rsid w:val="003743EC"/>
    <w:rsid w:val="0037492E"/>
    <w:rsid w:val="00374AA0"/>
    <w:rsid w:val="00374C70"/>
    <w:rsid w:val="00374CE0"/>
    <w:rsid w:val="00375B26"/>
    <w:rsid w:val="00375B72"/>
    <w:rsid w:val="00375E40"/>
    <w:rsid w:val="0037755D"/>
    <w:rsid w:val="00377960"/>
    <w:rsid w:val="0038033B"/>
    <w:rsid w:val="00381948"/>
    <w:rsid w:val="00381E13"/>
    <w:rsid w:val="00381F30"/>
    <w:rsid w:val="00382221"/>
    <w:rsid w:val="003833C2"/>
    <w:rsid w:val="00383412"/>
    <w:rsid w:val="00383D98"/>
    <w:rsid w:val="00384953"/>
    <w:rsid w:val="00384D9D"/>
    <w:rsid w:val="00385F12"/>
    <w:rsid w:val="003862EB"/>
    <w:rsid w:val="003879FE"/>
    <w:rsid w:val="00387DE1"/>
    <w:rsid w:val="00390295"/>
    <w:rsid w:val="00390308"/>
    <w:rsid w:val="0039090C"/>
    <w:rsid w:val="0039098B"/>
    <w:rsid w:val="00390ACE"/>
    <w:rsid w:val="00390D9F"/>
    <w:rsid w:val="003914E7"/>
    <w:rsid w:val="00391DDA"/>
    <w:rsid w:val="00392205"/>
    <w:rsid w:val="003928CF"/>
    <w:rsid w:val="00392E0C"/>
    <w:rsid w:val="00393AD4"/>
    <w:rsid w:val="00393B9B"/>
    <w:rsid w:val="00393C94"/>
    <w:rsid w:val="00393E37"/>
    <w:rsid w:val="003944D9"/>
    <w:rsid w:val="00394A81"/>
    <w:rsid w:val="00394B80"/>
    <w:rsid w:val="00394DB7"/>
    <w:rsid w:val="00394E22"/>
    <w:rsid w:val="003957BD"/>
    <w:rsid w:val="00395AD6"/>
    <w:rsid w:val="00395AF7"/>
    <w:rsid w:val="0039627B"/>
    <w:rsid w:val="00396D95"/>
    <w:rsid w:val="0039786D"/>
    <w:rsid w:val="003A0458"/>
    <w:rsid w:val="003A1575"/>
    <w:rsid w:val="003A1663"/>
    <w:rsid w:val="003A2A70"/>
    <w:rsid w:val="003A2DB7"/>
    <w:rsid w:val="003A2FF9"/>
    <w:rsid w:val="003A32F5"/>
    <w:rsid w:val="003A330B"/>
    <w:rsid w:val="003A35E5"/>
    <w:rsid w:val="003A3C60"/>
    <w:rsid w:val="003A3E9F"/>
    <w:rsid w:val="003A422A"/>
    <w:rsid w:val="003A4906"/>
    <w:rsid w:val="003A490B"/>
    <w:rsid w:val="003A4C9E"/>
    <w:rsid w:val="003A5195"/>
    <w:rsid w:val="003A554A"/>
    <w:rsid w:val="003A55E9"/>
    <w:rsid w:val="003A5800"/>
    <w:rsid w:val="003A5EB4"/>
    <w:rsid w:val="003A75A5"/>
    <w:rsid w:val="003A7A9D"/>
    <w:rsid w:val="003B019F"/>
    <w:rsid w:val="003B08E9"/>
    <w:rsid w:val="003B11EA"/>
    <w:rsid w:val="003B1424"/>
    <w:rsid w:val="003B1C8A"/>
    <w:rsid w:val="003B26AC"/>
    <w:rsid w:val="003B2BC9"/>
    <w:rsid w:val="003B2CEF"/>
    <w:rsid w:val="003B2E14"/>
    <w:rsid w:val="003B2EFD"/>
    <w:rsid w:val="003B3060"/>
    <w:rsid w:val="003B3724"/>
    <w:rsid w:val="003B37C2"/>
    <w:rsid w:val="003B3877"/>
    <w:rsid w:val="003B3BED"/>
    <w:rsid w:val="003B3FCA"/>
    <w:rsid w:val="003B403F"/>
    <w:rsid w:val="003B4097"/>
    <w:rsid w:val="003B421D"/>
    <w:rsid w:val="003B42E6"/>
    <w:rsid w:val="003B4353"/>
    <w:rsid w:val="003B4415"/>
    <w:rsid w:val="003B44CD"/>
    <w:rsid w:val="003B47AC"/>
    <w:rsid w:val="003B48A1"/>
    <w:rsid w:val="003B4EAC"/>
    <w:rsid w:val="003B6585"/>
    <w:rsid w:val="003B6871"/>
    <w:rsid w:val="003B77E3"/>
    <w:rsid w:val="003B7D88"/>
    <w:rsid w:val="003C0CE6"/>
    <w:rsid w:val="003C108A"/>
    <w:rsid w:val="003C12CB"/>
    <w:rsid w:val="003C13D8"/>
    <w:rsid w:val="003C23B7"/>
    <w:rsid w:val="003C2BCF"/>
    <w:rsid w:val="003C2C22"/>
    <w:rsid w:val="003C31BB"/>
    <w:rsid w:val="003C3C3B"/>
    <w:rsid w:val="003C418F"/>
    <w:rsid w:val="003C42D0"/>
    <w:rsid w:val="003C5162"/>
    <w:rsid w:val="003C5980"/>
    <w:rsid w:val="003C5CC0"/>
    <w:rsid w:val="003C5DB1"/>
    <w:rsid w:val="003C6030"/>
    <w:rsid w:val="003C645D"/>
    <w:rsid w:val="003C6DE3"/>
    <w:rsid w:val="003C75B0"/>
    <w:rsid w:val="003C7831"/>
    <w:rsid w:val="003D0E0D"/>
    <w:rsid w:val="003D1043"/>
    <w:rsid w:val="003D1271"/>
    <w:rsid w:val="003D1600"/>
    <w:rsid w:val="003D266D"/>
    <w:rsid w:val="003D33A7"/>
    <w:rsid w:val="003D376B"/>
    <w:rsid w:val="003D3D5B"/>
    <w:rsid w:val="003D404C"/>
    <w:rsid w:val="003D42AC"/>
    <w:rsid w:val="003D45E9"/>
    <w:rsid w:val="003D49EB"/>
    <w:rsid w:val="003D4A24"/>
    <w:rsid w:val="003D4CE7"/>
    <w:rsid w:val="003D56B1"/>
    <w:rsid w:val="003D5C9A"/>
    <w:rsid w:val="003D6180"/>
    <w:rsid w:val="003D63D6"/>
    <w:rsid w:val="003D6474"/>
    <w:rsid w:val="003D6540"/>
    <w:rsid w:val="003D6C2B"/>
    <w:rsid w:val="003D7101"/>
    <w:rsid w:val="003D7BCE"/>
    <w:rsid w:val="003D7E30"/>
    <w:rsid w:val="003E0030"/>
    <w:rsid w:val="003E00AD"/>
    <w:rsid w:val="003E0E46"/>
    <w:rsid w:val="003E1559"/>
    <w:rsid w:val="003E2029"/>
    <w:rsid w:val="003E268F"/>
    <w:rsid w:val="003E2934"/>
    <w:rsid w:val="003E2A4E"/>
    <w:rsid w:val="003E42F0"/>
    <w:rsid w:val="003E4828"/>
    <w:rsid w:val="003E48DA"/>
    <w:rsid w:val="003E4DA0"/>
    <w:rsid w:val="003E5382"/>
    <w:rsid w:val="003E542F"/>
    <w:rsid w:val="003E5681"/>
    <w:rsid w:val="003E71F3"/>
    <w:rsid w:val="003E77EA"/>
    <w:rsid w:val="003E7E86"/>
    <w:rsid w:val="003F047F"/>
    <w:rsid w:val="003F0A7B"/>
    <w:rsid w:val="003F0AF5"/>
    <w:rsid w:val="003F0E5A"/>
    <w:rsid w:val="003F1567"/>
    <w:rsid w:val="003F1AA7"/>
    <w:rsid w:val="003F1D9B"/>
    <w:rsid w:val="003F2A6C"/>
    <w:rsid w:val="003F2BC6"/>
    <w:rsid w:val="003F3B2B"/>
    <w:rsid w:val="003F3E56"/>
    <w:rsid w:val="003F523B"/>
    <w:rsid w:val="003F54BA"/>
    <w:rsid w:val="003F563C"/>
    <w:rsid w:val="003F576A"/>
    <w:rsid w:val="003F5DE2"/>
    <w:rsid w:val="003F6D48"/>
    <w:rsid w:val="004006DD"/>
    <w:rsid w:val="004011B9"/>
    <w:rsid w:val="004012F1"/>
    <w:rsid w:val="004017AB"/>
    <w:rsid w:val="00401BE0"/>
    <w:rsid w:val="0040214F"/>
    <w:rsid w:val="00402B2F"/>
    <w:rsid w:val="00403010"/>
    <w:rsid w:val="004034C0"/>
    <w:rsid w:val="00403548"/>
    <w:rsid w:val="00403597"/>
    <w:rsid w:val="00403943"/>
    <w:rsid w:val="00403E11"/>
    <w:rsid w:val="00403E61"/>
    <w:rsid w:val="00406175"/>
    <w:rsid w:val="0040701B"/>
    <w:rsid w:val="0040720E"/>
    <w:rsid w:val="00407958"/>
    <w:rsid w:val="00407B0B"/>
    <w:rsid w:val="00410469"/>
    <w:rsid w:val="004125E0"/>
    <w:rsid w:val="00415A01"/>
    <w:rsid w:val="00415EC0"/>
    <w:rsid w:val="00416260"/>
    <w:rsid w:val="0041640C"/>
    <w:rsid w:val="00416D5C"/>
    <w:rsid w:val="00417250"/>
    <w:rsid w:val="0041735B"/>
    <w:rsid w:val="00417671"/>
    <w:rsid w:val="00417D6A"/>
    <w:rsid w:val="00420D12"/>
    <w:rsid w:val="00421A46"/>
    <w:rsid w:val="0042261D"/>
    <w:rsid w:val="004226A4"/>
    <w:rsid w:val="00422777"/>
    <w:rsid w:val="00422D92"/>
    <w:rsid w:val="00422EEB"/>
    <w:rsid w:val="004236A4"/>
    <w:rsid w:val="00423EA4"/>
    <w:rsid w:val="00424268"/>
    <w:rsid w:val="004242A8"/>
    <w:rsid w:val="004244FB"/>
    <w:rsid w:val="00424DDE"/>
    <w:rsid w:val="00425147"/>
    <w:rsid w:val="004252A6"/>
    <w:rsid w:val="004258F1"/>
    <w:rsid w:val="00425E02"/>
    <w:rsid w:val="00426746"/>
    <w:rsid w:val="00427D0E"/>
    <w:rsid w:val="00430326"/>
    <w:rsid w:val="0043077B"/>
    <w:rsid w:val="004309B2"/>
    <w:rsid w:val="004315D7"/>
    <w:rsid w:val="004326D1"/>
    <w:rsid w:val="00432A8E"/>
    <w:rsid w:val="00432E1B"/>
    <w:rsid w:val="00433A80"/>
    <w:rsid w:val="0043429E"/>
    <w:rsid w:val="0043441D"/>
    <w:rsid w:val="00435966"/>
    <w:rsid w:val="004365DD"/>
    <w:rsid w:val="004379FD"/>
    <w:rsid w:val="00437C24"/>
    <w:rsid w:val="00440604"/>
    <w:rsid w:val="00440780"/>
    <w:rsid w:val="00440C65"/>
    <w:rsid w:val="00440F29"/>
    <w:rsid w:val="004415DA"/>
    <w:rsid w:val="004416F1"/>
    <w:rsid w:val="00441B6F"/>
    <w:rsid w:val="00441EB8"/>
    <w:rsid w:val="0044271C"/>
    <w:rsid w:val="004429FD"/>
    <w:rsid w:val="00442A47"/>
    <w:rsid w:val="00442E8D"/>
    <w:rsid w:val="00443A76"/>
    <w:rsid w:val="00443EB1"/>
    <w:rsid w:val="004449F9"/>
    <w:rsid w:val="00444A3A"/>
    <w:rsid w:val="00444D34"/>
    <w:rsid w:val="00444F4A"/>
    <w:rsid w:val="00445136"/>
    <w:rsid w:val="004451BC"/>
    <w:rsid w:val="00445614"/>
    <w:rsid w:val="00445A04"/>
    <w:rsid w:val="00445EBD"/>
    <w:rsid w:val="00445FC1"/>
    <w:rsid w:val="004463D0"/>
    <w:rsid w:val="00447B37"/>
    <w:rsid w:val="00450E0E"/>
    <w:rsid w:val="0045107F"/>
    <w:rsid w:val="00452958"/>
    <w:rsid w:val="0045413F"/>
    <w:rsid w:val="00454437"/>
    <w:rsid w:val="00454488"/>
    <w:rsid w:val="00454879"/>
    <w:rsid w:val="00454B20"/>
    <w:rsid w:val="00454B5C"/>
    <w:rsid w:val="00454D2E"/>
    <w:rsid w:val="0045541B"/>
    <w:rsid w:val="004556AA"/>
    <w:rsid w:val="00455E26"/>
    <w:rsid w:val="00456430"/>
    <w:rsid w:val="0045675C"/>
    <w:rsid w:val="004568C7"/>
    <w:rsid w:val="00457BA1"/>
    <w:rsid w:val="00460D3B"/>
    <w:rsid w:val="004612DE"/>
    <w:rsid w:val="0046136E"/>
    <w:rsid w:val="004619B4"/>
    <w:rsid w:val="00461B45"/>
    <w:rsid w:val="0046206D"/>
    <w:rsid w:val="004625F0"/>
    <w:rsid w:val="00462C42"/>
    <w:rsid w:val="00463196"/>
    <w:rsid w:val="00463275"/>
    <w:rsid w:val="00463941"/>
    <w:rsid w:val="00463A01"/>
    <w:rsid w:val="004640CD"/>
    <w:rsid w:val="004645D8"/>
    <w:rsid w:val="00464BE1"/>
    <w:rsid w:val="00464F7F"/>
    <w:rsid w:val="00464F95"/>
    <w:rsid w:val="004652B3"/>
    <w:rsid w:val="0046547C"/>
    <w:rsid w:val="004655D6"/>
    <w:rsid w:val="00465C14"/>
    <w:rsid w:val="00465D6F"/>
    <w:rsid w:val="00465E57"/>
    <w:rsid w:val="004664D1"/>
    <w:rsid w:val="00467826"/>
    <w:rsid w:val="004706C3"/>
    <w:rsid w:val="004709AD"/>
    <w:rsid w:val="00471741"/>
    <w:rsid w:val="00471A20"/>
    <w:rsid w:val="00472364"/>
    <w:rsid w:val="004723C8"/>
    <w:rsid w:val="004728BC"/>
    <w:rsid w:val="00472A04"/>
    <w:rsid w:val="00473073"/>
    <w:rsid w:val="0047495D"/>
    <w:rsid w:val="00474EC3"/>
    <w:rsid w:val="0047504E"/>
    <w:rsid w:val="004752C6"/>
    <w:rsid w:val="0047602B"/>
    <w:rsid w:val="004761E4"/>
    <w:rsid w:val="004779CB"/>
    <w:rsid w:val="00477AC2"/>
    <w:rsid w:val="00480091"/>
    <w:rsid w:val="004800F5"/>
    <w:rsid w:val="004813D4"/>
    <w:rsid w:val="00481600"/>
    <w:rsid w:val="004817D7"/>
    <w:rsid w:val="004818C3"/>
    <w:rsid w:val="004819BE"/>
    <w:rsid w:val="00481A05"/>
    <w:rsid w:val="00482839"/>
    <w:rsid w:val="004849BD"/>
    <w:rsid w:val="00484E0E"/>
    <w:rsid w:val="004856A2"/>
    <w:rsid w:val="004856C9"/>
    <w:rsid w:val="004860BA"/>
    <w:rsid w:val="00486330"/>
    <w:rsid w:val="0048668E"/>
    <w:rsid w:val="004871DE"/>
    <w:rsid w:val="00487335"/>
    <w:rsid w:val="00487E19"/>
    <w:rsid w:val="00490560"/>
    <w:rsid w:val="00490DD4"/>
    <w:rsid w:val="0049110F"/>
    <w:rsid w:val="00491882"/>
    <w:rsid w:val="00491A7D"/>
    <w:rsid w:val="00492791"/>
    <w:rsid w:val="004931DA"/>
    <w:rsid w:val="00493313"/>
    <w:rsid w:val="00493721"/>
    <w:rsid w:val="0049376C"/>
    <w:rsid w:val="00493BEC"/>
    <w:rsid w:val="004941CF"/>
    <w:rsid w:val="00495836"/>
    <w:rsid w:val="004958C2"/>
    <w:rsid w:val="0049730D"/>
    <w:rsid w:val="004973E5"/>
    <w:rsid w:val="00497762"/>
    <w:rsid w:val="00497801"/>
    <w:rsid w:val="00497BCA"/>
    <w:rsid w:val="004A0ACB"/>
    <w:rsid w:val="004A3874"/>
    <w:rsid w:val="004A46F9"/>
    <w:rsid w:val="004A4FA1"/>
    <w:rsid w:val="004A50EA"/>
    <w:rsid w:val="004A5172"/>
    <w:rsid w:val="004A586D"/>
    <w:rsid w:val="004A5874"/>
    <w:rsid w:val="004A5B6F"/>
    <w:rsid w:val="004A5D24"/>
    <w:rsid w:val="004A5E25"/>
    <w:rsid w:val="004B13AC"/>
    <w:rsid w:val="004B15CD"/>
    <w:rsid w:val="004B1BF9"/>
    <w:rsid w:val="004B21AE"/>
    <w:rsid w:val="004B21B7"/>
    <w:rsid w:val="004B2524"/>
    <w:rsid w:val="004B2C33"/>
    <w:rsid w:val="004B3A0A"/>
    <w:rsid w:val="004B3BD4"/>
    <w:rsid w:val="004B4280"/>
    <w:rsid w:val="004B4B93"/>
    <w:rsid w:val="004B5FF9"/>
    <w:rsid w:val="004B68DB"/>
    <w:rsid w:val="004B6BA0"/>
    <w:rsid w:val="004B7458"/>
    <w:rsid w:val="004B7A27"/>
    <w:rsid w:val="004C0293"/>
    <w:rsid w:val="004C0F1E"/>
    <w:rsid w:val="004C0F7A"/>
    <w:rsid w:val="004C1925"/>
    <w:rsid w:val="004C1933"/>
    <w:rsid w:val="004C3629"/>
    <w:rsid w:val="004C411B"/>
    <w:rsid w:val="004C4308"/>
    <w:rsid w:val="004C4DBE"/>
    <w:rsid w:val="004C4DFC"/>
    <w:rsid w:val="004C4F2C"/>
    <w:rsid w:val="004C559E"/>
    <w:rsid w:val="004C5768"/>
    <w:rsid w:val="004C5793"/>
    <w:rsid w:val="004C5E8B"/>
    <w:rsid w:val="004C6770"/>
    <w:rsid w:val="004C6AAC"/>
    <w:rsid w:val="004C6EEE"/>
    <w:rsid w:val="004C77A9"/>
    <w:rsid w:val="004C7826"/>
    <w:rsid w:val="004C7DEF"/>
    <w:rsid w:val="004D08DD"/>
    <w:rsid w:val="004D0FC9"/>
    <w:rsid w:val="004D1231"/>
    <w:rsid w:val="004D1875"/>
    <w:rsid w:val="004D22FD"/>
    <w:rsid w:val="004D23FE"/>
    <w:rsid w:val="004D255D"/>
    <w:rsid w:val="004D2DBF"/>
    <w:rsid w:val="004D32E3"/>
    <w:rsid w:val="004D3348"/>
    <w:rsid w:val="004D36E7"/>
    <w:rsid w:val="004D3916"/>
    <w:rsid w:val="004D3B23"/>
    <w:rsid w:val="004D3DA9"/>
    <w:rsid w:val="004D3FE3"/>
    <w:rsid w:val="004D403D"/>
    <w:rsid w:val="004D4369"/>
    <w:rsid w:val="004D4D56"/>
    <w:rsid w:val="004D52C0"/>
    <w:rsid w:val="004D533C"/>
    <w:rsid w:val="004D6B63"/>
    <w:rsid w:val="004D779E"/>
    <w:rsid w:val="004D7ED0"/>
    <w:rsid w:val="004E01FE"/>
    <w:rsid w:val="004E087E"/>
    <w:rsid w:val="004E0975"/>
    <w:rsid w:val="004E0E5F"/>
    <w:rsid w:val="004E1811"/>
    <w:rsid w:val="004E1B4B"/>
    <w:rsid w:val="004E20B8"/>
    <w:rsid w:val="004E2A2B"/>
    <w:rsid w:val="004E2AAF"/>
    <w:rsid w:val="004E2C31"/>
    <w:rsid w:val="004E2E0B"/>
    <w:rsid w:val="004E3011"/>
    <w:rsid w:val="004E4671"/>
    <w:rsid w:val="004E4721"/>
    <w:rsid w:val="004E47CC"/>
    <w:rsid w:val="004E73F6"/>
    <w:rsid w:val="004E753C"/>
    <w:rsid w:val="004E7CC1"/>
    <w:rsid w:val="004F0061"/>
    <w:rsid w:val="004F09C5"/>
    <w:rsid w:val="004F17FA"/>
    <w:rsid w:val="004F23BA"/>
    <w:rsid w:val="004F24E0"/>
    <w:rsid w:val="004F37D2"/>
    <w:rsid w:val="004F3948"/>
    <w:rsid w:val="004F39EC"/>
    <w:rsid w:val="004F4599"/>
    <w:rsid w:val="004F493B"/>
    <w:rsid w:val="004F4A43"/>
    <w:rsid w:val="004F4C0A"/>
    <w:rsid w:val="004F5C4A"/>
    <w:rsid w:val="004F6215"/>
    <w:rsid w:val="004F6CD8"/>
    <w:rsid w:val="00500A21"/>
    <w:rsid w:val="00501666"/>
    <w:rsid w:val="00501E36"/>
    <w:rsid w:val="005022DB"/>
    <w:rsid w:val="00502756"/>
    <w:rsid w:val="00502F84"/>
    <w:rsid w:val="00503F86"/>
    <w:rsid w:val="00504E36"/>
    <w:rsid w:val="00505CA3"/>
    <w:rsid w:val="00505F06"/>
    <w:rsid w:val="00507450"/>
    <w:rsid w:val="005078E7"/>
    <w:rsid w:val="00507CD7"/>
    <w:rsid w:val="005101AD"/>
    <w:rsid w:val="00510D66"/>
    <w:rsid w:val="00511078"/>
    <w:rsid w:val="005110B6"/>
    <w:rsid w:val="00511D90"/>
    <w:rsid w:val="005122E7"/>
    <w:rsid w:val="00512A5E"/>
    <w:rsid w:val="00513ECC"/>
    <w:rsid w:val="005140D8"/>
    <w:rsid w:val="005140E5"/>
    <w:rsid w:val="005145E4"/>
    <w:rsid w:val="0051581A"/>
    <w:rsid w:val="00515F29"/>
    <w:rsid w:val="00516DC5"/>
    <w:rsid w:val="00517241"/>
    <w:rsid w:val="00517CB8"/>
    <w:rsid w:val="00517D78"/>
    <w:rsid w:val="00520248"/>
    <w:rsid w:val="005217CE"/>
    <w:rsid w:val="00521A48"/>
    <w:rsid w:val="00521B0B"/>
    <w:rsid w:val="00522806"/>
    <w:rsid w:val="00522D7D"/>
    <w:rsid w:val="00523972"/>
    <w:rsid w:val="0052447A"/>
    <w:rsid w:val="00524794"/>
    <w:rsid w:val="0052482D"/>
    <w:rsid w:val="00524DC8"/>
    <w:rsid w:val="0052512E"/>
    <w:rsid w:val="00525292"/>
    <w:rsid w:val="00525A49"/>
    <w:rsid w:val="005261D7"/>
    <w:rsid w:val="00527188"/>
    <w:rsid w:val="0052787B"/>
    <w:rsid w:val="00527A09"/>
    <w:rsid w:val="00527BB2"/>
    <w:rsid w:val="00527F3D"/>
    <w:rsid w:val="00530524"/>
    <w:rsid w:val="005308CC"/>
    <w:rsid w:val="00530DFE"/>
    <w:rsid w:val="00530F62"/>
    <w:rsid w:val="00531847"/>
    <w:rsid w:val="00531863"/>
    <w:rsid w:val="00531B14"/>
    <w:rsid w:val="00531E70"/>
    <w:rsid w:val="00531F34"/>
    <w:rsid w:val="005320C9"/>
    <w:rsid w:val="00532FDD"/>
    <w:rsid w:val="00533A73"/>
    <w:rsid w:val="00533E9A"/>
    <w:rsid w:val="00534410"/>
    <w:rsid w:val="005348C9"/>
    <w:rsid w:val="00534D7E"/>
    <w:rsid w:val="005350E5"/>
    <w:rsid w:val="0053518B"/>
    <w:rsid w:val="00535481"/>
    <w:rsid w:val="0053589D"/>
    <w:rsid w:val="00535AEC"/>
    <w:rsid w:val="00535C9E"/>
    <w:rsid w:val="005366AB"/>
    <w:rsid w:val="00536C18"/>
    <w:rsid w:val="00537726"/>
    <w:rsid w:val="00537AFC"/>
    <w:rsid w:val="00537E55"/>
    <w:rsid w:val="0054019D"/>
    <w:rsid w:val="00541293"/>
    <w:rsid w:val="005417B7"/>
    <w:rsid w:val="00541A1C"/>
    <w:rsid w:val="005429D8"/>
    <w:rsid w:val="0054337D"/>
    <w:rsid w:val="00543578"/>
    <w:rsid w:val="005440E1"/>
    <w:rsid w:val="0054417B"/>
    <w:rsid w:val="00544AC0"/>
    <w:rsid w:val="00544BCB"/>
    <w:rsid w:val="00544D81"/>
    <w:rsid w:val="00544F2E"/>
    <w:rsid w:val="005450BF"/>
    <w:rsid w:val="005455E7"/>
    <w:rsid w:val="00545D55"/>
    <w:rsid w:val="00547192"/>
    <w:rsid w:val="00547BB0"/>
    <w:rsid w:val="00547CAC"/>
    <w:rsid w:val="00547CF2"/>
    <w:rsid w:val="005506D8"/>
    <w:rsid w:val="005519CA"/>
    <w:rsid w:val="00551B31"/>
    <w:rsid w:val="00552D31"/>
    <w:rsid w:val="00552E33"/>
    <w:rsid w:val="00553518"/>
    <w:rsid w:val="00553668"/>
    <w:rsid w:val="005536E6"/>
    <w:rsid w:val="005537F2"/>
    <w:rsid w:val="00553E14"/>
    <w:rsid w:val="00554B11"/>
    <w:rsid w:val="00555CCE"/>
    <w:rsid w:val="00555D81"/>
    <w:rsid w:val="00557A74"/>
    <w:rsid w:val="0056042B"/>
    <w:rsid w:val="005605B2"/>
    <w:rsid w:val="005607B0"/>
    <w:rsid w:val="005607CA"/>
    <w:rsid w:val="00560B50"/>
    <w:rsid w:val="00561F69"/>
    <w:rsid w:val="00562709"/>
    <w:rsid w:val="00562B64"/>
    <w:rsid w:val="00562EC7"/>
    <w:rsid w:val="005637BE"/>
    <w:rsid w:val="00563B11"/>
    <w:rsid w:val="00563F12"/>
    <w:rsid w:val="00564DA8"/>
    <w:rsid w:val="005659E0"/>
    <w:rsid w:val="005659EA"/>
    <w:rsid w:val="00566095"/>
    <w:rsid w:val="0056626C"/>
    <w:rsid w:val="0056642F"/>
    <w:rsid w:val="00567215"/>
    <w:rsid w:val="005675EB"/>
    <w:rsid w:val="00570FDA"/>
    <w:rsid w:val="0057161B"/>
    <w:rsid w:val="00571B74"/>
    <w:rsid w:val="005724F4"/>
    <w:rsid w:val="00573303"/>
    <w:rsid w:val="00573385"/>
    <w:rsid w:val="00573426"/>
    <w:rsid w:val="00573CF8"/>
    <w:rsid w:val="00573E07"/>
    <w:rsid w:val="00574078"/>
    <w:rsid w:val="0057440F"/>
    <w:rsid w:val="00574728"/>
    <w:rsid w:val="005749C8"/>
    <w:rsid w:val="00574A31"/>
    <w:rsid w:val="0057587D"/>
    <w:rsid w:val="00575DAB"/>
    <w:rsid w:val="00575E0B"/>
    <w:rsid w:val="00575E41"/>
    <w:rsid w:val="00576942"/>
    <w:rsid w:val="00576F81"/>
    <w:rsid w:val="0057788D"/>
    <w:rsid w:val="00577AAD"/>
    <w:rsid w:val="00577F2B"/>
    <w:rsid w:val="0058101B"/>
    <w:rsid w:val="005813FD"/>
    <w:rsid w:val="0058165E"/>
    <w:rsid w:val="005822D0"/>
    <w:rsid w:val="0058316F"/>
    <w:rsid w:val="00583310"/>
    <w:rsid w:val="00583786"/>
    <w:rsid w:val="00583892"/>
    <w:rsid w:val="00583B88"/>
    <w:rsid w:val="00584024"/>
    <w:rsid w:val="00584239"/>
    <w:rsid w:val="00584298"/>
    <w:rsid w:val="005848FC"/>
    <w:rsid w:val="00584AA9"/>
    <w:rsid w:val="00584F29"/>
    <w:rsid w:val="00585048"/>
    <w:rsid w:val="00585C9B"/>
    <w:rsid w:val="00585D9D"/>
    <w:rsid w:val="00586473"/>
    <w:rsid w:val="00586478"/>
    <w:rsid w:val="005869F8"/>
    <w:rsid w:val="00586A64"/>
    <w:rsid w:val="00586D1D"/>
    <w:rsid w:val="00586FD4"/>
    <w:rsid w:val="00587112"/>
    <w:rsid w:val="005874C9"/>
    <w:rsid w:val="00587551"/>
    <w:rsid w:val="005875EE"/>
    <w:rsid w:val="00587CE2"/>
    <w:rsid w:val="005906D9"/>
    <w:rsid w:val="00590B0D"/>
    <w:rsid w:val="00590E77"/>
    <w:rsid w:val="00591114"/>
    <w:rsid w:val="005915EC"/>
    <w:rsid w:val="00592119"/>
    <w:rsid w:val="00592C24"/>
    <w:rsid w:val="00592CF6"/>
    <w:rsid w:val="00593394"/>
    <w:rsid w:val="00594B13"/>
    <w:rsid w:val="00595047"/>
    <w:rsid w:val="00595A5A"/>
    <w:rsid w:val="00595E08"/>
    <w:rsid w:val="00596303"/>
    <w:rsid w:val="005964DF"/>
    <w:rsid w:val="00596773"/>
    <w:rsid w:val="00596911"/>
    <w:rsid w:val="00596A48"/>
    <w:rsid w:val="00596D36"/>
    <w:rsid w:val="00596F57"/>
    <w:rsid w:val="005A01B7"/>
    <w:rsid w:val="005A0CC1"/>
    <w:rsid w:val="005A0F4F"/>
    <w:rsid w:val="005A18CF"/>
    <w:rsid w:val="005A26ED"/>
    <w:rsid w:val="005A2E3C"/>
    <w:rsid w:val="005A380B"/>
    <w:rsid w:val="005A4522"/>
    <w:rsid w:val="005A4832"/>
    <w:rsid w:val="005A4929"/>
    <w:rsid w:val="005A5481"/>
    <w:rsid w:val="005A5627"/>
    <w:rsid w:val="005A6166"/>
    <w:rsid w:val="005A6534"/>
    <w:rsid w:val="005A752D"/>
    <w:rsid w:val="005B01AB"/>
    <w:rsid w:val="005B1676"/>
    <w:rsid w:val="005B25FC"/>
    <w:rsid w:val="005B2620"/>
    <w:rsid w:val="005B289D"/>
    <w:rsid w:val="005B3BAA"/>
    <w:rsid w:val="005B423F"/>
    <w:rsid w:val="005B434E"/>
    <w:rsid w:val="005B44E6"/>
    <w:rsid w:val="005B4869"/>
    <w:rsid w:val="005B5ACA"/>
    <w:rsid w:val="005B5E46"/>
    <w:rsid w:val="005B60D2"/>
    <w:rsid w:val="005B62DA"/>
    <w:rsid w:val="005C0436"/>
    <w:rsid w:val="005C05DD"/>
    <w:rsid w:val="005C0ECC"/>
    <w:rsid w:val="005C15BF"/>
    <w:rsid w:val="005C1AE7"/>
    <w:rsid w:val="005C2A5C"/>
    <w:rsid w:val="005C39AE"/>
    <w:rsid w:val="005C3AA4"/>
    <w:rsid w:val="005C3E7F"/>
    <w:rsid w:val="005C3F5A"/>
    <w:rsid w:val="005C4923"/>
    <w:rsid w:val="005C4C74"/>
    <w:rsid w:val="005C6065"/>
    <w:rsid w:val="005C6234"/>
    <w:rsid w:val="005C6350"/>
    <w:rsid w:val="005C6482"/>
    <w:rsid w:val="005C76F5"/>
    <w:rsid w:val="005D0B19"/>
    <w:rsid w:val="005D0B33"/>
    <w:rsid w:val="005D0F2C"/>
    <w:rsid w:val="005D187C"/>
    <w:rsid w:val="005D1D7A"/>
    <w:rsid w:val="005D2FDC"/>
    <w:rsid w:val="005D30AF"/>
    <w:rsid w:val="005D3B15"/>
    <w:rsid w:val="005D3F73"/>
    <w:rsid w:val="005D4EA4"/>
    <w:rsid w:val="005D58EF"/>
    <w:rsid w:val="005D5AE7"/>
    <w:rsid w:val="005D5AEB"/>
    <w:rsid w:val="005D6474"/>
    <w:rsid w:val="005D66AD"/>
    <w:rsid w:val="005D676F"/>
    <w:rsid w:val="005D7806"/>
    <w:rsid w:val="005D7883"/>
    <w:rsid w:val="005E0162"/>
    <w:rsid w:val="005E06B7"/>
    <w:rsid w:val="005E092B"/>
    <w:rsid w:val="005E0A9D"/>
    <w:rsid w:val="005E0C42"/>
    <w:rsid w:val="005E1034"/>
    <w:rsid w:val="005E11B8"/>
    <w:rsid w:val="005E19D2"/>
    <w:rsid w:val="005E1EA7"/>
    <w:rsid w:val="005E2934"/>
    <w:rsid w:val="005E2F36"/>
    <w:rsid w:val="005E2F93"/>
    <w:rsid w:val="005E30E7"/>
    <w:rsid w:val="005E320D"/>
    <w:rsid w:val="005E3581"/>
    <w:rsid w:val="005E376D"/>
    <w:rsid w:val="005E3D91"/>
    <w:rsid w:val="005E3E3C"/>
    <w:rsid w:val="005E3F78"/>
    <w:rsid w:val="005E5602"/>
    <w:rsid w:val="005E65B6"/>
    <w:rsid w:val="005E728B"/>
    <w:rsid w:val="005E7C90"/>
    <w:rsid w:val="005F079F"/>
    <w:rsid w:val="005F0A9D"/>
    <w:rsid w:val="005F179A"/>
    <w:rsid w:val="005F1CD3"/>
    <w:rsid w:val="005F1D68"/>
    <w:rsid w:val="005F25DE"/>
    <w:rsid w:val="005F447E"/>
    <w:rsid w:val="005F4895"/>
    <w:rsid w:val="005F4C2E"/>
    <w:rsid w:val="005F4CB8"/>
    <w:rsid w:val="005F566D"/>
    <w:rsid w:val="005F584F"/>
    <w:rsid w:val="005F6938"/>
    <w:rsid w:val="005F6A5C"/>
    <w:rsid w:val="005F6ED1"/>
    <w:rsid w:val="005F6EF0"/>
    <w:rsid w:val="005F7E06"/>
    <w:rsid w:val="0060031C"/>
    <w:rsid w:val="006003F4"/>
    <w:rsid w:val="00600503"/>
    <w:rsid w:val="0060093B"/>
    <w:rsid w:val="00600BBF"/>
    <w:rsid w:val="006010EB"/>
    <w:rsid w:val="00601573"/>
    <w:rsid w:val="00601A75"/>
    <w:rsid w:val="00601D0A"/>
    <w:rsid w:val="00602F42"/>
    <w:rsid w:val="00603353"/>
    <w:rsid w:val="006033C9"/>
    <w:rsid w:val="00603FDE"/>
    <w:rsid w:val="00605C21"/>
    <w:rsid w:val="006062A6"/>
    <w:rsid w:val="00606783"/>
    <w:rsid w:val="006067A2"/>
    <w:rsid w:val="00606AD3"/>
    <w:rsid w:val="00606C6E"/>
    <w:rsid w:val="00606DF3"/>
    <w:rsid w:val="00607A77"/>
    <w:rsid w:val="00610A14"/>
    <w:rsid w:val="00610B28"/>
    <w:rsid w:val="00610EF5"/>
    <w:rsid w:val="00611324"/>
    <w:rsid w:val="00611625"/>
    <w:rsid w:val="00611C38"/>
    <w:rsid w:val="006129A5"/>
    <w:rsid w:val="00612A43"/>
    <w:rsid w:val="0061367D"/>
    <w:rsid w:val="0061429E"/>
    <w:rsid w:val="00615964"/>
    <w:rsid w:val="0061608E"/>
    <w:rsid w:val="006164D5"/>
    <w:rsid w:val="00616AEE"/>
    <w:rsid w:val="00617479"/>
    <w:rsid w:val="006178AB"/>
    <w:rsid w:val="00617A2C"/>
    <w:rsid w:val="00617BC2"/>
    <w:rsid w:val="00617CD7"/>
    <w:rsid w:val="00617E81"/>
    <w:rsid w:val="00620BC5"/>
    <w:rsid w:val="00620CA8"/>
    <w:rsid w:val="00620F54"/>
    <w:rsid w:val="0062128B"/>
    <w:rsid w:val="0062146A"/>
    <w:rsid w:val="00622E20"/>
    <w:rsid w:val="006234EC"/>
    <w:rsid w:val="00624B79"/>
    <w:rsid w:val="006250FB"/>
    <w:rsid w:val="006261A4"/>
    <w:rsid w:val="00626279"/>
    <w:rsid w:val="00626A41"/>
    <w:rsid w:val="006303BE"/>
    <w:rsid w:val="00631178"/>
    <w:rsid w:val="0063147B"/>
    <w:rsid w:val="00631F32"/>
    <w:rsid w:val="00633288"/>
    <w:rsid w:val="00633417"/>
    <w:rsid w:val="0063344A"/>
    <w:rsid w:val="00633C1A"/>
    <w:rsid w:val="00634264"/>
    <w:rsid w:val="00634D0B"/>
    <w:rsid w:val="00634FBB"/>
    <w:rsid w:val="0063598D"/>
    <w:rsid w:val="00635CDD"/>
    <w:rsid w:val="00636197"/>
    <w:rsid w:val="006362AD"/>
    <w:rsid w:val="006368DE"/>
    <w:rsid w:val="00636D91"/>
    <w:rsid w:val="00636E79"/>
    <w:rsid w:val="006404FD"/>
    <w:rsid w:val="0064060D"/>
    <w:rsid w:val="0064076C"/>
    <w:rsid w:val="00640AE2"/>
    <w:rsid w:val="00640D04"/>
    <w:rsid w:val="00640DED"/>
    <w:rsid w:val="00641288"/>
    <w:rsid w:val="0064133D"/>
    <w:rsid w:val="006414F6"/>
    <w:rsid w:val="00642A9E"/>
    <w:rsid w:val="00642C05"/>
    <w:rsid w:val="00642C7A"/>
    <w:rsid w:val="0064358A"/>
    <w:rsid w:val="00644286"/>
    <w:rsid w:val="00644727"/>
    <w:rsid w:val="006455F8"/>
    <w:rsid w:val="006461F4"/>
    <w:rsid w:val="00646335"/>
    <w:rsid w:val="00646837"/>
    <w:rsid w:val="0064688C"/>
    <w:rsid w:val="00647D37"/>
    <w:rsid w:val="0065024C"/>
    <w:rsid w:val="0065043C"/>
    <w:rsid w:val="00650B34"/>
    <w:rsid w:val="00651150"/>
    <w:rsid w:val="006515D9"/>
    <w:rsid w:val="00652003"/>
    <w:rsid w:val="00652118"/>
    <w:rsid w:val="00652419"/>
    <w:rsid w:val="006527E7"/>
    <w:rsid w:val="00652E10"/>
    <w:rsid w:val="00652F66"/>
    <w:rsid w:val="00654362"/>
    <w:rsid w:val="00654469"/>
    <w:rsid w:val="00654552"/>
    <w:rsid w:val="006554C5"/>
    <w:rsid w:val="0065661B"/>
    <w:rsid w:val="00656876"/>
    <w:rsid w:val="006569BF"/>
    <w:rsid w:val="006578BF"/>
    <w:rsid w:val="006604D5"/>
    <w:rsid w:val="006606BC"/>
    <w:rsid w:val="006613A5"/>
    <w:rsid w:val="00661BD1"/>
    <w:rsid w:val="00661EAC"/>
    <w:rsid w:val="00661FCC"/>
    <w:rsid w:val="0066237A"/>
    <w:rsid w:val="006625C9"/>
    <w:rsid w:val="0066489B"/>
    <w:rsid w:val="00664C48"/>
    <w:rsid w:val="00667316"/>
    <w:rsid w:val="00667944"/>
    <w:rsid w:val="00667A5A"/>
    <w:rsid w:val="00670C8D"/>
    <w:rsid w:val="006712EE"/>
    <w:rsid w:val="00671F7E"/>
    <w:rsid w:val="00672B6B"/>
    <w:rsid w:val="00672DA2"/>
    <w:rsid w:val="0067346A"/>
    <w:rsid w:val="00674172"/>
    <w:rsid w:val="006742A9"/>
    <w:rsid w:val="0067454A"/>
    <w:rsid w:val="006745F8"/>
    <w:rsid w:val="00674ECF"/>
    <w:rsid w:val="0067562A"/>
    <w:rsid w:val="00676230"/>
    <w:rsid w:val="00676661"/>
    <w:rsid w:val="006767B5"/>
    <w:rsid w:val="00676870"/>
    <w:rsid w:val="006771CE"/>
    <w:rsid w:val="0067790A"/>
    <w:rsid w:val="00677D5A"/>
    <w:rsid w:val="00680744"/>
    <w:rsid w:val="00680BBC"/>
    <w:rsid w:val="00680CAB"/>
    <w:rsid w:val="006814BB"/>
    <w:rsid w:val="00681A63"/>
    <w:rsid w:val="006822BB"/>
    <w:rsid w:val="006829C7"/>
    <w:rsid w:val="00682CED"/>
    <w:rsid w:val="00683816"/>
    <w:rsid w:val="00684C0B"/>
    <w:rsid w:val="00684DA8"/>
    <w:rsid w:val="00685090"/>
    <w:rsid w:val="006851AD"/>
    <w:rsid w:val="00685811"/>
    <w:rsid w:val="00685893"/>
    <w:rsid w:val="00685FF1"/>
    <w:rsid w:val="006861C4"/>
    <w:rsid w:val="006871D2"/>
    <w:rsid w:val="00687486"/>
    <w:rsid w:val="0069048D"/>
    <w:rsid w:val="00690595"/>
    <w:rsid w:val="006908C3"/>
    <w:rsid w:val="0069163E"/>
    <w:rsid w:val="00691761"/>
    <w:rsid w:val="00691A1B"/>
    <w:rsid w:val="00691B93"/>
    <w:rsid w:val="00692058"/>
    <w:rsid w:val="00692575"/>
    <w:rsid w:val="00693900"/>
    <w:rsid w:val="00694CD3"/>
    <w:rsid w:val="00694FD7"/>
    <w:rsid w:val="0069558F"/>
    <w:rsid w:val="006970D5"/>
    <w:rsid w:val="006A0026"/>
    <w:rsid w:val="006A0747"/>
    <w:rsid w:val="006A109C"/>
    <w:rsid w:val="006A14EA"/>
    <w:rsid w:val="006A238A"/>
    <w:rsid w:val="006A2666"/>
    <w:rsid w:val="006A28D0"/>
    <w:rsid w:val="006A385A"/>
    <w:rsid w:val="006A3B2D"/>
    <w:rsid w:val="006A44D2"/>
    <w:rsid w:val="006A4709"/>
    <w:rsid w:val="006A4B33"/>
    <w:rsid w:val="006A525F"/>
    <w:rsid w:val="006A5669"/>
    <w:rsid w:val="006A7E6C"/>
    <w:rsid w:val="006B0AFA"/>
    <w:rsid w:val="006B0D07"/>
    <w:rsid w:val="006B1923"/>
    <w:rsid w:val="006B1B3E"/>
    <w:rsid w:val="006B1F5A"/>
    <w:rsid w:val="006B3F59"/>
    <w:rsid w:val="006B4BAA"/>
    <w:rsid w:val="006B50DF"/>
    <w:rsid w:val="006B5343"/>
    <w:rsid w:val="006B5463"/>
    <w:rsid w:val="006B5E64"/>
    <w:rsid w:val="006B62C8"/>
    <w:rsid w:val="006B689B"/>
    <w:rsid w:val="006C0522"/>
    <w:rsid w:val="006C0541"/>
    <w:rsid w:val="006C0ABC"/>
    <w:rsid w:val="006C13A3"/>
    <w:rsid w:val="006C15B1"/>
    <w:rsid w:val="006C27AA"/>
    <w:rsid w:val="006C36AB"/>
    <w:rsid w:val="006C3A60"/>
    <w:rsid w:val="006C3BF2"/>
    <w:rsid w:val="006C3C25"/>
    <w:rsid w:val="006C3EFF"/>
    <w:rsid w:val="006C4463"/>
    <w:rsid w:val="006C4523"/>
    <w:rsid w:val="006C4E20"/>
    <w:rsid w:val="006C5003"/>
    <w:rsid w:val="006C5174"/>
    <w:rsid w:val="006C51B4"/>
    <w:rsid w:val="006C5836"/>
    <w:rsid w:val="006C5984"/>
    <w:rsid w:val="006C64B2"/>
    <w:rsid w:val="006C6885"/>
    <w:rsid w:val="006C73F9"/>
    <w:rsid w:val="006C75B6"/>
    <w:rsid w:val="006D0614"/>
    <w:rsid w:val="006D0CEF"/>
    <w:rsid w:val="006D123F"/>
    <w:rsid w:val="006D2225"/>
    <w:rsid w:val="006D23E3"/>
    <w:rsid w:val="006D26EA"/>
    <w:rsid w:val="006D2AC3"/>
    <w:rsid w:val="006D2C15"/>
    <w:rsid w:val="006D4021"/>
    <w:rsid w:val="006D42E4"/>
    <w:rsid w:val="006D45F6"/>
    <w:rsid w:val="006D499A"/>
    <w:rsid w:val="006D4BEE"/>
    <w:rsid w:val="006D58BC"/>
    <w:rsid w:val="006D5A60"/>
    <w:rsid w:val="006D5DA5"/>
    <w:rsid w:val="006D6578"/>
    <w:rsid w:val="006D6CB9"/>
    <w:rsid w:val="006D763F"/>
    <w:rsid w:val="006D7937"/>
    <w:rsid w:val="006D79E0"/>
    <w:rsid w:val="006E0627"/>
    <w:rsid w:val="006E0EB2"/>
    <w:rsid w:val="006E1064"/>
    <w:rsid w:val="006E1212"/>
    <w:rsid w:val="006E1C06"/>
    <w:rsid w:val="006E1F1D"/>
    <w:rsid w:val="006E229D"/>
    <w:rsid w:val="006E26F9"/>
    <w:rsid w:val="006E2747"/>
    <w:rsid w:val="006E2A74"/>
    <w:rsid w:val="006E2E54"/>
    <w:rsid w:val="006E2FB6"/>
    <w:rsid w:val="006E32D7"/>
    <w:rsid w:val="006E3537"/>
    <w:rsid w:val="006E45D6"/>
    <w:rsid w:val="006E4785"/>
    <w:rsid w:val="006E4B48"/>
    <w:rsid w:val="006E6F58"/>
    <w:rsid w:val="006E771F"/>
    <w:rsid w:val="006E7932"/>
    <w:rsid w:val="006E7F50"/>
    <w:rsid w:val="006F02C0"/>
    <w:rsid w:val="006F031F"/>
    <w:rsid w:val="006F067E"/>
    <w:rsid w:val="006F1925"/>
    <w:rsid w:val="006F2716"/>
    <w:rsid w:val="006F2BE4"/>
    <w:rsid w:val="006F34E3"/>
    <w:rsid w:val="006F4575"/>
    <w:rsid w:val="006F4884"/>
    <w:rsid w:val="006F500B"/>
    <w:rsid w:val="006F5374"/>
    <w:rsid w:val="006F541D"/>
    <w:rsid w:val="006F6465"/>
    <w:rsid w:val="006F652B"/>
    <w:rsid w:val="006F7913"/>
    <w:rsid w:val="00700B42"/>
    <w:rsid w:val="007010EB"/>
    <w:rsid w:val="00701532"/>
    <w:rsid w:val="00701BE6"/>
    <w:rsid w:val="00701ECA"/>
    <w:rsid w:val="007021EF"/>
    <w:rsid w:val="0070256A"/>
    <w:rsid w:val="00703238"/>
    <w:rsid w:val="0070404C"/>
    <w:rsid w:val="007041AA"/>
    <w:rsid w:val="0070426D"/>
    <w:rsid w:val="007042C4"/>
    <w:rsid w:val="00704D62"/>
    <w:rsid w:val="00704DDF"/>
    <w:rsid w:val="00704FE6"/>
    <w:rsid w:val="007064E8"/>
    <w:rsid w:val="00706575"/>
    <w:rsid w:val="00707AF3"/>
    <w:rsid w:val="007109D5"/>
    <w:rsid w:val="00710FA9"/>
    <w:rsid w:val="007116B9"/>
    <w:rsid w:val="00712710"/>
    <w:rsid w:val="007127C6"/>
    <w:rsid w:val="007127E5"/>
    <w:rsid w:val="00712FB6"/>
    <w:rsid w:val="0071372C"/>
    <w:rsid w:val="00713AC7"/>
    <w:rsid w:val="00713B57"/>
    <w:rsid w:val="00714093"/>
    <w:rsid w:val="00714265"/>
    <w:rsid w:val="007154DC"/>
    <w:rsid w:val="0071555A"/>
    <w:rsid w:val="00715807"/>
    <w:rsid w:val="007162BC"/>
    <w:rsid w:val="007169DE"/>
    <w:rsid w:val="00716A05"/>
    <w:rsid w:val="00716F10"/>
    <w:rsid w:val="00716F3D"/>
    <w:rsid w:val="00717CF5"/>
    <w:rsid w:val="007204EF"/>
    <w:rsid w:val="00720A96"/>
    <w:rsid w:val="00720D35"/>
    <w:rsid w:val="00720E8D"/>
    <w:rsid w:val="007210F6"/>
    <w:rsid w:val="00721303"/>
    <w:rsid w:val="00721517"/>
    <w:rsid w:val="007216CB"/>
    <w:rsid w:val="00721E37"/>
    <w:rsid w:val="00722206"/>
    <w:rsid w:val="00722E22"/>
    <w:rsid w:val="00722FE2"/>
    <w:rsid w:val="00723CD3"/>
    <w:rsid w:val="00723D09"/>
    <w:rsid w:val="0072596A"/>
    <w:rsid w:val="00725C07"/>
    <w:rsid w:val="00726351"/>
    <w:rsid w:val="007263BE"/>
    <w:rsid w:val="00727A0D"/>
    <w:rsid w:val="0073016D"/>
    <w:rsid w:val="007301D3"/>
    <w:rsid w:val="007307B2"/>
    <w:rsid w:val="00730D17"/>
    <w:rsid w:val="00730EBB"/>
    <w:rsid w:val="00731538"/>
    <w:rsid w:val="00732818"/>
    <w:rsid w:val="00732DDA"/>
    <w:rsid w:val="007338A8"/>
    <w:rsid w:val="00733B66"/>
    <w:rsid w:val="00733E0A"/>
    <w:rsid w:val="00733E52"/>
    <w:rsid w:val="0073449B"/>
    <w:rsid w:val="00735DCB"/>
    <w:rsid w:val="00736114"/>
    <w:rsid w:val="00737AC0"/>
    <w:rsid w:val="00737E73"/>
    <w:rsid w:val="007407C3"/>
    <w:rsid w:val="007408AB"/>
    <w:rsid w:val="00740DB0"/>
    <w:rsid w:val="00741120"/>
    <w:rsid w:val="0074133B"/>
    <w:rsid w:val="00742AAB"/>
    <w:rsid w:val="00742D36"/>
    <w:rsid w:val="007432B6"/>
    <w:rsid w:val="0074399D"/>
    <w:rsid w:val="00744328"/>
    <w:rsid w:val="0074453F"/>
    <w:rsid w:val="00744A3D"/>
    <w:rsid w:val="00744CF6"/>
    <w:rsid w:val="00745509"/>
    <w:rsid w:val="00746335"/>
    <w:rsid w:val="00746682"/>
    <w:rsid w:val="0074759D"/>
    <w:rsid w:val="0074767E"/>
    <w:rsid w:val="00747852"/>
    <w:rsid w:val="00747A35"/>
    <w:rsid w:val="00747B36"/>
    <w:rsid w:val="0075028F"/>
    <w:rsid w:val="0075053C"/>
    <w:rsid w:val="007515E0"/>
    <w:rsid w:val="00752153"/>
    <w:rsid w:val="00752BE4"/>
    <w:rsid w:val="00752EE4"/>
    <w:rsid w:val="0075352B"/>
    <w:rsid w:val="00753965"/>
    <w:rsid w:val="00753BD7"/>
    <w:rsid w:val="0075421C"/>
    <w:rsid w:val="00754890"/>
    <w:rsid w:val="007550CE"/>
    <w:rsid w:val="00755516"/>
    <w:rsid w:val="00756AD2"/>
    <w:rsid w:val="007573E6"/>
    <w:rsid w:val="00757937"/>
    <w:rsid w:val="00757BCD"/>
    <w:rsid w:val="00760A82"/>
    <w:rsid w:val="00760B94"/>
    <w:rsid w:val="00761598"/>
    <w:rsid w:val="007617E4"/>
    <w:rsid w:val="007627BC"/>
    <w:rsid w:val="00762E88"/>
    <w:rsid w:val="007634D8"/>
    <w:rsid w:val="0076386F"/>
    <w:rsid w:val="0076427D"/>
    <w:rsid w:val="00764453"/>
    <w:rsid w:val="00764582"/>
    <w:rsid w:val="00764CB1"/>
    <w:rsid w:val="00764DC7"/>
    <w:rsid w:val="00764FDF"/>
    <w:rsid w:val="007654D3"/>
    <w:rsid w:val="007654DF"/>
    <w:rsid w:val="00765A56"/>
    <w:rsid w:val="00765A81"/>
    <w:rsid w:val="00765D7D"/>
    <w:rsid w:val="00766912"/>
    <w:rsid w:val="00767193"/>
    <w:rsid w:val="00767771"/>
    <w:rsid w:val="00767999"/>
    <w:rsid w:val="00767DAB"/>
    <w:rsid w:val="00767F4B"/>
    <w:rsid w:val="007706E2"/>
    <w:rsid w:val="00770949"/>
    <w:rsid w:val="00771078"/>
    <w:rsid w:val="007727E1"/>
    <w:rsid w:val="0077283A"/>
    <w:rsid w:val="0077298F"/>
    <w:rsid w:val="00773051"/>
    <w:rsid w:val="00773783"/>
    <w:rsid w:val="007737F8"/>
    <w:rsid w:val="00773A58"/>
    <w:rsid w:val="007740DE"/>
    <w:rsid w:val="00775134"/>
    <w:rsid w:val="007753E2"/>
    <w:rsid w:val="007754E7"/>
    <w:rsid w:val="00775B5A"/>
    <w:rsid w:val="00775E80"/>
    <w:rsid w:val="00776414"/>
    <w:rsid w:val="00776A39"/>
    <w:rsid w:val="00776AA0"/>
    <w:rsid w:val="00776F0A"/>
    <w:rsid w:val="00777149"/>
    <w:rsid w:val="007778E9"/>
    <w:rsid w:val="00780F30"/>
    <w:rsid w:val="00781198"/>
    <w:rsid w:val="0078166A"/>
    <w:rsid w:val="00781BD3"/>
    <w:rsid w:val="00781F11"/>
    <w:rsid w:val="007822CB"/>
    <w:rsid w:val="00782CFA"/>
    <w:rsid w:val="00783DBF"/>
    <w:rsid w:val="0078404E"/>
    <w:rsid w:val="007845A6"/>
    <w:rsid w:val="0078500C"/>
    <w:rsid w:val="007855DA"/>
    <w:rsid w:val="00785906"/>
    <w:rsid w:val="007862C2"/>
    <w:rsid w:val="007871F7"/>
    <w:rsid w:val="00787D80"/>
    <w:rsid w:val="007906FD"/>
    <w:rsid w:val="007907D8"/>
    <w:rsid w:val="00791240"/>
    <w:rsid w:val="007917AE"/>
    <w:rsid w:val="007917E9"/>
    <w:rsid w:val="00791B53"/>
    <w:rsid w:val="00791F21"/>
    <w:rsid w:val="00792E96"/>
    <w:rsid w:val="00793812"/>
    <w:rsid w:val="00794578"/>
    <w:rsid w:val="007946AB"/>
    <w:rsid w:val="00794B86"/>
    <w:rsid w:val="00795022"/>
    <w:rsid w:val="00796B72"/>
    <w:rsid w:val="00796C9C"/>
    <w:rsid w:val="00797689"/>
    <w:rsid w:val="007978A5"/>
    <w:rsid w:val="00797D09"/>
    <w:rsid w:val="007A01DD"/>
    <w:rsid w:val="007A0FE1"/>
    <w:rsid w:val="007A1413"/>
    <w:rsid w:val="007A143E"/>
    <w:rsid w:val="007A1745"/>
    <w:rsid w:val="007A1C27"/>
    <w:rsid w:val="007A2DD4"/>
    <w:rsid w:val="007A3004"/>
    <w:rsid w:val="007A3588"/>
    <w:rsid w:val="007A3FAE"/>
    <w:rsid w:val="007A41D9"/>
    <w:rsid w:val="007A4BD0"/>
    <w:rsid w:val="007A51F8"/>
    <w:rsid w:val="007A5CFE"/>
    <w:rsid w:val="007A5F91"/>
    <w:rsid w:val="007A6456"/>
    <w:rsid w:val="007A667E"/>
    <w:rsid w:val="007A6BCE"/>
    <w:rsid w:val="007A707D"/>
    <w:rsid w:val="007B055A"/>
    <w:rsid w:val="007B0FC3"/>
    <w:rsid w:val="007B10C4"/>
    <w:rsid w:val="007B1903"/>
    <w:rsid w:val="007B1C5F"/>
    <w:rsid w:val="007B1DFC"/>
    <w:rsid w:val="007B22DD"/>
    <w:rsid w:val="007B2775"/>
    <w:rsid w:val="007B2D15"/>
    <w:rsid w:val="007B30E5"/>
    <w:rsid w:val="007B37A4"/>
    <w:rsid w:val="007B3CA6"/>
    <w:rsid w:val="007B480C"/>
    <w:rsid w:val="007B53D9"/>
    <w:rsid w:val="007B5D29"/>
    <w:rsid w:val="007B5E11"/>
    <w:rsid w:val="007B64C8"/>
    <w:rsid w:val="007B71CB"/>
    <w:rsid w:val="007B731B"/>
    <w:rsid w:val="007B7594"/>
    <w:rsid w:val="007B7FAC"/>
    <w:rsid w:val="007C0B6A"/>
    <w:rsid w:val="007C0F2D"/>
    <w:rsid w:val="007C18E0"/>
    <w:rsid w:val="007C1B10"/>
    <w:rsid w:val="007C2345"/>
    <w:rsid w:val="007C2E91"/>
    <w:rsid w:val="007C389D"/>
    <w:rsid w:val="007C3A53"/>
    <w:rsid w:val="007C3BD5"/>
    <w:rsid w:val="007C3DBC"/>
    <w:rsid w:val="007C4DDB"/>
    <w:rsid w:val="007C543A"/>
    <w:rsid w:val="007C560C"/>
    <w:rsid w:val="007C5643"/>
    <w:rsid w:val="007C5D45"/>
    <w:rsid w:val="007C6FCD"/>
    <w:rsid w:val="007C7A39"/>
    <w:rsid w:val="007C7F96"/>
    <w:rsid w:val="007D0703"/>
    <w:rsid w:val="007D0A77"/>
    <w:rsid w:val="007D1265"/>
    <w:rsid w:val="007D20E8"/>
    <w:rsid w:val="007D2198"/>
    <w:rsid w:val="007D2866"/>
    <w:rsid w:val="007D2B34"/>
    <w:rsid w:val="007D2F4E"/>
    <w:rsid w:val="007D3BB8"/>
    <w:rsid w:val="007D3EBC"/>
    <w:rsid w:val="007D42BA"/>
    <w:rsid w:val="007D4B33"/>
    <w:rsid w:val="007D4CBD"/>
    <w:rsid w:val="007D4D32"/>
    <w:rsid w:val="007D5092"/>
    <w:rsid w:val="007D55A4"/>
    <w:rsid w:val="007D575F"/>
    <w:rsid w:val="007D59F5"/>
    <w:rsid w:val="007D5B0F"/>
    <w:rsid w:val="007D5BBD"/>
    <w:rsid w:val="007D5D9E"/>
    <w:rsid w:val="007D6C65"/>
    <w:rsid w:val="007D6FCD"/>
    <w:rsid w:val="007D7104"/>
    <w:rsid w:val="007E0115"/>
    <w:rsid w:val="007E0673"/>
    <w:rsid w:val="007E0983"/>
    <w:rsid w:val="007E1652"/>
    <w:rsid w:val="007E23B1"/>
    <w:rsid w:val="007E2615"/>
    <w:rsid w:val="007E2A1E"/>
    <w:rsid w:val="007E2B41"/>
    <w:rsid w:val="007E2DB6"/>
    <w:rsid w:val="007E2FB4"/>
    <w:rsid w:val="007E3A87"/>
    <w:rsid w:val="007E4B35"/>
    <w:rsid w:val="007E5DD2"/>
    <w:rsid w:val="007E6055"/>
    <w:rsid w:val="007E657C"/>
    <w:rsid w:val="007E6AEB"/>
    <w:rsid w:val="007E75B8"/>
    <w:rsid w:val="007E7C7E"/>
    <w:rsid w:val="007E7FBC"/>
    <w:rsid w:val="007F0572"/>
    <w:rsid w:val="007F09F8"/>
    <w:rsid w:val="007F0CD0"/>
    <w:rsid w:val="007F1365"/>
    <w:rsid w:val="007F1B21"/>
    <w:rsid w:val="007F2075"/>
    <w:rsid w:val="007F3098"/>
    <w:rsid w:val="007F3D29"/>
    <w:rsid w:val="007F4111"/>
    <w:rsid w:val="007F5142"/>
    <w:rsid w:val="007F5293"/>
    <w:rsid w:val="007F5BF0"/>
    <w:rsid w:val="007F5D06"/>
    <w:rsid w:val="007F5ED6"/>
    <w:rsid w:val="007F68CD"/>
    <w:rsid w:val="007F6A2B"/>
    <w:rsid w:val="007F719B"/>
    <w:rsid w:val="007F735A"/>
    <w:rsid w:val="007F76FE"/>
    <w:rsid w:val="007F7992"/>
    <w:rsid w:val="007F7B91"/>
    <w:rsid w:val="008006D7"/>
    <w:rsid w:val="00800772"/>
    <w:rsid w:val="00801145"/>
    <w:rsid w:val="0080128D"/>
    <w:rsid w:val="008014D4"/>
    <w:rsid w:val="00801918"/>
    <w:rsid w:val="00802737"/>
    <w:rsid w:val="008030F1"/>
    <w:rsid w:val="00803F87"/>
    <w:rsid w:val="008042C9"/>
    <w:rsid w:val="008043FD"/>
    <w:rsid w:val="00804B14"/>
    <w:rsid w:val="00804B70"/>
    <w:rsid w:val="00805B86"/>
    <w:rsid w:val="00805BDE"/>
    <w:rsid w:val="00806E03"/>
    <w:rsid w:val="00807083"/>
    <w:rsid w:val="008100BB"/>
    <w:rsid w:val="00810496"/>
    <w:rsid w:val="00810B73"/>
    <w:rsid w:val="00810F18"/>
    <w:rsid w:val="0081162B"/>
    <w:rsid w:val="00811A90"/>
    <w:rsid w:val="00811B4C"/>
    <w:rsid w:val="00811DC5"/>
    <w:rsid w:val="00811DFE"/>
    <w:rsid w:val="008124D3"/>
    <w:rsid w:val="00813469"/>
    <w:rsid w:val="00813926"/>
    <w:rsid w:val="00813C81"/>
    <w:rsid w:val="0081420B"/>
    <w:rsid w:val="008149B6"/>
    <w:rsid w:val="00814E07"/>
    <w:rsid w:val="0081557F"/>
    <w:rsid w:val="008160EF"/>
    <w:rsid w:val="0081641E"/>
    <w:rsid w:val="00816466"/>
    <w:rsid w:val="0081739D"/>
    <w:rsid w:val="008175DA"/>
    <w:rsid w:val="008178B6"/>
    <w:rsid w:val="00820300"/>
    <w:rsid w:val="0082081D"/>
    <w:rsid w:val="008225F5"/>
    <w:rsid w:val="00822648"/>
    <w:rsid w:val="00822DEB"/>
    <w:rsid w:val="00822ED1"/>
    <w:rsid w:val="00822FB1"/>
    <w:rsid w:val="008231F7"/>
    <w:rsid w:val="0082351A"/>
    <w:rsid w:val="008238AD"/>
    <w:rsid w:val="00823CB6"/>
    <w:rsid w:val="00823EDC"/>
    <w:rsid w:val="0082450B"/>
    <w:rsid w:val="00824AA6"/>
    <w:rsid w:val="00824B41"/>
    <w:rsid w:val="008256A5"/>
    <w:rsid w:val="0082650E"/>
    <w:rsid w:val="008267E2"/>
    <w:rsid w:val="008268B3"/>
    <w:rsid w:val="00826BA7"/>
    <w:rsid w:val="00826E83"/>
    <w:rsid w:val="00826FC8"/>
    <w:rsid w:val="00827484"/>
    <w:rsid w:val="00827813"/>
    <w:rsid w:val="00827D85"/>
    <w:rsid w:val="00830273"/>
    <w:rsid w:val="008308FA"/>
    <w:rsid w:val="0083174D"/>
    <w:rsid w:val="00831B07"/>
    <w:rsid w:val="00831F6A"/>
    <w:rsid w:val="0083265F"/>
    <w:rsid w:val="008329F8"/>
    <w:rsid w:val="00833037"/>
    <w:rsid w:val="008336DF"/>
    <w:rsid w:val="008336F7"/>
    <w:rsid w:val="0083438C"/>
    <w:rsid w:val="00834C0F"/>
    <w:rsid w:val="00834C6A"/>
    <w:rsid w:val="008352CC"/>
    <w:rsid w:val="008353AA"/>
    <w:rsid w:val="00835414"/>
    <w:rsid w:val="00835B43"/>
    <w:rsid w:val="00837B8C"/>
    <w:rsid w:val="00841068"/>
    <w:rsid w:val="008410A2"/>
    <w:rsid w:val="00842241"/>
    <w:rsid w:val="00842311"/>
    <w:rsid w:val="00842D06"/>
    <w:rsid w:val="00842E63"/>
    <w:rsid w:val="00843409"/>
    <w:rsid w:val="0084380D"/>
    <w:rsid w:val="00843DE9"/>
    <w:rsid w:val="008443B2"/>
    <w:rsid w:val="00845607"/>
    <w:rsid w:val="00846105"/>
    <w:rsid w:val="008469E1"/>
    <w:rsid w:val="00847AAA"/>
    <w:rsid w:val="00847DF5"/>
    <w:rsid w:val="00850A31"/>
    <w:rsid w:val="00850D17"/>
    <w:rsid w:val="00851456"/>
    <w:rsid w:val="00851DE8"/>
    <w:rsid w:val="00852BF8"/>
    <w:rsid w:val="00852D4A"/>
    <w:rsid w:val="008532D1"/>
    <w:rsid w:val="008533F4"/>
    <w:rsid w:val="008534BD"/>
    <w:rsid w:val="00854546"/>
    <w:rsid w:val="00854FE1"/>
    <w:rsid w:val="008558E9"/>
    <w:rsid w:val="008558F4"/>
    <w:rsid w:val="00855D62"/>
    <w:rsid w:val="0086019B"/>
    <w:rsid w:val="00860DB4"/>
    <w:rsid w:val="00861FE4"/>
    <w:rsid w:val="00862091"/>
    <w:rsid w:val="00862241"/>
    <w:rsid w:val="00862CCA"/>
    <w:rsid w:val="00862F71"/>
    <w:rsid w:val="00863021"/>
    <w:rsid w:val="00863D03"/>
    <w:rsid w:val="008647AD"/>
    <w:rsid w:val="00864C60"/>
    <w:rsid w:val="008655CA"/>
    <w:rsid w:val="008663E6"/>
    <w:rsid w:val="00866829"/>
    <w:rsid w:val="00866EE1"/>
    <w:rsid w:val="00867050"/>
    <w:rsid w:val="00867AFE"/>
    <w:rsid w:val="0087022E"/>
    <w:rsid w:val="0087025D"/>
    <w:rsid w:val="008702B4"/>
    <w:rsid w:val="008703AB"/>
    <w:rsid w:val="008705B7"/>
    <w:rsid w:val="008705CE"/>
    <w:rsid w:val="00870621"/>
    <w:rsid w:val="0087171C"/>
    <w:rsid w:val="00871B6E"/>
    <w:rsid w:val="00872569"/>
    <w:rsid w:val="00872BE0"/>
    <w:rsid w:val="00872C62"/>
    <w:rsid w:val="00874002"/>
    <w:rsid w:val="00874338"/>
    <w:rsid w:val="0087457E"/>
    <w:rsid w:val="00875723"/>
    <w:rsid w:val="00875D8C"/>
    <w:rsid w:val="008767EB"/>
    <w:rsid w:val="00876BC5"/>
    <w:rsid w:val="00876EE0"/>
    <w:rsid w:val="008773C8"/>
    <w:rsid w:val="00877D1C"/>
    <w:rsid w:val="0088006D"/>
    <w:rsid w:val="008800C1"/>
    <w:rsid w:val="0088017C"/>
    <w:rsid w:val="0088070D"/>
    <w:rsid w:val="00880EC3"/>
    <w:rsid w:val="0088147E"/>
    <w:rsid w:val="0088163A"/>
    <w:rsid w:val="008820BD"/>
    <w:rsid w:val="00882229"/>
    <w:rsid w:val="008827F5"/>
    <w:rsid w:val="00883115"/>
    <w:rsid w:val="008832A9"/>
    <w:rsid w:val="008835F7"/>
    <w:rsid w:val="008840B7"/>
    <w:rsid w:val="00884BFF"/>
    <w:rsid w:val="0088545D"/>
    <w:rsid w:val="00885549"/>
    <w:rsid w:val="00885646"/>
    <w:rsid w:val="008863C5"/>
    <w:rsid w:val="00886489"/>
    <w:rsid w:val="00890809"/>
    <w:rsid w:val="00890F10"/>
    <w:rsid w:val="00891468"/>
    <w:rsid w:val="00891B6E"/>
    <w:rsid w:val="00891B8C"/>
    <w:rsid w:val="00891DD9"/>
    <w:rsid w:val="00892109"/>
    <w:rsid w:val="00892505"/>
    <w:rsid w:val="0089265B"/>
    <w:rsid w:val="00892D99"/>
    <w:rsid w:val="0089305A"/>
    <w:rsid w:val="00893748"/>
    <w:rsid w:val="00894259"/>
    <w:rsid w:val="0089495A"/>
    <w:rsid w:val="00894CC6"/>
    <w:rsid w:val="00894D57"/>
    <w:rsid w:val="008951B7"/>
    <w:rsid w:val="0089521C"/>
    <w:rsid w:val="008961B3"/>
    <w:rsid w:val="00896505"/>
    <w:rsid w:val="00896BB1"/>
    <w:rsid w:val="00896E68"/>
    <w:rsid w:val="00897456"/>
    <w:rsid w:val="00897B3A"/>
    <w:rsid w:val="00897ECC"/>
    <w:rsid w:val="008A00D9"/>
    <w:rsid w:val="008A02D0"/>
    <w:rsid w:val="008A0AC0"/>
    <w:rsid w:val="008A1065"/>
    <w:rsid w:val="008A1115"/>
    <w:rsid w:val="008A1555"/>
    <w:rsid w:val="008A1697"/>
    <w:rsid w:val="008A1F69"/>
    <w:rsid w:val="008A2773"/>
    <w:rsid w:val="008A2BEA"/>
    <w:rsid w:val="008A2D06"/>
    <w:rsid w:val="008A2D40"/>
    <w:rsid w:val="008A35B2"/>
    <w:rsid w:val="008A39FD"/>
    <w:rsid w:val="008A430F"/>
    <w:rsid w:val="008B02E4"/>
    <w:rsid w:val="008B0662"/>
    <w:rsid w:val="008B14E8"/>
    <w:rsid w:val="008B1D6C"/>
    <w:rsid w:val="008B2169"/>
    <w:rsid w:val="008B2D5F"/>
    <w:rsid w:val="008B3EFC"/>
    <w:rsid w:val="008B422E"/>
    <w:rsid w:val="008B52B8"/>
    <w:rsid w:val="008B54A5"/>
    <w:rsid w:val="008B6180"/>
    <w:rsid w:val="008B66EE"/>
    <w:rsid w:val="008C024C"/>
    <w:rsid w:val="008C0713"/>
    <w:rsid w:val="008C09B9"/>
    <w:rsid w:val="008C09F0"/>
    <w:rsid w:val="008C0FF1"/>
    <w:rsid w:val="008C13FC"/>
    <w:rsid w:val="008C1918"/>
    <w:rsid w:val="008C33A7"/>
    <w:rsid w:val="008C3A70"/>
    <w:rsid w:val="008C457F"/>
    <w:rsid w:val="008C46E0"/>
    <w:rsid w:val="008C4947"/>
    <w:rsid w:val="008C4F42"/>
    <w:rsid w:val="008C4FBB"/>
    <w:rsid w:val="008C5675"/>
    <w:rsid w:val="008C592F"/>
    <w:rsid w:val="008C5AC4"/>
    <w:rsid w:val="008C6150"/>
    <w:rsid w:val="008C62A0"/>
    <w:rsid w:val="008C64F4"/>
    <w:rsid w:val="008C665D"/>
    <w:rsid w:val="008C68AD"/>
    <w:rsid w:val="008C695B"/>
    <w:rsid w:val="008C6CB7"/>
    <w:rsid w:val="008C7D77"/>
    <w:rsid w:val="008C7EAF"/>
    <w:rsid w:val="008C7F96"/>
    <w:rsid w:val="008D0148"/>
    <w:rsid w:val="008D0B22"/>
    <w:rsid w:val="008D0D00"/>
    <w:rsid w:val="008D0F29"/>
    <w:rsid w:val="008D11AD"/>
    <w:rsid w:val="008D1376"/>
    <w:rsid w:val="008D16D5"/>
    <w:rsid w:val="008D19B2"/>
    <w:rsid w:val="008D1B30"/>
    <w:rsid w:val="008D22DF"/>
    <w:rsid w:val="008D2B94"/>
    <w:rsid w:val="008D2F99"/>
    <w:rsid w:val="008D3242"/>
    <w:rsid w:val="008D38D0"/>
    <w:rsid w:val="008D39D5"/>
    <w:rsid w:val="008D3F79"/>
    <w:rsid w:val="008D5146"/>
    <w:rsid w:val="008D557E"/>
    <w:rsid w:val="008D6557"/>
    <w:rsid w:val="008D6822"/>
    <w:rsid w:val="008D6F3B"/>
    <w:rsid w:val="008D7B01"/>
    <w:rsid w:val="008E02F9"/>
    <w:rsid w:val="008E037C"/>
    <w:rsid w:val="008E0BE2"/>
    <w:rsid w:val="008E1C75"/>
    <w:rsid w:val="008E2499"/>
    <w:rsid w:val="008E260F"/>
    <w:rsid w:val="008E29FF"/>
    <w:rsid w:val="008E2AE7"/>
    <w:rsid w:val="008E2DBC"/>
    <w:rsid w:val="008E3A1B"/>
    <w:rsid w:val="008E62A3"/>
    <w:rsid w:val="008E71CC"/>
    <w:rsid w:val="008E7539"/>
    <w:rsid w:val="008E78F6"/>
    <w:rsid w:val="008E7D3C"/>
    <w:rsid w:val="008F03B8"/>
    <w:rsid w:val="008F0489"/>
    <w:rsid w:val="008F069D"/>
    <w:rsid w:val="008F0AC0"/>
    <w:rsid w:val="008F0B8A"/>
    <w:rsid w:val="008F0E60"/>
    <w:rsid w:val="008F12E8"/>
    <w:rsid w:val="008F1446"/>
    <w:rsid w:val="008F289F"/>
    <w:rsid w:val="008F31AA"/>
    <w:rsid w:val="008F33AA"/>
    <w:rsid w:val="008F3DE3"/>
    <w:rsid w:val="008F3E85"/>
    <w:rsid w:val="008F4027"/>
    <w:rsid w:val="008F4C5C"/>
    <w:rsid w:val="008F4CE2"/>
    <w:rsid w:val="008F4E2A"/>
    <w:rsid w:val="008F50DD"/>
    <w:rsid w:val="008F562F"/>
    <w:rsid w:val="008F5748"/>
    <w:rsid w:val="008F58A0"/>
    <w:rsid w:val="008F58D6"/>
    <w:rsid w:val="008F6F3F"/>
    <w:rsid w:val="008F746B"/>
    <w:rsid w:val="008F772D"/>
    <w:rsid w:val="00900610"/>
    <w:rsid w:val="00900FF2"/>
    <w:rsid w:val="0090148E"/>
    <w:rsid w:val="00901910"/>
    <w:rsid w:val="00901986"/>
    <w:rsid w:val="009026D0"/>
    <w:rsid w:val="00902958"/>
    <w:rsid w:val="00902BBB"/>
    <w:rsid w:val="00903B1D"/>
    <w:rsid w:val="00903C2F"/>
    <w:rsid w:val="0090413B"/>
    <w:rsid w:val="00904D71"/>
    <w:rsid w:val="00905003"/>
    <w:rsid w:val="00905163"/>
    <w:rsid w:val="0090597A"/>
    <w:rsid w:val="009071F9"/>
    <w:rsid w:val="0090740A"/>
    <w:rsid w:val="009074CA"/>
    <w:rsid w:val="00907802"/>
    <w:rsid w:val="00907BA0"/>
    <w:rsid w:val="00907C42"/>
    <w:rsid w:val="00910CB7"/>
    <w:rsid w:val="00911C27"/>
    <w:rsid w:val="00913AFF"/>
    <w:rsid w:val="00913B6A"/>
    <w:rsid w:val="009141A1"/>
    <w:rsid w:val="00914B28"/>
    <w:rsid w:val="00914EF6"/>
    <w:rsid w:val="00914F60"/>
    <w:rsid w:val="0091524C"/>
    <w:rsid w:val="009165B4"/>
    <w:rsid w:val="00916F14"/>
    <w:rsid w:val="00916F35"/>
    <w:rsid w:val="0091732C"/>
    <w:rsid w:val="0091776F"/>
    <w:rsid w:val="00917F14"/>
    <w:rsid w:val="009202C2"/>
    <w:rsid w:val="00920922"/>
    <w:rsid w:val="00920D9E"/>
    <w:rsid w:val="0092264F"/>
    <w:rsid w:val="0092266F"/>
    <w:rsid w:val="00922A39"/>
    <w:rsid w:val="00922BE7"/>
    <w:rsid w:val="00922E8F"/>
    <w:rsid w:val="00923F5C"/>
    <w:rsid w:val="0092400B"/>
    <w:rsid w:val="0092417A"/>
    <w:rsid w:val="00924FA4"/>
    <w:rsid w:val="009253C6"/>
    <w:rsid w:val="0092556D"/>
    <w:rsid w:val="009265DE"/>
    <w:rsid w:val="009266F8"/>
    <w:rsid w:val="009267DD"/>
    <w:rsid w:val="00926A7B"/>
    <w:rsid w:val="00926AC2"/>
    <w:rsid w:val="00926EE5"/>
    <w:rsid w:val="009275EE"/>
    <w:rsid w:val="009301EC"/>
    <w:rsid w:val="0093064A"/>
    <w:rsid w:val="00930CC4"/>
    <w:rsid w:val="00930F6A"/>
    <w:rsid w:val="009312B0"/>
    <w:rsid w:val="0093137C"/>
    <w:rsid w:val="009314B7"/>
    <w:rsid w:val="00931754"/>
    <w:rsid w:val="009318A7"/>
    <w:rsid w:val="00931FBB"/>
    <w:rsid w:val="009326AF"/>
    <w:rsid w:val="00932BEC"/>
    <w:rsid w:val="009332D4"/>
    <w:rsid w:val="00934706"/>
    <w:rsid w:val="009348DF"/>
    <w:rsid w:val="00934C35"/>
    <w:rsid w:val="009353D5"/>
    <w:rsid w:val="00935CC0"/>
    <w:rsid w:val="00935CF9"/>
    <w:rsid w:val="009368D5"/>
    <w:rsid w:val="00936B66"/>
    <w:rsid w:val="00937231"/>
    <w:rsid w:val="0093758B"/>
    <w:rsid w:val="00937878"/>
    <w:rsid w:val="00937EB0"/>
    <w:rsid w:val="00937FD2"/>
    <w:rsid w:val="00940335"/>
    <w:rsid w:val="009408B6"/>
    <w:rsid w:val="00942015"/>
    <w:rsid w:val="009423C1"/>
    <w:rsid w:val="009425A5"/>
    <w:rsid w:val="00942818"/>
    <w:rsid w:val="00942B65"/>
    <w:rsid w:val="009434B2"/>
    <w:rsid w:val="009434B8"/>
    <w:rsid w:val="009437BC"/>
    <w:rsid w:val="009447D3"/>
    <w:rsid w:val="009449A1"/>
    <w:rsid w:val="00944AC1"/>
    <w:rsid w:val="00944D25"/>
    <w:rsid w:val="00944D30"/>
    <w:rsid w:val="00945491"/>
    <w:rsid w:val="009456D4"/>
    <w:rsid w:val="009456E7"/>
    <w:rsid w:val="0094580C"/>
    <w:rsid w:val="00945B80"/>
    <w:rsid w:val="00945C5F"/>
    <w:rsid w:val="00945CCF"/>
    <w:rsid w:val="009460F3"/>
    <w:rsid w:val="0094735B"/>
    <w:rsid w:val="0094740F"/>
    <w:rsid w:val="00947D93"/>
    <w:rsid w:val="0095089A"/>
    <w:rsid w:val="00950FC8"/>
    <w:rsid w:val="009511BA"/>
    <w:rsid w:val="009543DE"/>
    <w:rsid w:val="00954927"/>
    <w:rsid w:val="00954C2B"/>
    <w:rsid w:val="00955BD4"/>
    <w:rsid w:val="00956AC8"/>
    <w:rsid w:val="00957170"/>
    <w:rsid w:val="00957220"/>
    <w:rsid w:val="00957BE9"/>
    <w:rsid w:val="00957E30"/>
    <w:rsid w:val="009604D6"/>
    <w:rsid w:val="00960D72"/>
    <w:rsid w:val="00961197"/>
    <w:rsid w:val="0096120C"/>
    <w:rsid w:val="009616FC"/>
    <w:rsid w:val="00961E9F"/>
    <w:rsid w:val="00962760"/>
    <w:rsid w:val="009636D5"/>
    <w:rsid w:val="0096390E"/>
    <w:rsid w:val="009646E7"/>
    <w:rsid w:val="00964951"/>
    <w:rsid w:val="00964F2D"/>
    <w:rsid w:val="009652F5"/>
    <w:rsid w:val="009660F6"/>
    <w:rsid w:val="00967FAC"/>
    <w:rsid w:val="009700E6"/>
    <w:rsid w:val="0097072A"/>
    <w:rsid w:val="00970EA1"/>
    <w:rsid w:val="009723EA"/>
    <w:rsid w:val="0097327A"/>
    <w:rsid w:val="00973FFE"/>
    <w:rsid w:val="0097418D"/>
    <w:rsid w:val="009742E2"/>
    <w:rsid w:val="009743B7"/>
    <w:rsid w:val="009747AE"/>
    <w:rsid w:val="00975CF0"/>
    <w:rsid w:val="00977554"/>
    <w:rsid w:val="0097766C"/>
    <w:rsid w:val="00977BA4"/>
    <w:rsid w:val="009801D7"/>
    <w:rsid w:val="00980E5D"/>
    <w:rsid w:val="009810AC"/>
    <w:rsid w:val="00982598"/>
    <w:rsid w:val="00982EEC"/>
    <w:rsid w:val="009831EE"/>
    <w:rsid w:val="00983713"/>
    <w:rsid w:val="00983865"/>
    <w:rsid w:val="00983911"/>
    <w:rsid w:val="009841AE"/>
    <w:rsid w:val="009841EC"/>
    <w:rsid w:val="00984640"/>
    <w:rsid w:val="00984D8C"/>
    <w:rsid w:val="009856B0"/>
    <w:rsid w:val="00985FD9"/>
    <w:rsid w:val="0098614C"/>
    <w:rsid w:val="00986287"/>
    <w:rsid w:val="009865BA"/>
    <w:rsid w:val="009874DD"/>
    <w:rsid w:val="00991C76"/>
    <w:rsid w:val="0099229A"/>
    <w:rsid w:val="00992FB8"/>
    <w:rsid w:val="009934DE"/>
    <w:rsid w:val="009935C1"/>
    <w:rsid w:val="00993C07"/>
    <w:rsid w:val="00994C86"/>
    <w:rsid w:val="0099537F"/>
    <w:rsid w:val="0099540E"/>
    <w:rsid w:val="00996361"/>
    <w:rsid w:val="009963F3"/>
    <w:rsid w:val="0099724F"/>
    <w:rsid w:val="009978D6"/>
    <w:rsid w:val="00997A64"/>
    <w:rsid w:val="009A0831"/>
    <w:rsid w:val="009A0AEF"/>
    <w:rsid w:val="009A0C00"/>
    <w:rsid w:val="009A0D2F"/>
    <w:rsid w:val="009A165F"/>
    <w:rsid w:val="009A2136"/>
    <w:rsid w:val="009A28A4"/>
    <w:rsid w:val="009A3485"/>
    <w:rsid w:val="009A370F"/>
    <w:rsid w:val="009A3F81"/>
    <w:rsid w:val="009A44CB"/>
    <w:rsid w:val="009A48BD"/>
    <w:rsid w:val="009A4A8C"/>
    <w:rsid w:val="009A4AD6"/>
    <w:rsid w:val="009A509C"/>
    <w:rsid w:val="009A54D4"/>
    <w:rsid w:val="009A6142"/>
    <w:rsid w:val="009A7131"/>
    <w:rsid w:val="009A7191"/>
    <w:rsid w:val="009A7C92"/>
    <w:rsid w:val="009B01C9"/>
    <w:rsid w:val="009B0703"/>
    <w:rsid w:val="009B094E"/>
    <w:rsid w:val="009B0D0B"/>
    <w:rsid w:val="009B0DFA"/>
    <w:rsid w:val="009B0F95"/>
    <w:rsid w:val="009B13BF"/>
    <w:rsid w:val="009B1589"/>
    <w:rsid w:val="009B1D28"/>
    <w:rsid w:val="009B23BB"/>
    <w:rsid w:val="009B2973"/>
    <w:rsid w:val="009B2A28"/>
    <w:rsid w:val="009B2CC0"/>
    <w:rsid w:val="009B30D0"/>
    <w:rsid w:val="009B329B"/>
    <w:rsid w:val="009B360E"/>
    <w:rsid w:val="009B3F95"/>
    <w:rsid w:val="009B48C2"/>
    <w:rsid w:val="009B4A0C"/>
    <w:rsid w:val="009B4C4A"/>
    <w:rsid w:val="009B58B5"/>
    <w:rsid w:val="009B5AFB"/>
    <w:rsid w:val="009B6688"/>
    <w:rsid w:val="009B6EAF"/>
    <w:rsid w:val="009B7D47"/>
    <w:rsid w:val="009C0428"/>
    <w:rsid w:val="009C1174"/>
    <w:rsid w:val="009C123D"/>
    <w:rsid w:val="009C2953"/>
    <w:rsid w:val="009C3C59"/>
    <w:rsid w:val="009C3F54"/>
    <w:rsid w:val="009C42AE"/>
    <w:rsid w:val="009C5210"/>
    <w:rsid w:val="009C5287"/>
    <w:rsid w:val="009C5768"/>
    <w:rsid w:val="009C5F59"/>
    <w:rsid w:val="009C6730"/>
    <w:rsid w:val="009C78AB"/>
    <w:rsid w:val="009C7A54"/>
    <w:rsid w:val="009D0B88"/>
    <w:rsid w:val="009D1309"/>
    <w:rsid w:val="009D1B24"/>
    <w:rsid w:val="009D1B98"/>
    <w:rsid w:val="009D203F"/>
    <w:rsid w:val="009D250D"/>
    <w:rsid w:val="009D252F"/>
    <w:rsid w:val="009D2C42"/>
    <w:rsid w:val="009D2EF6"/>
    <w:rsid w:val="009D338F"/>
    <w:rsid w:val="009D3964"/>
    <w:rsid w:val="009D3DB8"/>
    <w:rsid w:val="009D4BB2"/>
    <w:rsid w:val="009D574F"/>
    <w:rsid w:val="009D5CC5"/>
    <w:rsid w:val="009D6878"/>
    <w:rsid w:val="009D6973"/>
    <w:rsid w:val="009D74E5"/>
    <w:rsid w:val="009D768A"/>
    <w:rsid w:val="009D7706"/>
    <w:rsid w:val="009E0797"/>
    <w:rsid w:val="009E1465"/>
    <w:rsid w:val="009E18A8"/>
    <w:rsid w:val="009E1CB1"/>
    <w:rsid w:val="009E2559"/>
    <w:rsid w:val="009E3302"/>
    <w:rsid w:val="009E3ECA"/>
    <w:rsid w:val="009E3FE1"/>
    <w:rsid w:val="009E4E32"/>
    <w:rsid w:val="009E5CA9"/>
    <w:rsid w:val="009E6461"/>
    <w:rsid w:val="009E6985"/>
    <w:rsid w:val="009E6BB0"/>
    <w:rsid w:val="009E6C0B"/>
    <w:rsid w:val="009E75CB"/>
    <w:rsid w:val="009E76A1"/>
    <w:rsid w:val="009E7B98"/>
    <w:rsid w:val="009E7FAE"/>
    <w:rsid w:val="009F080D"/>
    <w:rsid w:val="009F0E1D"/>
    <w:rsid w:val="009F154B"/>
    <w:rsid w:val="009F234B"/>
    <w:rsid w:val="009F2E33"/>
    <w:rsid w:val="009F303C"/>
    <w:rsid w:val="009F3666"/>
    <w:rsid w:val="009F3F7E"/>
    <w:rsid w:val="009F4711"/>
    <w:rsid w:val="009F47BA"/>
    <w:rsid w:val="009F4AAA"/>
    <w:rsid w:val="009F4B74"/>
    <w:rsid w:val="009F4CD4"/>
    <w:rsid w:val="009F521C"/>
    <w:rsid w:val="009F6063"/>
    <w:rsid w:val="009F6349"/>
    <w:rsid w:val="009F64CC"/>
    <w:rsid w:val="009F6EE5"/>
    <w:rsid w:val="009F739F"/>
    <w:rsid w:val="00A00192"/>
    <w:rsid w:val="00A006EE"/>
    <w:rsid w:val="00A00936"/>
    <w:rsid w:val="00A00C46"/>
    <w:rsid w:val="00A00CF4"/>
    <w:rsid w:val="00A03037"/>
    <w:rsid w:val="00A0305D"/>
    <w:rsid w:val="00A032B0"/>
    <w:rsid w:val="00A03E69"/>
    <w:rsid w:val="00A04258"/>
    <w:rsid w:val="00A04E8C"/>
    <w:rsid w:val="00A05563"/>
    <w:rsid w:val="00A05828"/>
    <w:rsid w:val="00A05FDD"/>
    <w:rsid w:val="00A06030"/>
    <w:rsid w:val="00A06033"/>
    <w:rsid w:val="00A0627F"/>
    <w:rsid w:val="00A0633A"/>
    <w:rsid w:val="00A07FA9"/>
    <w:rsid w:val="00A10C13"/>
    <w:rsid w:val="00A122D5"/>
    <w:rsid w:val="00A12EAA"/>
    <w:rsid w:val="00A13202"/>
    <w:rsid w:val="00A134C8"/>
    <w:rsid w:val="00A13731"/>
    <w:rsid w:val="00A13ECB"/>
    <w:rsid w:val="00A14217"/>
    <w:rsid w:val="00A15A17"/>
    <w:rsid w:val="00A15B83"/>
    <w:rsid w:val="00A15CC5"/>
    <w:rsid w:val="00A15ECE"/>
    <w:rsid w:val="00A16552"/>
    <w:rsid w:val="00A170B7"/>
    <w:rsid w:val="00A1713A"/>
    <w:rsid w:val="00A17166"/>
    <w:rsid w:val="00A1749A"/>
    <w:rsid w:val="00A203E6"/>
    <w:rsid w:val="00A20601"/>
    <w:rsid w:val="00A20A3D"/>
    <w:rsid w:val="00A20C79"/>
    <w:rsid w:val="00A21ADA"/>
    <w:rsid w:val="00A221DC"/>
    <w:rsid w:val="00A2221C"/>
    <w:rsid w:val="00A224EB"/>
    <w:rsid w:val="00A22A8D"/>
    <w:rsid w:val="00A22A95"/>
    <w:rsid w:val="00A230FB"/>
    <w:rsid w:val="00A230FE"/>
    <w:rsid w:val="00A23448"/>
    <w:rsid w:val="00A23696"/>
    <w:rsid w:val="00A237BC"/>
    <w:rsid w:val="00A23A41"/>
    <w:rsid w:val="00A23E16"/>
    <w:rsid w:val="00A24435"/>
    <w:rsid w:val="00A24C1D"/>
    <w:rsid w:val="00A25376"/>
    <w:rsid w:val="00A25785"/>
    <w:rsid w:val="00A26346"/>
    <w:rsid w:val="00A279FA"/>
    <w:rsid w:val="00A30175"/>
    <w:rsid w:val="00A30257"/>
    <w:rsid w:val="00A30366"/>
    <w:rsid w:val="00A30676"/>
    <w:rsid w:val="00A30691"/>
    <w:rsid w:val="00A30980"/>
    <w:rsid w:val="00A31A54"/>
    <w:rsid w:val="00A31D4D"/>
    <w:rsid w:val="00A3243C"/>
    <w:rsid w:val="00A32602"/>
    <w:rsid w:val="00A3263D"/>
    <w:rsid w:val="00A32B67"/>
    <w:rsid w:val="00A32C11"/>
    <w:rsid w:val="00A32C6B"/>
    <w:rsid w:val="00A32CE7"/>
    <w:rsid w:val="00A332E5"/>
    <w:rsid w:val="00A33358"/>
    <w:rsid w:val="00A33B1E"/>
    <w:rsid w:val="00A33B53"/>
    <w:rsid w:val="00A3418B"/>
    <w:rsid w:val="00A34ABB"/>
    <w:rsid w:val="00A3518B"/>
    <w:rsid w:val="00A35337"/>
    <w:rsid w:val="00A35528"/>
    <w:rsid w:val="00A35D72"/>
    <w:rsid w:val="00A35ED4"/>
    <w:rsid w:val="00A36276"/>
    <w:rsid w:val="00A36775"/>
    <w:rsid w:val="00A406D7"/>
    <w:rsid w:val="00A4110A"/>
    <w:rsid w:val="00A4179E"/>
    <w:rsid w:val="00A41B51"/>
    <w:rsid w:val="00A42333"/>
    <w:rsid w:val="00A42600"/>
    <w:rsid w:val="00A42C0F"/>
    <w:rsid w:val="00A431F0"/>
    <w:rsid w:val="00A44254"/>
    <w:rsid w:val="00A442DB"/>
    <w:rsid w:val="00A447FF"/>
    <w:rsid w:val="00A455DE"/>
    <w:rsid w:val="00A457DC"/>
    <w:rsid w:val="00A461EB"/>
    <w:rsid w:val="00A46477"/>
    <w:rsid w:val="00A46993"/>
    <w:rsid w:val="00A4713E"/>
    <w:rsid w:val="00A474B6"/>
    <w:rsid w:val="00A50712"/>
    <w:rsid w:val="00A51C5F"/>
    <w:rsid w:val="00A52552"/>
    <w:rsid w:val="00A5257B"/>
    <w:rsid w:val="00A52A07"/>
    <w:rsid w:val="00A52A0A"/>
    <w:rsid w:val="00A5340E"/>
    <w:rsid w:val="00A53849"/>
    <w:rsid w:val="00A540EE"/>
    <w:rsid w:val="00A546FF"/>
    <w:rsid w:val="00A55306"/>
    <w:rsid w:val="00A5606D"/>
    <w:rsid w:val="00A561AC"/>
    <w:rsid w:val="00A56521"/>
    <w:rsid w:val="00A567AD"/>
    <w:rsid w:val="00A568B5"/>
    <w:rsid w:val="00A57084"/>
    <w:rsid w:val="00A572E8"/>
    <w:rsid w:val="00A605D9"/>
    <w:rsid w:val="00A60860"/>
    <w:rsid w:val="00A608E6"/>
    <w:rsid w:val="00A609D5"/>
    <w:rsid w:val="00A60EA1"/>
    <w:rsid w:val="00A61AF5"/>
    <w:rsid w:val="00A61EBA"/>
    <w:rsid w:val="00A62B3A"/>
    <w:rsid w:val="00A62F6E"/>
    <w:rsid w:val="00A63474"/>
    <w:rsid w:val="00A637A8"/>
    <w:rsid w:val="00A64210"/>
    <w:rsid w:val="00A646F4"/>
    <w:rsid w:val="00A64B7F"/>
    <w:rsid w:val="00A66396"/>
    <w:rsid w:val="00A66AD8"/>
    <w:rsid w:val="00A66B14"/>
    <w:rsid w:val="00A6716D"/>
    <w:rsid w:val="00A67277"/>
    <w:rsid w:val="00A673D4"/>
    <w:rsid w:val="00A67B12"/>
    <w:rsid w:val="00A70A28"/>
    <w:rsid w:val="00A70BDF"/>
    <w:rsid w:val="00A71080"/>
    <w:rsid w:val="00A71568"/>
    <w:rsid w:val="00A71ACF"/>
    <w:rsid w:val="00A71EBA"/>
    <w:rsid w:val="00A72E23"/>
    <w:rsid w:val="00A730D3"/>
    <w:rsid w:val="00A73717"/>
    <w:rsid w:val="00A749C9"/>
    <w:rsid w:val="00A74C0F"/>
    <w:rsid w:val="00A74F4A"/>
    <w:rsid w:val="00A752E6"/>
    <w:rsid w:val="00A7577F"/>
    <w:rsid w:val="00A75B47"/>
    <w:rsid w:val="00A7623C"/>
    <w:rsid w:val="00A772F2"/>
    <w:rsid w:val="00A77318"/>
    <w:rsid w:val="00A77562"/>
    <w:rsid w:val="00A77CCF"/>
    <w:rsid w:val="00A77F03"/>
    <w:rsid w:val="00A803C4"/>
    <w:rsid w:val="00A80A4F"/>
    <w:rsid w:val="00A80DB4"/>
    <w:rsid w:val="00A81585"/>
    <w:rsid w:val="00A818A9"/>
    <w:rsid w:val="00A8264D"/>
    <w:rsid w:val="00A82F89"/>
    <w:rsid w:val="00A83A07"/>
    <w:rsid w:val="00A83B46"/>
    <w:rsid w:val="00A8400C"/>
    <w:rsid w:val="00A85250"/>
    <w:rsid w:val="00A852D5"/>
    <w:rsid w:val="00A857AD"/>
    <w:rsid w:val="00A85B32"/>
    <w:rsid w:val="00A85E70"/>
    <w:rsid w:val="00A85EDE"/>
    <w:rsid w:val="00A862E9"/>
    <w:rsid w:val="00A86ADE"/>
    <w:rsid w:val="00A86D58"/>
    <w:rsid w:val="00A86F8D"/>
    <w:rsid w:val="00A8704D"/>
    <w:rsid w:val="00A902F8"/>
    <w:rsid w:val="00A90527"/>
    <w:rsid w:val="00A9084F"/>
    <w:rsid w:val="00A90CDA"/>
    <w:rsid w:val="00A91093"/>
    <w:rsid w:val="00A91918"/>
    <w:rsid w:val="00A91BE6"/>
    <w:rsid w:val="00A91CF0"/>
    <w:rsid w:val="00A92BB6"/>
    <w:rsid w:val="00A9318C"/>
    <w:rsid w:val="00A931C4"/>
    <w:rsid w:val="00A9327A"/>
    <w:rsid w:val="00A94212"/>
    <w:rsid w:val="00A94245"/>
    <w:rsid w:val="00A94898"/>
    <w:rsid w:val="00A94A03"/>
    <w:rsid w:val="00A94F03"/>
    <w:rsid w:val="00A952DB"/>
    <w:rsid w:val="00A9575C"/>
    <w:rsid w:val="00A96218"/>
    <w:rsid w:val="00A96762"/>
    <w:rsid w:val="00A96C59"/>
    <w:rsid w:val="00A96CAA"/>
    <w:rsid w:val="00A97E3C"/>
    <w:rsid w:val="00AA029A"/>
    <w:rsid w:val="00AA029B"/>
    <w:rsid w:val="00AA02D3"/>
    <w:rsid w:val="00AA0B5A"/>
    <w:rsid w:val="00AA0C47"/>
    <w:rsid w:val="00AA1D13"/>
    <w:rsid w:val="00AA3402"/>
    <w:rsid w:val="00AA3D56"/>
    <w:rsid w:val="00AA4668"/>
    <w:rsid w:val="00AA46A4"/>
    <w:rsid w:val="00AA47EE"/>
    <w:rsid w:val="00AA47F5"/>
    <w:rsid w:val="00AA53DB"/>
    <w:rsid w:val="00AA56A8"/>
    <w:rsid w:val="00AA56ED"/>
    <w:rsid w:val="00AA5AD5"/>
    <w:rsid w:val="00AA5B57"/>
    <w:rsid w:val="00AA6279"/>
    <w:rsid w:val="00AA6731"/>
    <w:rsid w:val="00AA6A19"/>
    <w:rsid w:val="00AA7B13"/>
    <w:rsid w:val="00AA7D59"/>
    <w:rsid w:val="00AB0165"/>
    <w:rsid w:val="00AB0315"/>
    <w:rsid w:val="00AB0FEA"/>
    <w:rsid w:val="00AB1814"/>
    <w:rsid w:val="00AB1E65"/>
    <w:rsid w:val="00AB228A"/>
    <w:rsid w:val="00AB23EE"/>
    <w:rsid w:val="00AB3255"/>
    <w:rsid w:val="00AB39A1"/>
    <w:rsid w:val="00AB438F"/>
    <w:rsid w:val="00AB4563"/>
    <w:rsid w:val="00AB555F"/>
    <w:rsid w:val="00AB65BF"/>
    <w:rsid w:val="00AB749C"/>
    <w:rsid w:val="00AB751F"/>
    <w:rsid w:val="00AB7746"/>
    <w:rsid w:val="00AC069B"/>
    <w:rsid w:val="00AC0847"/>
    <w:rsid w:val="00AC103D"/>
    <w:rsid w:val="00AC153A"/>
    <w:rsid w:val="00AC45ED"/>
    <w:rsid w:val="00AC4960"/>
    <w:rsid w:val="00AC4BC5"/>
    <w:rsid w:val="00AC5026"/>
    <w:rsid w:val="00AC50B6"/>
    <w:rsid w:val="00AC559F"/>
    <w:rsid w:val="00AC5717"/>
    <w:rsid w:val="00AC6095"/>
    <w:rsid w:val="00AC63AA"/>
    <w:rsid w:val="00AC6F39"/>
    <w:rsid w:val="00AC798F"/>
    <w:rsid w:val="00AC7D4B"/>
    <w:rsid w:val="00AD038D"/>
    <w:rsid w:val="00AD1A67"/>
    <w:rsid w:val="00AD302B"/>
    <w:rsid w:val="00AD3735"/>
    <w:rsid w:val="00AD4472"/>
    <w:rsid w:val="00AD53F7"/>
    <w:rsid w:val="00AD5AD0"/>
    <w:rsid w:val="00AD5BFB"/>
    <w:rsid w:val="00AD5FCF"/>
    <w:rsid w:val="00AD6B74"/>
    <w:rsid w:val="00AD6D06"/>
    <w:rsid w:val="00AD70FD"/>
    <w:rsid w:val="00AD7259"/>
    <w:rsid w:val="00AD7451"/>
    <w:rsid w:val="00AD759A"/>
    <w:rsid w:val="00AD7669"/>
    <w:rsid w:val="00AE032F"/>
    <w:rsid w:val="00AE0AD3"/>
    <w:rsid w:val="00AE0C70"/>
    <w:rsid w:val="00AE0CCF"/>
    <w:rsid w:val="00AE0D2C"/>
    <w:rsid w:val="00AE1213"/>
    <w:rsid w:val="00AE129E"/>
    <w:rsid w:val="00AE190C"/>
    <w:rsid w:val="00AE1BEC"/>
    <w:rsid w:val="00AE1C91"/>
    <w:rsid w:val="00AE1CE7"/>
    <w:rsid w:val="00AE27BD"/>
    <w:rsid w:val="00AE2C67"/>
    <w:rsid w:val="00AE3343"/>
    <w:rsid w:val="00AE3800"/>
    <w:rsid w:val="00AE465A"/>
    <w:rsid w:val="00AE59E0"/>
    <w:rsid w:val="00AE5E52"/>
    <w:rsid w:val="00AE66D9"/>
    <w:rsid w:val="00AE7262"/>
    <w:rsid w:val="00AE733C"/>
    <w:rsid w:val="00AE7A7D"/>
    <w:rsid w:val="00AF097D"/>
    <w:rsid w:val="00AF0DBC"/>
    <w:rsid w:val="00AF0F54"/>
    <w:rsid w:val="00AF101A"/>
    <w:rsid w:val="00AF1484"/>
    <w:rsid w:val="00AF2335"/>
    <w:rsid w:val="00AF2348"/>
    <w:rsid w:val="00AF3781"/>
    <w:rsid w:val="00AF45F1"/>
    <w:rsid w:val="00AF4A8C"/>
    <w:rsid w:val="00AF4BEB"/>
    <w:rsid w:val="00AF4F40"/>
    <w:rsid w:val="00AF5484"/>
    <w:rsid w:val="00AF56D2"/>
    <w:rsid w:val="00AF5F0C"/>
    <w:rsid w:val="00AF6067"/>
    <w:rsid w:val="00AF619F"/>
    <w:rsid w:val="00AF6851"/>
    <w:rsid w:val="00AF6A0F"/>
    <w:rsid w:val="00AF6B68"/>
    <w:rsid w:val="00AF6FA6"/>
    <w:rsid w:val="00AF7D8D"/>
    <w:rsid w:val="00B00A92"/>
    <w:rsid w:val="00B0179E"/>
    <w:rsid w:val="00B01E8E"/>
    <w:rsid w:val="00B01F23"/>
    <w:rsid w:val="00B02E96"/>
    <w:rsid w:val="00B03024"/>
    <w:rsid w:val="00B03279"/>
    <w:rsid w:val="00B03592"/>
    <w:rsid w:val="00B036D5"/>
    <w:rsid w:val="00B0445D"/>
    <w:rsid w:val="00B04B98"/>
    <w:rsid w:val="00B052F2"/>
    <w:rsid w:val="00B05340"/>
    <w:rsid w:val="00B054EE"/>
    <w:rsid w:val="00B05EA3"/>
    <w:rsid w:val="00B065C0"/>
    <w:rsid w:val="00B071AF"/>
    <w:rsid w:val="00B100DD"/>
    <w:rsid w:val="00B109D7"/>
    <w:rsid w:val="00B10BB3"/>
    <w:rsid w:val="00B10D8B"/>
    <w:rsid w:val="00B112AC"/>
    <w:rsid w:val="00B118C2"/>
    <w:rsid w:val="00B135B0"/>
    <w:rsid w:val="00B137A2"/>
    <w:rsid w:val="00B13A4B"/>
    <w:rsid w:val="00B14201"/>
    <w:rsid w:val="00B171C5"/>
    <w:rsid w:val="00B20345"/>
    <w:rsid w:val="00B20721"/>
    <w:rsid w:val="00B20F40"/>
    <w:rsid w:val="00B220BF"/>
    <w:rsid w:val="00B22643"/>
    <w:rsid w:val="00B228B5"/>
    <w:rsid w:val="00B228B9"/>
    <w:rsid w:val="00B22C30"/>
    <w:rsid w:val="00B233B2"/>
    <w:rsid w:val="00B235BD"/>
    <w:rsid w:val="00B23637"/>
    <w:rsid w:val="00B23CD6"/>
    <w:rsid w:val="00B247E3"/>
    <w:rsid w:val="00B24BF2"/>
    <w:rsid w:val="00B25272"/>
    <w:rsid w:val="00B2561D"/>
    <w:rsid w:val="00B2580A"/>
    <w:rsid w:val="00B260F1"/>
    <w:rsid w:val="00B27620"/>
    <w:rsid w:val="00B27F39"/>
    <w:rsid w:val="00B3094D"/>
    <w:rsid w:val="00B31089"/>
    <w:rsid w:val="00B3186A"/>
    <w:rsid w:val="00B321CD"/>
    <w:rsid w:val="00B3261C"/>
    <w:rsid w:val="00B326CF"/>
    <w:rsid w:val="00B326EB"/>
    <w:rsid w:val="00B32717"/>
    <w:rsid w:val="00B33812"/>
    <w:rsid w:val="00B339D1"/>
    <w:rsid w:val="00B33DFF"/>
    <w:rsid w:val="00B342C8"/>
    <w:rsid w:val="00B342D7"/>
    <w:rsid w:val="00B34C98"/>
    <w:rsid w:val="00B34D83"/>
    <w:rsid w:val="00B34DA9"/>
    <w:rsid w:val="00B355D6"/>
    <w:rsid w:val="00B35C0F"/>
    <w:rsid w:val="00B36766"/>
    <w:rsid w:val="00B37705"/>
    <w:rsid w:val="00B4028C"/>
    <w:rsid w:val="00B40512"/>
    <w:rsid w:val="00B405B5"/>
    <w:rsid w:val="00B40B6E"/>
    <w:rsid w:val="00B41E8C"/>
    <w:rsid w:val="00B41EDB"/>
    <w:rsid w:val="00B4219B"/>
    <w:rsid w:val="00B43930"/>
    <w:rsid w:val="00B43A67"/>
    <w:rsid w:val="00B43BA8"/>
    <w:rsid w:val="00B43F5A"/>
    <w:rsid w:val="00B440AD"/>
    <w:rsid w:val="00B44468"/>
    <w:rsid w:val="00B44504"/>
    <w:rsid w:val="00B44FCB"/>
    <w:rsid w:val="00B4690B"/>
    <w:rsid w:val="00B46F89"/>
    <w:rsid w:val="00B47201"/>
    <w:rsid w:val="00B47B2A"/>
    <w:rsid w:val="00B47E7E"/>
    <w:rsid w:val="00B503FE"/>
    <w:rsid w:val="00B50A02"/>
    <w:rsid w:val="00B50B23"/>
    <w:rsid w:val="00B51187"/>
    <w:rsid w:val="00B5120E"/>
    <w:rsid w:val="00B51468"/>
    <w:rsid w:val="00B514D3"/>
    <w:rsid w:val="00B5254D"/>
    <w:rsid w:val="00B529B5"/>
    <w:rsid w:val="00B52EDC"/>
    <w:rsid w:val="00B53D60"/>
    <w:rsid w:val="00B53EC6"/>
    <w:rsid w:val="00B550B5"/>
    <w:rsid w:val="00B553BD"/>
    <w:rsid w:val="00B554A0"/>
    <w:rsid w:val="00B5580B"/>
    <w:rsid w:val="00B5619A"/>
    <w:rsid w:val="00B56DF6"/>
    <w:rsid w:val="00B57225"/>
    <w:rsid w:val="00B5737B"/>
    <w:rsid w:val="00B574E4"/>
    <w:rsid w:val="00B57864"/>
    <w:rsid w:val="00B57AB4"/>
    <w:rsid w:val="00B57AED"/>
    <w:rsid w:val="00B6016D"/>
    <w:rsid w:val="00B612C2"/>
    <w:rsid w:val="00B61EFA"/>
    <w:rsid w:val="00B62771"/>
    <w:rsid w:val="00B62830"/>
    <w:rsid w:val="00B641C0"/>
    <w:rsid w:val="00B641C5"/>
    <w:rsid w:val="00B652E1"/>
    <w:rsid w:val="00B65478"/>
    <w:rsid w:val="00B662D3"/>
    <w:rsid w:val="00B66572"/>
    <w:rsid w:val="00B66665"/>
    <w:rsid w:val="00B66F39"/>
    <w:rsid w:val="00B67180"/>
    <w:rsid w:val="00B67EAE"/>
    <w:rsid w:val="00B70167"/>
    <w:rsid w:val="00B70230"/>
    <w:rsid w:val="00B705C9"/>
    <w:rsid w:val="00B7108F"/>
    <w:rsid w:val="00B7152D"/>
    <w:rsid w:val="00B715F1"/>
    <w:rsid w:val="00B71667"/>
    <w:rsid w:val="00B717B7"/>
    <w:rsid w:val="00B719E6"/>
    <w:rsid w:val="00B71C6F"/>
    <w:rsid w:val="00B72618"/>
    <w:rsid w:val="00B729A6"/>
    <w:rsid w:val="00B72FE8"/>
    <w:rsid w:val="00B73CA5"/>
    <w:rsid w:val="00B7424E"/>
    <w:rsid w:val="00B75F41"/>
    <w:rsid w:val="00B765EB"/>
    <w:rsid w:val="00B76AB3"/>
    <w:rsid w:val="00B76EFA"/>
    <w:rsid w:val="00B77313"/>
    <w:rsid w:val="00B77563"/>
    <w:rsid w:val="00B77743"/>
    <w:rsid w:val="00B77988"/>
    <w:rsid w:val="00B77EEC"/>
    <w:rsid w:val="00B8025B"/>
    <w:rsid w:val="00B80399"/>
    <w:rsid w:val="00B809BC"/>
    <w:rsid w:val="00B80D6F"/>
    <w:rsid w:val="00B810BB"/>
    <w:rsid w:val="00B81A84"/>
    <w:rsid w:val="00B823C5"/>
    <w:rsid w:val="00B8254A"/>
    <w:rsid w:val="00B8334C"/>
    <w:rsid w:val="00B8361D"/>
    <w:rsid w:val="00B838EC"/>
    <w:rsid w:val="00B83FDC"/>
    <w:rsid w:val="00B8412E"/>
    <w:rsid w:val="00B85032"/>
    <w:rsid w:val="00B855A0"/>
    <w:rsid w:val="00B85655"/>
    <w:rsid w:val="00B85BD9"/>
    <w:rsid w:val="00B85C8F"/>
    <w:rsid w:val="00B86441"/>
    <w:rsid w:val="00B867A3"/>
    <w:rsid w:val="00B86DF0"/>
    <w:rsid w:val="00B87513"/>
    <w:rsid w:val="00B9006F"/>
    <w:rsid w:val="00B90126"/>
    <w:rsid w:val="00B9092A"/>
    <w:rsid w:val="00B91139"/>
    <w:rsid w:val="00B91576"/>
    <w:rsid w:val="00B91623"/>
    <w:rsid w:val="00B918F7"/>
    <w:rsid w:val="00B92AAD"/>
    <w:rsid w:val="00B92B52"/>
    <w:rsid w:val="00B92FAC"/>
    <w:rsid w:val="00B932D2"/>
    <w:rsid w:val="00B9398C"/>
    <w:rsid w:val="00B93EB8"/>
    <w:rsid w:val="00B94231"/>
    <w:rsid w:val="00B9441E"/>
    <w:rsid w:val="00B94867"/>
    <w:rsid w:val="00B94FDB"/>
    <w:rsid w:val="00B95AEB"/>
    <w:rsid w:val="00B95DAE"/>
    <w:rsid w:val="00B96DF1"/>
    <w:rsid w:val="00B97C65"/>
    <w:rsid w:val="00BA0C5D"/>
    <w:rsid w:val="00BA16D9"/>
    <w:rsid w:val="00BA1E71"/>
    <w:rsid w:val="00BA2226"/>
    <w:rsid w:val="00BA2708"/>
    <w:rsid w:val="00BA28A4"/>
    <w:rsid w:val="00BA30E8"/>
    <w:rsid w:val="00BA366F"/>
    <w:rsid w:val="00BA36AD"/>
    <w:rsid w:val="00BA37EE"/>
    <w:rsid w:val="00BA3C97"/>
    <w:rsid w:val="00BA44DB"/>
    <w:rsid w:val="00BA48CB"/>
    <w:rsid w:val="00BA57F6"/>
    <w:rsid w:val="00BA6085"/>
    <w:rsid w:val="00BA64D4"/>
    <w:rsid w:val="00BA6D37"/>
    <w:rsid w:val="00BA70CE"/>
    <w:rsid w:val="00BA728C"/>
    <w:rsid w:val="00BA72D5"/>
    <w:rsid w:val="00BA7951"/>
    <w:rsid w:val="00BB0037"/>
    <w:rsid w:val="00BB00D2"/>
    <w:rsid w:val="00BB0CE0"/>
    <w:rsid w:val="00BB201A"/>
    <w:rsid w:val="00BB241F"/>
    <w:rsid w:val="00BB2452"/>
    <w:rsid w:val="00BB2B21"/>
    <w:rsid w:val="00BB3F6C"/>
    <w:rsid w:val="00BB4177"/>
    <w:rsid w:val="00BB52D7"/>
    <w:rsid w:val="00BB64C8"/>
    <w:rsid w:val="00BB651B"/>
    <w:rsid w:val="00BB6638"/>
    <w:rsid w:val="00BB6822"/>
    <w:rsid w:val="00BB6AB3"/>
    <w:rsid w:val="00BB6B2E"/>
    <w:rsid w:val="00BB701E"/>
    <w:rsid w:val="00BB70AB"/>
    <w:rsid w:val="00BB789B"/>
    <w:rsid w:val="00BC0434"/>
    <w:rsid w:val="00BC057B"/>
    <w:rsid w:val="00BC12FF"/>
    <w:rsid w:val="00BC14A1"/>
    <w:rsid w:val="00BC192F"/>
    <w:rsid w:val="00BC1EDD"/>
    <w:rsid w:val="00BC1FF0"/>
    <w:rsid w:val="00BC228A"/>
    <w:rsid w:val="00BC433E"/>
    <w:rsid w:val="00BC4A60"/>
    <w:rsid w:val="00BC4F18"/>
    <w:rsid w:val="00BC5324"/>
    <w:rsid w:val="00BC6DE3"/>
    <w:rsid w:val="00BC7047"/>
    <w:rsid w:val="00BC7438"/>
    <w:rsid w:val="00BC74CA"/>
    <w:rsid w:val="00BC75D2"/>
    <w:rsid w:val="00BC7610"/>
    <w:rsid w:val="00BD03E2"/>
    <w:rsid w:val="00BD0B21"/>
    <w:rsid w:val="00BD0E24"/>
    <w:rsid w:val="00BD10AD"/>
    <w:rsid w:val="00BD115B"/>
    <w:rsid w:val="00BD24BD"/>
    <w:rsid w:val="00BD24F6"/>
    <w:rsid w:val="00BD25F1"/>
    <w:rsid w:val="00BD303C"/>
    <w:rsid w:val="00BD3189"/>
    <w:rsid w:val="00BD35FE"/>
    <w:rsid w:val="00BD3918"/>
    <w:rsid w:val="00BD4318"/>
    <w:rsid w:val="00BD4417"/>
    <w:rsid w:val="00BD450C"/>
    <w:rsid w:val="00BD4CF5"/>
    <w:rsid w:val="00BD56C9"/>
    <w:rsid w:val="00BD5AFC"/>
    <w:rsid w:val="00BD62FE"/>
    <w:rsid w:val="00BD68DB"/>
    <w:rsid w:val="00BD6C1A"/>
    <w:rsid w:val="00BD6D22"/>
    <w:rsid w:val="00BD6D47"/>
    <w:rsid w:val="00BD6F98"/>
    <w:rsid w:val="00BD7256"/>
    <w:rsid w:val="00BD7826"/>
    <w:rsid w:val="00BD79EE"/>
    <w:rsid w:val="00BD7AD4"/>
    <w:rsid w:val="00BD7D89"/>
    <w:rsid w:val="00BD7E38"/>
    <w:rsid w:val="00BE08EF"/>
    <w:rsid w:val="00BE0D2B"/>
    <w:rsid w:val="00BE0EE1"/>
    <w:rsid w:val="00BE10B3"/>
    <w:rsid w:val="00BE1533"/>
    <w:rsid w:val="00BE15A4"/>
    <w:rsid w:val="00BE15B3"/>
    <w:rsid w:val="00BE198A"/>
    <w:rsid w:val="00BE1B5C"/>
    <w:rsid w:val="00BE1C7A"/>
    <w:rsid w:val="00BE1FBA"/>
    <w:rsid w:val="00BE25BC"/>
    <w:rsid w:val="00BE30C9"/>
    <w:rsid w:val="00BE3E2B"/>
    <w:rsid w:val="00BE4250"/>
    <w:rsid w:val="00BE4A30"/>
    <w:rsid w:val="00BE598A"/>
    <w:rsid w:val="00BE5BF7"/>
    <w:rsid w:val="00BE5F01"/>
    <w:rsid w:val="00BE64DB"/>
    <w:rsid w:val="00BE6938"/>
    <w:rsid w:val="00BE6983"/>
    <w:rsid w:val="00BE72C5"/>
    <w:rsid w:val="00BE74DB"/>
    <w:rsid w:val="00BE756B"/>
    <w:rsid w:val="00BE7994"/>
    <w:rsid w:val="00BE7B52"/>
    <w:rsid w:val="00BF0AF9"/>
    <w:rsid w:val="00BF0D65"/>
    <w:rsid w:val="00BF11A9"/>
    <w:rsid w:val="00BF1BA8"/>
    <w:rsid w:val="00BF2802"/>
    <w:rsid w:val="00BF28B6"/>
    <w:rsid w:val="00BF28E9"/>
    <w:rsid w:val="00BF2A93"/>
    <w:rsid w:val="00BF2BB5"/>
    <w:rsid w:val="00BF2D0A"/>
    <w:rsid w:val="00BF2FCF"/>
    <w:rsid w:val="00BF34CF"/>
    <w:rsid w:val="00BF353F"/>
    <w:rsid w:val="00BF3A6D"/>
    <w:rsid w:val="00BF46B3"/>
    <w:rsid w:val="00BF4EB0"/>
    <w:rsid w:val="00BF4F3E"/>
    <w:rsid w:val="00BF51A9"/>
    <w:rsid w:val="00BF51BC"/>
    <w:rsid w:val="00BF5569"/>
    <w:rsid w:val="00BF5D93"/>
    <w:rsid w:val="00BF6046"/>
    <w:rsid w:val="00BF6130"/>
    <w:rsid w:val="00BF6B8B"/>
    <w:rsid w:val="00BF6C97"/>
    <w:rsid w:val="00BF79B3"/>
    <w:rsid w:val="00C011BC"/>
    <w:rsid w:val="00C01221"/>
    <w:rsid w:val="00C01990"/>
    <w:rsid w:val="00C01EE8"/>
    <w:rsid w:val="00C0254E"/>
    <w:rsid w:val="00C03F56"/>
    <w:rsid w:val="00C0400E"/>
    <w:rsid w:val="00C04144"/>
    <w:rsid w:val="00C04EE1"/>
    <w:rsid w:val="00C0561A"/>
    <w:rsid w:val="00C06436"/>
    <w:rsid w:val="00C06DFF"/>
    <w:rsid w:val="00C07A22"/>
    <w:rsid w:val="00C1012A"/>
    <w:rsid w:val="00C10185"/>
    <w:rsid w:val="00C1076B"/>
    <w:rsid w:val="00C107AF"/>
    <w:rsid w:val="00C10C47"/>
    <w:rsid w:val="00C120A3"/>
    <w:rsid w:val="00C12499"/>
    <w:rsid w:val="00C12789"/>
    <w:rsid w:val="00C13252"/>
    <w:rsid w:val="00C136AB"/>
    <w:rsid w:val="00C13A98"/>
    <w:rsid w:val="00C13B59"/>
    <w:rsid w:val="00C13D1F"/>
    <w:rsid w:val="00C13D68"/>
    <w:rsid w:val="00C13EA9"/>
    <w:rsid w:val="00C1449C"/>
    <w:rsid w:val="00C14824"/>
    <w:rsid w:val="00C14D35"/>
    <w:rsid w:val="00C15C63"/>
    <w:rsid w:val="00C162DD"/>
    <w:rsid w:val="00C16662"/>
    <w:rsid w:val="00C16EAC"/>
    <w:rsid w:val="00C17B88"/>
    <w:rsid w:val="00C17CD7"/>
    <w:rsid w:val="00C17D0B"/>
    <w:rsid w:val="00C17D64"/>
    <w:rsid w:val="00C20297"/>
    <w:rsid w:val="00C205F5"/>
    <w:rsid w:val="00C224EF"/>
    <w:rsid w:val="00C22790"/>
    <w:rsid w:val="00C2288B"/>
    <w:rsid w:val="00C2386D"/>
    <w:rsid w:val="00C23B94"/>
    <w:rsid w:val="00C25023"/>
    <w:rsid w:val="00C250C0"/>
    <w:rsid w:val="00C25A21"/>
    <w:rsid w:val="00C2600A"/>
    <w:rsid w:val="00C26466"/>
    <w:rsid w:val="00C26F21"/>
    <w:rsid w:val="00C272CC"/>
    <w:rsid w:val="00C308C4"/>
    <w:rsid w:val="00C31ADA"/>
    <w:rsid w:val="00C31AE7"/>
    <w:rsid w:val="00C32295"/>
    <w:rsid w:val="00C323AD"/>
    <w:rsid w:val="00C325B7"/>
    <w:rsid w:val="00C32683"/>
    <w:rsid w:val="00C32B7F"/>
    <w:rsid w:val="00C32F4D"/>
    <w:rsid w:val="00C33560"/>
    <w:rsid w:val="00C335CD"/>
    <w:rsid w:val="00C336FD"/>
    <w:rsid w:val="00C346A8"/>
    <w:rsid w:val="00C34857"/>
    <w:rsid w:val="00C349A2"/>
    <w:rsid w:val="00C35D52"/>
    <w:rsid w:val="00C363EE"/>
    <w:rsid w:val="00C3659D"/>
    <w:rsid w:val="00C3683B"/>
    <w:rsid w:val="00C36C8D"/>
    <w:rsid w:val="00C36CE3"/>
    <w:rsid w:val="00C36D56"/>
    <w:rsid w:val="00C4089B"/>
    <w:rsid w:val="00C40F66"/>
    <w:rsid w:val="00C41BF9"/>
    <w:rsid w:val="00C41C50"/>
    <w:rsid w:val="00C42165"/>
    <w:rsid w:val="00C42F1D"/>
    <w:rsid w:val="00C439C4"/>
    <w:rsid w:val="00C44949"/>
    <w:rsid w:val="00C44ADE"/>
    <w:rsid w:val="00C4545F"/>
    <w:rsid w:val="00C458B7"/>
    <w:rsid w:val="00C4614B"/>
    <w:rsid w:val="00C46342"/>
    <w:rsid w:val="00C46457"/>
    <w:rsid w:val="00C47685"/>
    <w:rsid w:val="00C47F39"/>
    <w:rsid w:val="00C47F4D"/>
    <w:rsid w:val="00C47FD7"/>
    <w:rsid w:val="00C51945"/>
    <w:rsid w:val="00C51989"/>
    <w:rsid w:val="00C5204B"/>
    <w:rsid w:val="00C521F8"/>
    <w:rsid w:val="00C52345"/>
    <w:rsid w:val="00C52CD7"/>
    <w:rsid w:val="00C52F65"/>
    <w:rsid w:val="00C531EF"/>
    <w:rsid w:val="00C53CFC"/>
    <w:rsid w:val="00C5401E"/>
    <w:rsid w:val="00C54121"/>
    <w:rsid w:val="00C5582B"/>
    <w:rsid w:val="00C55CAB"/>
    <w:rsid w:val="00C564EE"/>
    <w:rsid w:val="00C5651E"/>
    <w:rsid w:val="00C5729D"/>
    <w:rsid w:val="00C57393"/>
    <w:rsid w:val="00C578E8"/>
    <w:rsid w:val="00C60001"/>
    <w:rsid w:val="00C60E36"/>
    <w:rsid w:val="00C6121B"/>
    <w:rsid w:val="00C61521"/>
    <w:rsid w:val="00C62693"/>
    <w:rsid w:val="00C632AF"/>
    <w:rsid w:val="00C6357B"/>
    <w:rsid w:val="00C64C16"/>
    <w:rsid w:val="00C64DC8"/>
    <w:rsid w:val="00C6527A"/>
    <w:rsid w:val="00C65731"/>
    <w:rsid w:val="00C6585D"/>
    <w:rsid w:val="00C65885"/>
    <w:rsid w:val="00C65B10"/>
    <w:rsid w:val="00C6708F"/>
    <w:rsid w:val="00C700EB"/>
    <w:rsid w:val="00C7059B"/>
    <w:rsid w:val="00C71178"/>
    <w:rsid w:val="00C71201"/>
    <w:rsid w:val="00C713BD"/>
    <w:rsid w:val="00C723E6"/>
    <w:rsid w:val="00C7255A"/>
    <w:rsid w:val="00C7296A"/>
    <w:rsid w:val="00C73FA1"/>
    <w:rsid w:val="00C7401C"/>
    <w:rsid w:val="00C74ACE"/>
    <w:rsid w:val="00C75487"/>
    <w:rsid w:val="00C75E7A"/>
    <w:rsid w:val="00C76351"/>
    <w:rsid w:val="00C765B6"/>
    <w:rsid w:val="00C76F04"/>
    <w:rsid w:val="00C77381"/>
    <w:rsid w:val="00C7747C"/>
    <w:rsid w:val="00C77499"/>
    <w:rsid w:val="00C80694"/>
    <w:rsid w:val="00C80921"/>
    <w:rsid w:val="00C80C21"/>
    <w:rsid w:val="00C81336"/>
    <w:rsid w:val="00C818E5"/>
    <w:rsid w:val="00C81B4D"/>
    <w:rsid w:val="00C82A97"/>
    <w:rsid w:val="00C82A9C"/>
    <w:rsid w:val="00C82B80"/>
    <w:rsid w:val="00C82D32"/>
    <w:rsid w:val="00C830BF"/>
    <w:rsid w:val="00C84063"/>
    <w:rsid w:val="00C84358"/>
    <w:rsid w:val="00C84619"/>
    <w:rsid w:val="00C84E15"/>
    <w:rsid w:val="00C859C0"/>
    <w:rsid w:val="00C85E44"/>
    <w:rsid w:val="00C86469"/>
    <w:rsid w:val="00C86A79"/>
    <w:rsid w:val="00C86F4E"/>
    <w:rsid w:val="00C87B34"/>
    <w:rsid w:val="00C908C2"/>
    <w:rsid w:val="00C91277"/>
    <w:rsid w:val="00C91961"/>
    <w:rsid w:val="00C91C96"/>
    <w:rsid w:val="00C92266"/>
    <w:rsid w:val="00C9281E"/>
    <w:rsid w:val="00C92EB7"/>
    <w:rsid w:val="00C93071"/>
    <w:rsid w:val="00C931D2"/>
    <w:rsid w:val="00C93936"/>
    <w:rsid w:val="00C94C5B"/>
    <w:rsid w:val="00C94D70"/>
    <w:rsid w:val="00C94DE9"/>
    <w:rsid w:val="00C954A9"/>
    <w:rsid w:val="00C9626C"/>
    <w:rsid w:val="00C9628F"/>
    <w:rsid w:val="00C96B98"/>
    <w:rsid w:val="00C96C07"/>
    <w:rsid w:val="00C96D7B"/>
    <w:rsid w:val="00C97488"/>
    <w:rsid w:val="00C97537"/>
    <w:rsid w:val="00C9770B"/>
    <w:rsid w:val="00C97832"/>
    <w:rsid w:val="00CA0B1F"/>
    <w:rsid w:val="00CA1139"/>
    <w:rsid w:val="00CA11BA"/>
    <w:rsid w:val="00CA1369"/>
    <w:rsid w:val="00CA1AA0"/>
    <w:rsid w:val="00CA1E12"/>
    <w:rsid w:val="00CA1FDD"/>
    <w:rsid w:val="00CA339E"/>
    <w:rsid w:val="00CA3A4F"/>
    <w:rsid w:val="00CA3F6A"/>
    <w:rsid w:val="00CA4C88"/>
    <w:rsid w:val="00CA4F0B"/>
    <w:rsid w:val="00CA5318"/>
    <w:rsid w:val="00CA5EE7"/>
    <w:rsid w:val="00CA6CA0"/>
    <w:rsid w:val="00CA6FC0"/>
    <w:rsid w:val="00CA712E"/>
    <w:rsid w:val="00CB0A03"/>
    <w:rsid w:val="00CB0DE1"/>
    <w:rsid w:val="00CB1213"/>
    <w:rsid w:val="00CB156A"/>
    <w:rsid w:val="00CB1EC5"/>
    <w:rsid w:val="00CB3697"/>
    <w:rsid w:val="00CB4578"/>
    <w:rsid w:val="00CB4E1C"/>
    <w:rsid w:val="00CB545D"/>
    <w:rsid w:val="00CB5D3E"/>
    <w:rsid w:val="00CB5F40"/>
    <w:rsid w:val="00CB6BCB"/>
    <w:rsid w:val="00CB76B4"/>
    <w:rsid w:val="00CB7AAF"/>
    <w:rsid w:val="00CB7E99"/>
    <w:rsid w:val="00CC0030"/>
    <w:rsid w:val="00CC0297"/>
    <w:rsid w:val="00CC0866"/>
    <w:rsid w:val="00CC1516"/>
    <w:rsid w:val="00CC156A"/>
    <w:rsid w:val="00CC166C"/>
    <w:rsid w:val="00CC2C36"/>
    <w:rsid w:val="00CC33A1"/>
    <w:rsid w:val="00CC3C3C"/>
    <w:rsid w:val="00CC4168"/>
    <w:rsid w:val="00CC458E"/>
    <w:rsid w:val="00CC4F55"/>
    <w:rsid w:val="00CC564E"/>
    <w:rsid w:val="00CC59D8"/>
    <w:rsid w:val="00CC5FFC"/>
    <w:rsid w:val="00CC61C9"/>
    <w:rsid w:val="00CC631F"/>
    <w:rsid w:val="00CC6FBC"/>
    <w:rsid w:val="00CC78F3"/>
    <w:rsid w:val="00CD01B9"/>
    <w:rsid w:val="00CD01EF"/>
    <w:rsid w:val="00CD0908"/>
    <w:rsid w:val="00CD10B2"/>
    <w:rsid w:val="00CD1477"/>
    <w:rsid w:val="00CD1967"/>
    <w:rsid w:val="00CD2263"/>
    <w:rsid w:val="00CD234E"/>
    <w:rsid w:val="00CD2AB6"/>
    <w:rsid w:val="00CD3C4E"/>
    <w:rsid w:val="00CD3F29"/>
    <w:rsid w:val="00CD493B"/>
    <w:rsid w:val="00CD5226"/>
    <w:rsid w:val="00CD5A16"/>
    <w:rsid w:val="00CD5AD8"/>
    <w:rsid w:val="00CD61FE"/>
    <w:rsid w:val="00CD648A"/>
    <w:rsid w:val="00CD67E0"/>
    <w:rsid w:val="00CD6878"/>
    <w:rsid w:val="00CD6B6A"/>
    <w:rsid w:val="00CD6CD4"/>
    <w:rsid w:val="00CD6CE9"/>
    <w:rsid w:val="00CD6DA3"/>
    <w:rsid w:val="00CD75E5"/>
    <w:rsid w:val="00CD7BCC"/>
    <w:rsid w:val="00CE02DA"/>
    <w:rsid w:val="00CE08E4"/>
    <w:rsid w:val="00CE0911"/>
    <w:rsid w:val="00CE15CD"/>
    <w:rsid w:val="00CE17A2"/>
    <w:rsid w:val="00CE18B1"/>
    <w:rsid w:val="00CE2053"/>
    <w:rsid w:val="00CE20C7"/>
    <w:rsid w:val="00CE24E0"/>
    <w:rsid w:val="00CE2594"/>
    <w:rsid w:val="00CE2D73"/>
    <w:rsid w:val="00CE3367"/>
    <w:rsid w:val="00CE3453"/>
    <w:rsid w:val="00CE4DC9"/>
    <w:rsid w:val="00CE5073"/>
    <w:rsid w:val="00CE5231"/>
    <w:rsid w:val="00CE5B76"/>
    <w:rsid w:val="00CE5CE3"/>
    <w:rsid w:val="00CE61C4"/>
    <w:rsid w:val="00CE75F2"/>
    <w:rsid w:val="00CE7761"/>
    <w:rsid w:val="00CE7829"/>
    <w:rsid w:val="00CF0902"/>
    <w:rsid w:val="00CF17F0"/>
    <w:rsid w:val="00CF1B7D"/>
    <w:rsid w:val="00CF20AC"/>
    <w:rsid w:val="00CF2215"/>
    <w:rsid w:val="00CF25A1"/>
    <w:rsid w:val="00CF27E5"/>
    <w:rsid w:val="00CF354C"/>
    <w:rsid w:val="00CF3DE8"/>
    <w:rsid w:val="00CF452E"/>
    <w:rsid w:val="00CF4C39"/>
    <w:rsid w:val="00CF4FF5"/>
    <w:rsid w:val="00CF5255"/>
    <w:rsid w:val="00CF65DD"/>
    <w:rsid w:val="00CF6B6D"/>
    <w:rsid w:val="00CF6CCF"/>
    <w:rsid w:val="00CF7392"/>
    <w:rsid w:val="00CF7954"/>
    <w:rsid w:val="00CF79A9"/>
    <w:rsid w:val="00CF7FF3"/>
    <w:rsid w:val="00D00725"/>
    <w:rsid w:val="00D00AC0"/>
    <w:rsid w:val="00D00DE3"/>
    <w:rsid w:val="00D0102C"/>
    <w:rsid w:val="00D01145"/>
    <w:rsid w:val="00D01166"/>
    <w:rsid w:val="00D018C7"/>
    <w:rsid w:val="00D01AEC"/>
    <w:rsid w:val="00D02AA7"/>
    <w:rsid w:val="00D02EAF"/>
    <w:rsid w:val="00D033E6"/>
    <w:rsid w:val="00D03537"/>
    <w:rsid w:val="00D04AD4"/>
    <w:rsid w:val="00D04F6C"/>
    <w:rsid w:val="00D070BF"/>
    <w:rsid w:val="00D07B47"/>
    <w:rsid w:val="00D10194"/>
    <w:rsid w:val="00D10704"/>
    <w:rsid w:val="00D10CA9"/>
    <w:rsid w:val="00D1123D"/>
    <w:rsid w:val="00D11530"/>
    <w:rsid w:val="00D11805"/>
    <w:rsid w:val="00D11B7E"/>
    <w:rsid w:val="00D11F63"/>
    <w:rsid w:val="00D1245B"/>
    <w:rsid w:val="00D128AC"/>
    <w:rsid w:val="00D141E0"/>
    <w:rsid w:val="00D14898"/>
    <w:rsid w:val="00D14D4B"/>
    <w:rsid w:val="00D15B32"/>
    <w:rsid w:val="00D16420"/>
    <w:rsid w:val="00D16EFF"/>
    <w:rsid w:val="00D16F47"/>
    <w:rsid w:val="00D208F1"/>
    <w:rsid w:val="00D2092C"/>
    <w:rsid w:val="00D20CDE"/>
    <w:rsid w:val="00D21DCE"/>
    <w:rsid w:val="00D21E62"/>
    <w:rsid w:val="00D22BAA"/>
    <w:rsid w:val="00D22D1B"/>
    <w:rsid w:val="00D230E2"/>
    <w:rsid w:val="00D233F8"/>
    <w:rsid w:val="00D2348A"/>
    <w:rsid w:val="00D23880"/>
    <w:rsid w:val="00D23925"/>
    <w:rsid w:val="00D23D02"/>
    <w:rsid w:val="00D23F79"/>
    <w:rsid w:val="00D2445E"/>
    <w:rsid w:val="00D24A87"/>
    <w:rsid w:val="00D24F1C"/>
    <w:rsid w:val="00D2510D"/>
    <w:rsid w:val="00D25933"/>
    <w:rsid w:val="00D2628F"/>
    <w:rsid w:val="00D26693"/>
    <w:rsid w:val="00D26D70"/>
    <w:rsid w:val="00D26E06"/>
    <w:rsid w:val="00D273CD"/>
    <w:rsid w:val="00D27544"/>
    <w:rsid w:val="00D27800"/>
    <w:rsid w:val="00D309C8"/>
    <w:rsid w:val="00D31963"/>
    <w:rsid w:val="00D31DD0"/>
    <w:rsid w:val="00D320E2"/>
    <w:rsid w:val="00D323A1"/>
    <w:rsid w:val="00D32C6F"/>
    <w:rsid w:val="00D336A0"/>
    <w:rsid w:val="00D33883"/>
    <w:rsid w:val="00D340B3"/>
    <w:rsid w:val="00D34146"/>
    <w:rsid w:val="00D34FB3"/>
    <w:rsid w:val="00D35313"/>
    <w:rsid w:val="00D35682"/>
    <w:rsid w:val="00D35812"/>
    <w:rsid w:val="00D35875"/>
    <w:rsid w:val="00D3594B"/>
    <w:rsid w:val="00D360CD"/>
    <w:rsid w:val="00D368EA"/>
    <w:rsid w:val="00D36C1E"/>
    <w:rsid w:val="00D36C78"/>
    <w:rsid w:val="00D37241"/>
    <w:rsid w:val="00D37C7F"/>
    <w:rsid w:val="00D37CD9"/>
    <w:rsid w:val="00D417CB"/>
    <w:rsid w:val="00D42775"/>
    <w:rsid w:val="00D43BA3"/>
    <w:rsid w:val="00D43D63"/>
    <w:rsid w:val="00D43E06"/>
    <w:rsid w:val="00D44DA3"/>
    <w:rsid w:val="00D45553"/>
    <w:rsid w:val="00D45887"/>
    <w:rsid w:val="00D46446"/>
    <w:rsid w:val="00D46CB7"/>
    <w:rsid w:val="00D4724E"/>
    <w:rsid w:val="00D47D6C"/>
    <w:rsid w:val="00D47E0C"/>
    <w:rsid w:val="00D50631"/>
    <w:rsid w:val="00D508C4"/>
    <w:rsid w:val="00D50EF7"/>
    <w:rsid w:val="00D51E9F"/>
    <w:rsid w:val="00D524B7"/>
    <w:rsid w:val="00D53025"/>
    <w:rsid w:val="00D532B0"/>
    <w:rsid w:val="00D53EBE"/>
    <w:rsid w:val="00D541DF"/>
    <w:rsid w:val="00D544A4"/>
    <w:rsid w:val="00D5461C"/>
    <w:rsid w:val="00D562D9"/>
    <w:rsid w:val="00D5695A"/>
    <w:rsid w:val="00D56D6E"/>
    <w:rsid w:val="00D6041A"/>
    <w:rsid w:val="00D606BE"/>
    <w:rsid w:val="00D6087E"/>
    <w:rsid w:val="00D63BD5"/>
    <w:rsid w:val="00D63DCF"/>
    <w:rsid w:val="00D63F08"/>
    <w:rsid w:val="00D64582"/>
    <w:rsid w:val="00D646E1"/>
    <w:rsid w:val="00D64746"/>
    <w:rsid w:val="00D648B1"/>
    <w:rsid w:val="00D65D65"/>
    <w:rsid w:val="00D65EF6"/>
    <w:rsid w:val="00D67E36"/>
    <w:rsid w:val="00D7051A"/>
    <w:rsid w:val="00D7064C"/>
    <w:rsid w:val="00D70B84"/>
    <w:rsid w:val="00D71275"/>
    <w:rsid w:val="00D7150C"/>
    <w:rsid w:val="00D71866"/>
    <w:rsid w:val="00D718EF"/>
    <w:rsid w:val="00D71B95"/>
    <w:rsid w:val="00D72610"/>
    <w:rsid w:val="00D728A9"/>
    <w:rsid w:val="00D75951"/>
    <w:rsid w:val="00D75A41"/>
    <w:rsid w:val="00D75D68"/>
    <w:rsid w:val="00D774BB"/>
    <w:rsid w:val="00D775BB"/>
    <w:rsid w:val="00D775BF"/>
    <w:rsid w:val="00D8010F"/>
    <w:rsid w:val="00D8011D"/>
    <w:rsid w:val="00D80AC8"/>
    <w:rsid w:val="00D80CB1"/>
    <w:rsid w:val="00D81032"/>
    <w:rsid w:val="00D8109C"/>
    <w:rsid w:val="00D81719"/>
    <w:rsid w:val="00D81D3F"/>
    <w:rsid w:val="00D82EAE"/>
    <w:rsid w:val="00D8565B"/>
    <w:rsid w:val="00D85932"/>
    <w:rsid w:val="00D85C4F"/>
    <w:rsid w:val="00D86090"/>
    <w:rsid w:val="00D8692E"/>
    <w:rsid w:val="00D86C1C"/>
    <w:rsid w:val="00D876EF"/>
    <w:rsid w:val="00D87C68"/>
    <w:rsid w:val="00D903D3"/>
    <w:rsid w:val="00D9052F"/>
    <w:rsid w:val="00D90826"/>
    <w:rsid w:val="00D90BCE"/>
    <w:rsid w:val="00D90EB6"/>
    <w:rsid w:val="00D90F29"/>
    <w:rsid w:val="00D9120F"/>
    <w:rsid w:val="00D913DA"/>
    <w:rsid w:val="00D92227"/>
    <w:rsid w:val="00D925F1"/>
    <w:rsid w:val="00D92ACF"/>
    <w:rsid w:val="00D92FD5"/>
    <w:rsid w:val="00D93692"/>
    <w:rsid w:val="00D945C7"/>
    <w:rsid w:val="00D95164"/>
    <w:rsid w:val="00D954E8"/>
    <w:rsid w:val="00D95EC4"/>
    <w:rsid w:val="00D961CD"/>
    <w:rsid w:val="00D966BF"/>
    <w:rsid w:val="00D9682F"/>
    <w:rsid w:val="00D96BD1"/>
    <w:rsid w:val="00D96F73"/>
    <w:rsid w:val="00D96FB9"/>
    <w:rsid w:val="00D973A9"/>
    <w:rsid w:val="00DA01A6"/>
    <w:rsid w:val="00DA0793"/>
    <w:rsid w:val="00DA0B63"/>
    <w:rsid w:val="00DA1651"/>
    <w:rsid w:val="00DA197C"/>
    <w:rsid w:val="00DA2096"/>
    <w:rsid w:val="00DA212B"/>
    <w:rsid w:val="00DA2590"/>
    <w:rsid w:val="00DA30E5"/>
    <w:rsid w:val="00DA39A6"/>
    <w:rsid w:val="00DA3AB9"/>
    <w:rsid w:val="00DA3C3F"/>
    <w:rsid w:val="00DA42FA"/>
    <w:rsid w:val="00DA430E"/>
    <w:rsid w:val="00DA4A44"/>
    <w:rsid w:val="00DA51E9"/>
    <w:rsid w:val="00DA5604"/>
    <w:rsid w:val="00DA62A2"/>
    <w:rsid w:val="00DA6888"/>
    <w:rsid w:val="00DA6BCD"/>
    <w:rsid w:val="00DA71D7"/>
    <w:rsid w:val="00DA7545"/>
    <w:rsid w:val="00DB0508"/>
    <w:rsid w:val="00DB181A"/>
    <w:rsid w:val="00DB1BE2"/>
    <w:rsid w:val="00DB1D28"/>
    <w:rsid w:val="00DB1E84"/>
    <w:rsid w:val="00DB22C6"/>
    <w:rsid w:val="00DB23F3"/>
    <w:rsid w:val="00DB2E82"/>
    <w:rsid w:val="00DB33B9"/>
    <w:rsid w:val="00DB401A"/>
    <w:rsid w:val="00DB4DF5"/>
    <w:rsid w:val="00DB5E05"/>
    <w:rsid w:val="00DB65CC"/>
    <w:rsid w:val="00DB6EF6"/>
    <w:rsid w:val="00DB773E"/>
    <w:rsid w:val="00DC045A"/>
    <w:rsid w:val="00DC0F9A"/>
    <w:rsid w:val="00DC12E2"/>
    <w:rsid w:val="00DC12E5"/>
    <w:rsid w:val="00DC16EF"/>
    <w:rsid w:val="00DC2243"/>
    <w:rsid w:val="00DC23B4"/>
    <w:rsid w:val="00DC2877"/>
    <w:rsid w:val="00DC29A2"/>
    <w:rsid w:val="00DC2E58"/>
    <w:rsid w:val="00DC3756"/>
    <w:rsid w:val="00DC421A"/>
    <w:rsid w:val="00DC4413"/>
    <w:rsid w:val="00DC507D"/>
    <w:rsid w:val="00DC5152"/>
    <w:rsid w:val="00DC5908"/>
    <w:rsid w:val="00DC59BC"/>
    <w:rsid w:val="00DC617D"/>
    <w:rsid w:val="00DC6591"/>
    <w:rsid w:val="00DC69C3"/>
    <w:rsid w:val="00DC6E52"/>
    <w:rsid w:val="00DC70ED"/>
    <w:rsid w:val="00DC712D"/>
    <w:rsid w:val="00DC762A"/>
    <w:rsid w:val="00DC7C72"/>
    <w:rsid w:val="00DD035D"/>
    <w:rsid w:val="00DD0539"/>
    <w:rsid w:val="00DD0AFF"/>
    <w:rsid w:val="00DD0F56"/>
    <w:rsid w:val="00DD117E"/>
    <w:rsid w:val="00DD1742"/>
    <w:rsid w:val="00DD1B49"/>
    <w:rsid w:val="00DD2244"/>
    <w:rsid w:val="00DD23BB"/>
    <w:rsid w:val="00DD38A3"/>
    <w:rsid w:val="00DD3AA5"/>
    <w:rsid w:val="00DD3D44"/>
    <w:rsid w:val="00DD449D"/>
    <w:rsid w:val="00DD48BC"/>
    <w:rsid w:val="00DD4FD3"/>
    <w:rsid w:val="00DD4FDA"/>
    <w:rsid w:val="00DD5C09"/>
    <w:rsid w:val="00DD5E88"/>
    <w:rsid w:val="00DD5F37"/>
    <w:rsid w:val="00DD622C"/>
    <w:rsid w:val="00DD6B14"/>
    <w:rsid w:val="00DD6FEE"/>
    <w:rsid w:val="00DE0695"/>
    <w:rsid w:val="00DE08BF"/>
    <w:rsid w:val="00DE0A67"/>
    <w:rsid w:val="00DE1103"/>
    <w:rsid w:val="00DE2193"/>
    <w:rsid w:val="00DE27B1"/>
    <w:rsid w:val="00DE2AFA"/>
    <w:rsid w:val="00DE2B16"/>
    <w:rsid w:val="00DE2C4C"/>
    <w:rsid w:val="00DE2D1F"/>
    <w:rsid w:val="00DE37EA"/>
    <w:rsid w:val="00DE48E4"/>
    <w:rsid w:val="00DE5063"/>
    <w:rsid w:val="00DE57B0"/>
    <w:rsid w:val="00DE675E"/>
    <w:rsid w:val="00DE6B62"/>
    <w:rsid w:val="00DE7C3C"/>
    <w:rsid w:val="00DF0337"/>
    <w:rsid w:val="00DF0D96"/>
    <w:rsid w:val="00DF1312"/>
    <w:rsid w:val="00DF1465"/>
    <w:rsid w:val="00DF183E"/>
    <w:rsid w:val="00DF2380"/>
    <w:rsid w:val="00DF2A5A"/>
    <w:rsid w:val="00DF2B99"/>
    <w:rsid w:val="00DF2C07"/>
    <w:rsid w:val="00DF321C"/>
    <w:rsid w:val="00DF33D0"/>
    <w:rsid w:val="00DF3DCB"/>
    <w:rsid w:val="00DF53B1"/>
    <w:rsid w:val="00DF5728"/>
    <w:rsid w:val="00DF59B0"/>
    <w:rsid w:val="00DF5D27"/>
    <w:rsid w:val="00DF5DD0"/>
    <w:rsid w:val="00DF6937"/>
    <w:rsid w:val="00DF6A68"/>
    <w:rsid w:val="00DF6F57"/>
    <w:rsid w:val="00DF6FB5"/>
    <w:rsid w:val="00DF76AB"/>
    <w:rsid w:val="00DF7B22"/>
    <w:rsid w:val="00E0052F"/>
    <w:rsid w:val="00E006DA"/>
    <w:rsid w:val="00E01029"/>
    <w:rsid w:val="00E01BD3"/>
    <w:rsid w:val="00E01D70"/>
    <w:rsid w:val="00E01E09"/>
    <w:rsid w:val="00E023FD"/>
    <w:rsid w:val="00E025A4"/>
    <w:rsid w:val="00E0293F"/>
    <w:rsid w:val="00E02AEE"/>
    <w:rsid w:val="00E02EA3"/>
    <w:rsid w:val="00E02EF4"/>
    <w:rsid w:val="00E02FAB"/>
    <w:rsid w:val="00E03263"/>
    <w:rsid w:val="00E03F76"/>
    <w:rsid w:val="00E043BE"/>
    <w:rsid w:val="00E04D6C"/>
    <w:rsid w:val="00E053B9"/>
    <w:rsid w:val="00E0543C"/>
    <w:rsid w:val="00E064C8"/>
    <w:rsid w:val="00E07032"/>
    <w:rsid w:val="00E0718D"/>
    <w:rsid w:val="00E076B4"/>
    <w:rsid w:val="00E07F48"/>
    <w:rsid w:val="00E10E2F"/>
    <w:rsid w:val="00E11382"/>
    <w:rsid w:val="00E1143F"/>
    <w:rsid w:val="00E114E1"/>
    <w:rsid w:val="00E11B6F"/>
    <w:rsid w:val="00E12ED4"/>
    <w:rsid w:val="00E13033"/>
    <w:rsid w:val="00E137C3"/>
    <w:rsid w:val="00E13987"/>
    <w:rsid w:val="00E13BC6"/>
    <w:rsid w:val="00E14089"/>
    <w:rsid w:val="00E143F7"/>
    <w:rsid w:val="00E14F9C"/>
    <w:rsid w:val="00E1541E"/>
    <w:rsid w:val="00E163C7"/>
    <w:rsid w:val="00E164E3"/>
    <w:rsid w:val="00E165F1"/>
    <w:rsid w:val="00E1670B"/>
    <w:rsid w:val="00E16A19"/>
    <w:rsid w:val="00E16F3F"/>
    <w:rsid w:val="00E16F76"/>
    <w:rsid w:val="00E178AC"/>
    <w:rsid w:val="00E204E9"/>
    <w:rsid w:val="00E21AE6"/>
    <w:rsid w:val="00E21B75"/>
    <w:rsid w:val="00E22C5B"/>
    <w:rsid w:val="00E230E6"/>
    <w:rsid w:val="00E23411"/>
    <w:rsid w:val="00E2431D"/>
    <w:rsid w:val="00E24C1E"/>
    <w:rsid w:val="00E2503B"/>
    <w:rsid w:val="00E25773"/>
    <w:rsid w:val="00E258CA"/>
    <w:rsid w:val="00E25F1D"/>
    <w:rsid w:val="00E268CD"/>
    <w:rsid w:val="00E26B42"/>
    <w:rsid w:val="00E278A6"/>
    <w:rsid w:val="00E27EDD"/>
    <w:rsid w:val="00E27F69"/>
    <w:rsid w:val="00E300B3"/>
    <w:rsid w:val="00E30907"/>
    <w:rsid w:val="00E30C61"/>
    <w:rsid w:val="00E311AA"/>
    <w:rsid w:val="00E31486"/>
    <w:rsid w:val="00E31495"/>
    <w:rsid w:val="00E325AE"/>
    <w:rsid w:val="00E32F4D"/>
    <w:rsid w:val="00E33768"/>
    <w:rsid w:val="00E33890"/>
    <w:rsid w:val="00E33E2E"/>
    <w:rsid w:val="00E35E0A"/>
    <w:rsid w:val="00E367F0"/>
    <w:rsid w:val="00E37BB7"/>
    <w:rsid w:val="00E37F60"/>
    <w:rsid w:val="00E409D2"/>
    <w:rsid w:val="00E41024"/>
    <w:rsid w:val="00E41667"/>
    <w:rsid w:val="00E41D4A"/>
    <w:rsid w:val="00E41D5C"/>
    <w:rsid w:val="00E4277D"/>
    <w:rsid w:val="00E42990"/>
    <w:rsid w:val="00E429DB"/>
    <w:rsid w:val="00E429FC"/>
    <w:rsid w:val="00E42DDD"/>
    <w:rsid w:val="00E43158"/>
    <w:rsid w:val="00E43A92"/>
    <w:rsid w:val="00E441F6"/>
    <w:rsid w:val="00E442E1"/>
    <w:rsid w:val="00E44DE4"/>
    <w:rsid w:val="00E453E9"/>
    <w:rsid w:val="00E4652B"/>
    <w:rsid w:val="00E46802"/>
    <w:rsid w:val="00E46FB6"/>
    <w:rsid w:val="00E47F47"/>
    <w:rsid w:val="00E50397"/>
    <w:rsid w:val="00E5116A"/>
    <w:rsid w:val="00E51A35"/>
    <w:rsid w:val="00E52F38"/>
    <w:rsid w:val="00E52FA8"/>
    <w:rsid w:val="00E53589"/>
    <w:rsid w:val="00E53B08"/>
    <w:rsid w:val="00E53B7A"/>
    <w:rsid w:val="00E5405F"/>
    <w:rsid w:val="00E54ECB"/>
    <w:rsid w:val="00E55347"/>
    <w:rsid w:val="00E55C17"/>
    <w:rsid w:val="00E56EB2"/>
    <w:rsid w:val="00E57D67"/>
    <w:rsid w:val="00E57E46"/>
    <w:rsid w:val="00E6041B"/>
    <w:rsid w:val="00E608D3"/>
    <w:rsid w:val="00E60A6F"/>
    <w:rsid w:val="00E60D50"/>
    <w:rsid w:val="00E61345"/>
    <w:rsid w:val="00E615BB"/>
    <w:rsid w:val="00E6183B"/>
    <w:rsid w:val="00E61CAA"/>
    <w:rsid w:val="00E6205C"/>
    <w:rsid w:val="00E6228E"/>
    <w:rsid w:val="00E623FA"/>
    <w:rsid w:val="00E62C42"/>
    <w:rsid w:val="00E62F83"/>
    <w:rsid w:val="00E630A3"/>
    <w:rsid w:val="00E6384E"/>
    <w:rsid w:val="00E644A5"/>
    <w:rsid w:val="00E64ECF"/>
    <w:rsid w:val="00E64EFB"/>
    <w:rsid w:val="00E65669"/>
    <w:rsid w:val="00E65B46"/>
    <w:rsid w:val="00E664A4"/>
    <w:rsid w:val="00E66DAF"/>
    <w:rsid w:val="00E67656"/>
    <w:rsid w:val="00E67689"/>
    <w:rsid w:val="00E6769B"/>
    <w:rsid w:val="00E70050"/>
    <w:rsid w:val="00E70268"/>
    <w:rsid w:val="00E709DE"/>
    <w:rsid w:val="00E716EE"/>
    <w:rsid w:val="00E718E5"/>
    <w:rsid w:val="00E71C10"/>
    <w:rsid w:val="00E7201F"/>
    <w:rsid w:val="00E7313D"/>
    <w:rsid w:val="00E73159"/>
    <w:rsid w:val="00E73261"/>
    <w:rsid w:val="00E74895"/>
    <w:rsid w:val="00E74E3B"/>
    <w:rsid w:val="00E751F7"/>
    <w:rsid w:val="00E75AF7"/>
    <w:rsid w:val="00E75BED"/>
    <w:rsid w:val="00E762E4"/>
    <w:rsid w:val="00E7630B"/>
    <w:rsid w:val="00E77DD4"/>
    <w:rsid w:val="00E77F01"/>
    <w:rsid w:val="00E8004C"/>
    <w:rsid w:val="00E82302"/>
    <w:rsid w:val="00E823DC"/>
    <w:rsid w:val="00E82AE7"/>
    <w:rsid w:val="00E82E92"/>
    <w:rsid w:val="00E8312B"/>
    <w:rsid w:val="00E83645"/>
    <w:rsid w:val="00E8459E"/>
    <w:rsid w:val="00E8497B"/>
    <w:rsid w:val="00E85F36"/>
    <w:rsid w:val="00E85F44"/>
    <w:rsid w:val="00E87D05"/>
    <w:rsid w:val="00E90855"/>
    <w:rsid w:val="00E90F3E"/>
    <w:rsid w:val="00E9105D"/>
    <w:rsid w:val="00E91B43"/>
    <w:rsid w:val="00E922D8"/>
    <w:rsid w:val="00E928AE"/>
    <w:rsid w:val="00E92C47"/>
    <w:rsid w:val="00E92DC4"/>
    <w:rsid w:val="00E93827"/>
    <w:rsid w:val="00E9388F"/>
    <w:rsid w:val="00E9444F"/>
    <w:rsid w:val="00E94808"/>
    <w:rsid w:val="00E94E76"/>
    <w:rsid w:val="00E94EE8"/>
    <w:rsid w:val="00E94F29"/>
    <w:rsid w:val="00E95252"/>
    <w:rsid w:val="00E963DB"/>
    <w:rsid w:val="00E96725"/>
    <w:rsid w:val="00E96AF9"/>
    <w:rsid w:val="00E97384"/>
    <w:rsid w:val="00E9744C"/>
    <w:rsid w:val="00E97456"/>
    <w:rsid w:val="00E9795B"/>
    <w:rsid w:val="00E97D40"/>
    <w:rsid w:val="00EA0610"/>
    <w:rsid w:val="00EA1336"/>
    <w:rsid w:val="00EA13E4"/>
    <w:rsid w:val="00EA1547"/>
    <w:rsid w:val="00EA196C"/>
    <w:rsid w:val="00EA22D9"/>
    <w:rsid w:val="00EA23A9"/>
    <w:rsid w:val="00EA256A"/>
    <w:rsid w:val="00EA296A"/>
    <w:rsid w:val="00EA29AC"/>
    <w:rsid w:val="00EA2D1E"/>
    <w:rsid w:val="00EA4C6A"/>
    <w:rsid w:val="00EA567C"/>
    <w:rsid w:val="00EA6992"/>
    <w:rsid w:val="00EA6ADA"/>
    <w:rsid w:val="00EA7C04"/>
    <w:rsid w:val="00EA7D54"/>
    <w:rsid w:val="00EB005E"/>
    <w:rsid w:val="00EB0B5F"/>
    <w:rsid w:val="00EB0C35"/>
    <w:rsid w:val="00EB11E7"/>
    <w:rsid w:val="00EB1EF9"/>
    <w:rsid w:val="00EB283A"/>
    <w:rsid w:val="00EB2C3A"/>
    <w:rsid w:val="00EB2E32"/>
    <w:rsid w:val="00EB2EC0"/>
    <w:rsid w:val="00EB3081"/>
    <w:rsid w:val="00EB316D"/>
    <w:rsid w:val="00EB335C"/>
    <w:rsid w:val="00EB3CCD"/>
    <w:rsid w:val="00EB43E3"/>
    <w:rsid w:val="00EB4603"/>
    <w:rsid w:val="00EB486D"/>
    <w:rsid w:val="00EB59E6"/>
    <w:rsid w:val="00EB5FB5"/>
    <w:rsid w:val="00EB6007"/>
    <w:rsid w:val="00EB6D50"/>
    <w:rsid w:val="00EB72B0"/>
    <w:rsid w:val="00EB7AA3"/>
    <w:rsid w:val="00EC01F2"/>
    <w:rsid w:val="00EC02C8"/>
    <w:rsid w:val="00EC07BC"/>
    <w:rsid w:val="00EC099C"/>
    <w:rsid w:val="00EC0A6F"/>
    <w:rsid w:val="00EC132E"/>
    <w:rsid w:val="00EC18E8"/>
    <w:rsid w:val="00EC2090"/>
    <w:rsid w:val="00EC2114"/>
    <w:rsid w:val="00EC2217"/>
    <w:rsid w:val="00EC276C"/>
    <w:rsid w:val="00EC2966"/>
    <w:rsid w:val="00EC31DA"/>
    <w:rsid w:val="00EC3956"/>
    <w:rsid w:val="00EC498C"/>
    <w:rsid w:val="00EC5353"/>
    <w:rsid w:val="00EC5C37"/>
    <w:rsid w:val="00EC5EE5"/>
    <w:rsid w:val="00EC64B7"/>
    <w:rsid w:val="00EC6915"/>
    <w:rsid w:val="00EC7FD5"/>
    <w:rsid w:val="00ED0526"/>
    <w:rsid w:val="00ED096C"/>
    <w:rsid w:val="00ED0BC3"/>
    <w:rsid w:val="00ED1068"/>
    <w:rsid w:val="00ED1203"/>
    <w:rsid w:val="00ED1457"/>
    <w:rsid w:val="00ED1C14"/>
    <w:rsid w:val="00ED21D6"/>
    <w:rsid w:val="00ED2536"/>
    <w:rsid w:val="00ED2935"/>
    <w:rsid w:val="00ED350B"/>
    <w:rsid w:val="00ED3901"/>
    <w:rsid w:val="00ED419A"/>
    <w:rsid w:val="00ED468B"/>
    <w:rsid w:val="00ED4C94"/>
    <w:rsid w:val="00ED57C0"/>
    <w:rsid w:val="00ED5994"/>
    <w:rsid w:val="00ED5A3B"/>
    <w:rsid w:val="00ED5C8C"/>
    <w:rsid w:val="00ED616D"/>
    <w:rsid w:val="00ED7677"/>
    <w:rsid w:val="00ED786E"/>
    <w:rsid w:val="00EE12AB"/>
    <w:rsid w:val="00EE12CA"/>
    <w:rsid w:val="00EE13B0"/>
    <w:rsid w:val="00EE1E31"/>
    <w:rsid w:val="00EE2616"/>
    <w:rsid w:val="00EE2690"/>
    <w:rsid w:val="00EE35C8"/>
    <w:rsid w:val="00EE3DFC"/>
    <w:rsid w:val="00EE4026"/>
    <w:rsid w:val="00EE4160"/>
    <w:rsid w:val="00EE4A30"/>
    <w:rsid w:val="00EE4E66"/>
    <w:rsid w:val="00EE6486"/>
    <w:rsid w:val="00EE6F5A"/>
    <w:rsid w:val="00EE710C"/>
    <w:rsid w:val="00EE7B60"/>
    <w:rsid w:val="00EF0579"/>
    <w:rsid w:val="00EF15C8"/>
    <w:rsid w:val="00EF17B0"/>
    <w:rsid w:val="00EF1B4A"/>
    <w:rsid w:val="00EF241E"/>
    <w:rsid w:val="00EF3BE9"/>
    <w:rsid w:val="00EF3D6D"/>
    <w:rsid w:val="00EF4584"/>
    <w:rsid w:val="00EF4FD8"/>
    <w:rsid w:val="00EF5CCF"/>
    <w:rsid w:val="00EF62ED"/>
    <w:rsid w:val="00EF6455"/>
    <w:rsid w:val="00EF6482"/>
    <w:rsid w:val="00EF740E"/>
    <w:rsid w:val="00EF7597"/>
    <w:rsid w:val="00F0050B"/>
    <w:rsid w:val="00F00D4B"/>
    <w:rsid w:val="00F0105B"/>
    <w:rsid w:val="00F013A8"/>
    <w:rsid w:val="00F02BBB"/>
    <w:rsid w:val="00F032CF"/>
    <w:rsid w:val="00F0418B"/>
    <w:rsid w:val="00F05373"/>
    <w:rsid w:val="00F053C7"/>
    <w:rsid w:val="00F05ACA"/>
    <w:rsid w:val="00F060CC"/>
    <w:rsid w:val="00F061BF"/>
    <w:rsid w:val="00F0648F"/>
    <w:rsid w:val="00F0698E"/>
    <w:rsid w:val="00F074C0"/>
    <w:rsid w:val="00F076EC"/>
    <w:rsid w:val="00F0773B"/>
    <w:rsid w:val="00F077B2"/>
    <w:rsid w:val="00F10197"/>
    <w:rsid w:val="00F109F9"/>
    <w:rsid w:val="00F10E8D"/>
    <w:rsid w:val="00F10F0D"/>
    <w:rsid w:val="00F1280E"/>
    <w:rsid w:val="00F12D61"/>
    <w:rsid w:val="00F13210"/>
    <w:rsid w:val="00F13CD5"/>
    <w:rsid w:val="00F13E8D"/>
    <w:rsid w:val="00F13EFA"/>
    <w:rsid w:val="00F144AE"/>
    <w:rsid w:val="00F14992"/>
    <w:rsid w:val="00F14BFC"/>
    <w:rsid w:val="00F14C9C"/>
    <w:rsid w:val="00F15E49"/>
    <w:rsid w:val="00F15EF9"/>
    <w:rsid w:val="00F16011"/>
    <w:rsid w:val="00F16057"/>
    <w:rsid w:val="00F16089"/>
    <w:rsid w:val="00F1628C"/>
    <w:rsid w:val="00F1736E"/>
    <w:rsid w:val="00F176B2"/>
    <w:rsid w:val="00F17FA5"/>
    <w:rsid w:val="00F210F7"/>
    <w:rsid w:val="00F21126"/>
    <w:rsid w:val="00F21238"/>
    <w:rsid w:val="00F21480"/>
    <w:rsid w:val="00F218C5"/>
    <w:rsid w:val="00F22A9E"/>
    <w:rsid w:val="00F2374A"/>
    <w:rsid w:val="00F23A85"/>
    <w:rsid w:val="00F23D95"/>
    <w:rsid w:val="00F24A0F"/>
    <w:rsid w:val="00F24AEA"/>
    <w:rsid w:val="00F24E98"/>
    <w:rsid w:val="00F251F0"/>
    <w:rsid w:val="00F25A15"/>
    <w:rsid w:val="00F2784F"/>
    <w:rsid w:val="00F2791F"/>
    <w:rsid w:val="00F27945"/>
    <w:rsid w:val="00F3037E"/>
    <w:rsid w:val="00F3050B"/>
    <w:rsid w:val="00F31068"/>
    <w:rsid w:val="00F31305"/>
    <w:rsid w:val="00F31ACA"/>
    <w:rsid w:val="00F323BA"/>
    <w:rsid w:val="00F323FF"/>
    <w:rsid w:val="00F32655"/>
    <w:rsid w:val="00F330F3"/>
    <w:rsid w:val="00F3394E"/>
    <w:rsid w:val="00F33995"/>
    <w:rsid w:val="00F33A1B"/>
    <w:rsid w:val="00F34BBF"/>
    <w:rsid w:val="00F350F5"/>
    <w:rsid w:val="00F351C3"/>
    <w:rsid w:val="00F35281"/>
    <w:rsid w:val="00F35968"/>
    <w:rsid w:val="00F37BFB"/>
    <w:rsid w:val="00F37D46"/>
    <w:rsid w:val="00F37E01"/>
    <w:rsid w:val="00F40B0F"/>
    <w:rsid w:val="00F41393"/>
    <w:rsid w:val="00F413CB"/>
    <w:rsid w:val="00F42A6A"/>
    <w:rsid w:val="00F42AA3"/>
    <w:rsid w:val="00F42E01"/>
    <w:rsid w:val="00F430F4"/>
    <w:rsid w:val="00F436C0"/>
    <w:rsid w:val="00F439F2"/>
    <w:rsid w:val="00F43D7B"/>
    <w:rsid w:val="00F449F1"/>
    <w:rsid w:val="00F45A70"/>
    <w:rsid w:val="00F466A5"/>
    <w:rsid w:val="00F4693F"/>
    <w:rsid w:val="00F4780B"/>
    <w:rsid w:val="00F505B9"/>
    <w:rsid w:val="00F508E2"/>
    <w:rsid w:val="00F50A9D"/>
    <w:rsid w:val="00F51090"/>
    <w:rsid w:val="00F51571"/>
    <w:rsid w:val="00F517AC"/>
    <w:rsid w:val="00F51880"/>
    <w:rsid w:val="00F520CE"/>
    <w:rsid w:val="00F52EF5"/>
    <w:rsid w:val="00F52F94"/>
    <w:rsid w:val="00F52FB9"/>
    <w:rsid w:val="00F53119"/>
    <w:rsid w:val="00F5357A"/>
    <w:rsid w:val="00F54968"/>
    <w:rsid w:val="00F549D0"/>
    <w:rsid w:val="00F55814"/>
    <w:rsid w:val="00F55F07"/>
    <w:rsid w:val="00F56251"/>
    <w:rsid w:val="00F56742"/>
    <w:rsid w:val="00F573A3"/>
    <w:rsid w:val="00F57654"/>
    <w:rsid w:val="00F57A60"/>
    <w:rsid w:val="00F57EDF"/>
    <w:rsid w:val="00F601D3"/>
    <w:rsid w:val="00F60641"/>
    <w:rsid w:val="00F61373"/>
    <w:rsid w:val="00F618DB"/>
    <w:rsid w:val="00F61D24"/>
    <w:rsid w:val="00F61E58"/>
    <w:rsid w:val="00F61E80"/>
    <w:rsid w:val="00F635CB"/>
    <w:rsid w:val="00F63DEE"/>
    <w:rsid w:val="00F645A4"/>
    <w:rsid w:val="00F64919"/>
    <w:rsid w:val="00F64C0C"/>
    <w:rsid w:val="00F64E88"/>
    <w:rsid w:val="00F64FFF"/>
    <w:rsid w:val="00F658EF"/>
    <w:rsid w:val="00F65F92"/>
    <w:rsid w:val="00F6674D"/>
    <w:rsid w:val="00F672A2"/>
    <w:rsid w:val="00F6751D"/>
    <w:rsid w:val="00F67708"/>
    <w:rsid w:val="00F677DF"/>
    <w:rsid w:val="00F67ADE"/>
    <w:rsid w:val="00F67BA8"/>
    <w:rsid w:val="00F67DD2"/>
    <w:rsid w:val="00F701E8"/>
    <w:rsid w:val="00F7130F"/>
    <w:rsid w:val="00F7137A"/>
    <w:rsid w:val="00F7160E"/>
    <w:rsid w:val="00F7183D"/>
    <w:rsid w:val="00F71B91"/>
    <w:rsid w:val="00F71E17"/>
    <w:rsid w:val="00F72510"/>
    <w:rsid w:val="00F728F6"/>
    <w:rsid w:val="00F733DA"/>
    <w:rsid w:val="00F73442"/>
    <w:rsid w:val="00F73A3E"/>
    <w:rsid w:val="00F73B52"/>
    <w:rsid w:val="00F7411F"/>
    <w:rsid w:val="00F74D3E"/>
    <w:rsid w:val="00F7512F"/>
    <w:rsid w:val="00F75947"/>
    <w:rsid w:val="00F759DD"/>
    <w:rsid w:val="00F75AF7"/>
    <w:rsid w:val="00F75FD2"/>
    <w:rsid w:val="00F766E8"/>
    <w:rsid w:val="00F77FEE"/>
    <w:rsid w:val="00F80CDD"/>
    <w:rsid w:val="00F820AD"/>
    <w:rsid w:val="00F8239A"/>
    <w:rsid w:val="00F82A08"/>
    <w:rsid w:val="00F82C94"/>
    <w:rsid w:val="00F83491"/>
    <w:rsid w:val="00F83493"/>
    <w:rsid w:val="00F83B8C"/>
    <w:rsid w:val="00F8457E"/>
    <w:rsid w:val="00F8502E"/>
    <w:rsid w:val="00F85813"/>
    <w:rsid w:val="00F86ABD"/>
    <w:rsid w:val="00F8733E"/>
    <w:rsid w:val="00F875E7"/>
    <w:rsid w:val="00F9006F"/>
    <w:rsid w:val="00F9039E"/>
    <w:rsid w:val="00F9052D"/>
    <w:rsid w:val="00F90A81"/>
    <w:rsid w:val="00F90DF9"/>
    <w:rsid w:val="00F91406"/>
    <w:rsid w:val="00F925AC"/>
    <w:rsid w:val="00F92F20"/>
    <w:rsid w:val="00F9386F"/>
    <w:rsid w:val="00F93BA5"/>
    <w:rsid w:val="00F93CAC"/>
    <w:rsid w:val="00F9429C"/>
    <w:rsid w:val="00F94842"/>
    <w:rsid w:val="00F94D3C"/>
    <w:rsid w:val="00F957E4"/>
    <w:rsid w:val="00F95896"/>
    <w:rsid w:val="00F960D0"/>
    <w:rsid w:val="00F9771E"/>
    <w:rsid w:val="00F97CCA"/>
    <w:rsid w:val="00F97E68"/>
    <w:rsid w:val="00FA02D6"/>
    <w:rsid w:val="00FA056E"/>
    <w:rsid w:val="00FA0753"/>
    <w:rsid w:val="00FA09AA"/>
    <w:rsid w:val="00FA0EA3"/>
    <w:rsid w:val="00FA1135"/>
    <w:rsid w:val="00FA14F7"/>
    <w:rsid w:val="00FA1798"/>
    <w:rsid w:val="00FA2A46"/>
    <w:rsid w:val="00FA34BD"/>
    <w:rsid w:val="00FA385F"/>
    <w:rsid w:val="00FA3985"/>
    <w:rsid w:val="00FA4BB7"/>
    <w:rsid w:val="00FA4E4E"/>
    <w:rsid w:val="00FA53C6"/>
    <w:rsid w:val="00FA54EB"/>
    <w:rsid w:val="00FA551C"/>
    <w:rsid w:val="00FA5BDE"/>
    <w:rsid w:val="00FA5D94"/>
    <w:rsid w:val="00FA6227"/>
    <w:rsid w:val="00FA64A5"/>
    <w:rsid w:val="00FA67CE"/>
    <w:rsid w:val="00FA6C3D"/>
    <w:rsid w:val="00FA6D16"/>
    <w:rsid w:val="00FA6FBD"/>
    <w:rsid w:val="00FA7928"/>
    <w:rsid w:val="00FA7AF9"/>
    <w:rsid w:val="00FB1599"/>
    <w:rsid w:val="00FB1E21"/>
    <w:rsid w:val="00FB1F08"/>
    <w:rsid w:val="00FB254E"/>
    <w:rsid w:val="00FB256D"/>
    <w:rsid w:val="00FB2E11"/>
    <w:rsid w:val="00FB2E51"/>
    <w:rsid w:val="00FB3AE6"/>
    <w:rsid w:val="00FB3B29"/>
    <w:rsid w:val="00FB3BC9"/>
    <w:rsid w:val="00FB3D81"/>
    <w:rsid w:val="00FB4355"/>
    <w:rsid w:val="00FB4C2B"/>
    <w:rsid w:val="00FB57F0"/>
    <w:rsid w:val="00FB60A9"/>
    <w:rsid w:val="00FB64A8"/>
    <w:rsid w:val="00FB6A76"/>
    <w:rsid w:val="00FB6AD1"/>
    <w:rsid w:val="00FB7179"/>
    <w:rsid w:val="00FB743F"/>
    <w:rsid w:val="00FB745D"/>
    <w:rsid w:val="00FC092D"/>
    <w:rsid w:val="00FC0C81"/>
    <w:rsid w:val="00FC0F1F"/>
    <w:rsid w:val="00FC15F5"/>
    <w:rsid w:val="00FC1701"/>
    <w:rsid w:val="00FC1F78"/>
    <w:rsid w:val="00FC216E"/>
    <w:rsid w:val="00FC24B6"/>
    <w:rsid w:val="00FC295B"/>
    <w:rsid w:val="00FC2A7E"/>
    <w:rsid w:val="00FC2D17"/>
    <w:rsid w:val="00FC2FC9"/>
    <w:rsid w:val="00FC3368"/>
    <w:rsid w:val="00FC36D3"/>
    <w:rsid w:val="00FC3ABD"/>
    <w:rsid w:val="00FC40CF"/>
    <w:rsid w:val="00FC4314"/>
    <w:rsid w:val="00FC45C7"/>
    <w:rsid w:val="00FC6290"/>
    <w:rsid w:val="00FC668C"/>
    <w:rsid w:val="00FC6838"/>
    <w:rsid w:val="00FC68B1"/>
    <w:rsid w:val="00FC6D80"/>
    <w:rsid w:val="00FC6F90"/>
    <w:rsid w:val="00FC6FD7"/>
    <w:rsid w:val="00FC713C"/>
    <w:rsid w:val="00FD0210"/>
    <w:rsid w:val="00FD050C"/>
    <w:rsid w:val="00FD09AA"/>
    <w:rsid w:val="00FD0FB3"/>
    <w:rsid w:val="00FD1265"/>
    <w:rsid w:val="00FD1C70"/>
    <w:rsid w:val="00FD1CBF"/>
    <w:rsid w:val="00FD1FAE"/>
    <w:rsid w:val="00FD20CE"/>
    <w:rsid w:val="00FD22B8"/>
    <w:rsid w:val="00FD22CE"/>
    <w:rsid w:val="00FD23F4"/>
    <w:rsid w:val="00FD316F"/>
    <w:rsid w:val="00FD408B"/>
    <w:rsid w:val="00FD4B7D"/>
    <w:rsid w:val="00FD6335"/>
    <w:rsid w:val="00FD68EC"/>
    <w:rsid w:val="00FD6C99"/>
    <w:rsid w:val="00FD6CEE"/>
    <w:rsid w:val="00FD70AD"/>
    <w:rsid w:val="00FE0ABB"/>
    <w:rsid w:val="00FE10A3"/>
    <w:rsid w:val="00FE1375"/>
    <w:rsid w:val="00FE18AC"/>
    <w:rsid w:val="00FE1B29"/>
    <w:rsid w:val="00FE2208"/>
    <w:rsid w:val="00FE22F0"/>
    <w:rsid w:val="00FE34BA"/>
    <w:rsid w:val="00FE3657"/>
    <w:rsid w:val="00FE3753"/>
    <w:rsid w:val="00FE3FC8"/>
    <w:rsid w:val="00FE41F5"/>
    <w:rsid w:val="00FE57C6"/>
    <w:rsid w:val="00FE583B"/>
    <w:rsid w:val="00FE5FD8"/>
    <w:rsid w:val="00FE65C2"/>
    <w:rsid w:val="00FE69D7"/>
    <w:rsid w:val="00FE70B9"/>
    <w:rsid w:val="00FE735A"/>
    <w:rsid w:val="00FE74C3"/>
    <w:rsid w:val="00FE78F0"/>
    <w:rsid w:val="00FF02FD"/>
    <w:rsid w:val="00FF0618"/>
    <w:rsid w:val="00FF0FCC"/>
    <w:rsid w:val="00FF1577"/>
    <w:rsid w:val="00FF193E"/>
    <w:rsid w:val="00FF31B9"/>
    <w:rsid w:val="00FF39F7"/>
    <w:rsid w:val="00FF3DB5"/>
    <w:rsid w:val="00FF40F9"/>
    <w:rsid w:val="00FF44B7"/>
    <w:rsid w:val="00FF4BD9"/>
    <w:rsid w:val="00FF4DE5"/>
    <w:rsid w:val="00FF5BA9"/>
    <w:rsid w:val="00FF625B"/>
    <w:rsid w:val="00FF6E95"/>
    <w:rsid w:val="00FF7980"/>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32AFF5"/>
  <w15:docId w15:val="{44758A26-9FA5-4E2F-B3A3-2192768287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A24C1D"/>
    <w:pPr>
      <w:spacing w:before="120"/>
      <w:jc w:val="both"/>
    </w:pPr>
    <w:rPr>
      <w:szCs w:val="22"/>
      <w:lang w:eastAsia="en-US"/>
    </w:rPr>
  </w:style>
  <w:style w:type="paragraph" w:styleId="Nadpis1">
    <w:name w:val="heading 1"/>
    <w:aliases w:val="adpis 1,Hlavní nadpis,Nadpis 1 Char Char"/>
    <w:basedOn w:val="Normln"/>
    <w:next w:val="Normln"/>
    <w:link w:val="Nadpis1Char"/>
    <w:qFormat/>
    <w:rsid w:val="00BA72D5"/>
    <w:pPr>
      <w:keepNext/>
      <w:pageBreakBefore/>
      <w:numPr>
        <w:numId w:val="7"/>
      </w:numPr>
      <w:spacing w:before="360"/>
      <w:outlineLvl w:val="0"/>
    </w:pPr>
    <w:rPr>
      <w:rFonts w:eastAsia="Times New Roman"/>
      <w:color w:val="0070C0"/>
      <w:sz w:val="40"/>
      <w:szCs w:val="32"/>
    </w:rPr>
  </w:style>
  <w:style w:type="paragraph" w:styleId="Nadpis2">
    <w:name w:val="heading 2"/>
    <w:aliases w:val="adpis 2,Nadpis nižší úrovni,Nadpis nižší úrovně,Nadpis nižší úrovnì,Nadpis a)"/>
    <w:basedOn w:val="Normln"/>
    <w:next w:val="Normln"/>
    <w:link w:val="Nadpis2Char"/>
    <w:unhideWhenUsed/>
    <w:qFormat/>
    <w:rsid w:val="00BA72D5"/>
    <w:pPr>
      <w:keepNext/>
      <w:numPr>
        <w:ilvl w:val="1"/>
        <w:numId w:val="7"/>
      </w:numPr>
      <w:spacing w:before="240"/>
      <w:outlineLvl w:val="1"/>
    </w:pPr>
    <w:rPr>
      <w:rFonts w:eastAsia="Times New Roman"/>
      <w:color w:val="7030A0"/>
      <w:sz w:val="28"/>
      <w:szCs w:val="26"/>
      <w:lang w:eastAsia="cs-CZ"/>
    </w:rPr>
  </w:style>
  <w:style w:type="paragraph" w:styleId="Nadpis3">
    <w:name w:val="heading 3"/>
    <w:aliases w:val="r.č.,areál,Titul1,Nadpis 3 Char Char Char,Nadpis3"/>
    <w:basedOn w:val="Normln"/>
    <w:next w:val="Normln"/>
    <w:link w:val="Nadpis3Char"/>
    <w:unhideWhenUsed/>
    <w:qFormat/>
    <w:rsid w:val="00A67277"/>
    <w:pPr>
      <w:keepNext/>
      <w:keepLines/>
      <w:numPr>
        <w:ilvl w:val="2"/>
        <w:numId w:val="7"/>
      </w:numPr>
      <w:tabs>
        <w:tab w:val="clear" w:pos="2156"/>
        <w:tab w:val="num" w:pos="709"/>
      </w:tabs>
      <w:spacing w:before="240"/>
      <w:ind w:left="993" w:hanging="993"/>
      <w:outlineLvl w:val="2"/>
    </w:pPr>
    <w:rPr>
      <w:rFonts w:eastAsia="Times New Roman"/>
      <w:color w:val="0070C0"/>
      <w:sz w:val="24"/>
      <w:szCs w:val="24"/>
    </w:rPr>
  </w:style>
  <w:style w:type="paragraph" w:styleId="Nadpis4">
    <w:name w:val="heading 4"/>
    <w:basedOn w:val="Normln"/>
    <w:next w:val="Normln"/>
    <w:link w:val="Nadpis4Char"/>
    <w:unhideWhenUsed/>
    <w:qFormat/>
    <w:rsid w:val="00BA72D5"/>
    <w:pPr>
      <w:numPr>
        <w:ilvl w:val="3"/>
        <w:numId w:val="7"/>
      </w:numPr>
      <w:spacing w:before="240"/>
      <w:outlineLvl w:val="3"/>
    </w:pPr>
    <w:rPr>
      <w:color w:val="8064A2" w:themeColor="accent4"/>
      <w:szCs w:val="18"/>
    </w:rPr>
  </w:style>
  <w:style w:type="paragraph" w:styleId="Nadpis5">
    <w:name w:val="heading 5"/>
    <w:aliases w:val="NEpoužívej"/>
    <w:basedOn w:val="Normln"/>
    <w:next w:val="Normln"/>
    <w:link w:val="Nadpis5Char"/>
    <w:unhideWhenUsed/>
    <w:qFormat/>
    <w:rsid w:val="00AD7259"/>
    <w:pPr>
      <w:keepNext/>
      <w:keepLines/>
      <w:spacing w:after="40"/>
      <w:outlineLvl w:val="4"/>
    </w:pPr>
    <w:rPr>
      <w:rFonts w:ascii="Calibri" w:eastAsia="Times New Roman" w:hAnsi="Calibri"/>
    </w:rPr>
  </w:style>
  <w:style w:type="paragraph" w:styleId="Nadpis6">
    <w:name w:val="heading 6"/>
    <w:aliases w:val="ne"/>
    <w:basedOn w:val="Normln"/>
    <w:next w:val="Normln"/>
    <w:link w:val="Nadpis6Char"/>
    <w:uiPriority w:val="9"/>
    <w:qFormat/>
    <w:rsid w:val="00AD7259"/>
    <w:pPr>
      <w:spacing w:before="240" w:after="60"/>
      <w:outlineLvl w:val="5"/>
    </w:pPr>
    <w:rPr>
      <w:rFonts w:ascii="Calibri" w:eastAsia="Times New Roman" w:hAnsi="Calibri"/>
      <w:bCs/>
      <w:lang w:eastAsia="cs-CZ"/>
    </w:rPr>
  </w:style>
  <w:style w:type="paragraph" w:styleId="Nadpis7">
    <w:name w:val="heading 7"/>
    <w:basedOn w:val="Normln"/>
    <w:next w:val="Normln"/>
    <w:link w:val="Nadpis7Char"/>
    <w:uiPriority w:val="9"/>
    <w:semiHidden/>
    <w:qFormat/>
    <w:rsid w:val="00DD117E"/>
    <w:pPr>
      <w:spacing w:before="240" w:after="60"/>
      <w:outlineLvl w:val="6"/>
    </w:pPr>
    <w:rPr>
      <w:rFonts w:ascii="Calibri" w:eastAsia="Times New Roman" w:hAnsi="Calibri"/>
      <w:sz w:val="24"/>
      <w:szCs w:val="24"/>
      <w:lang w:eastAsia="cs-CZ"/>
    </w:rPr>
  </w:style>
  <w:style w:type="paragraph" w:styleId="Nadpis8">
    <w:name w:val="heading 8"/>
    <w:basedOn w:val="Normln"/>
    <w:next w:val="Normln"/>
    <w:link w:val="Nadpis8Char"/>
    <w:uiPriority w:val="9"/>
    <w:semiHidden/>
    <w:qFormat/>
    <w:rsid w:val="00DD117E"/>
    <w:pPr>
      <w:spacing w:before="240" w:after="60"/>
      <w:outlineLvl w:val="7"/>
    </w:pPr>
    <w:rPr>
      <w:rFonts w:ascii="Calibri" w:eastAsia="Times New Roman" w:hAnsi="Calibri"/>
      <w:i/>
      <w:iCs/>
      <w:sz w:val="24"/>
      <w:szCs w:val="24"/>
      <w:lang w:eastAsia="cs-CZ"/>
    </w:rPr>
  </w:style>
  <w:style w:type="paragraph" w:styleId="Nadpis9">
    <w:name w:val="heading 9"/>
    <w:basedOn w:val="Normln"/>
    <w:next w:val="Normln"/>
    <w:link w:val="Nadpis9Char"/>
    <w:uiPriority w:val="9"/>
    <w:semiHidden/>
    <w:qFormat/>
    <w:rsid w:val="00DD117E"/>
    <w:pPr>
      <w:spacing w:before="240" w:after="60"/>
      <w:outlineLvl w:val="8"/>
    </w:pPr>
    <w:rPr>
      <w:rFonts w:ascii="Cambria" w:eastAsia="Times New Roman" w:hAnsi="Cambria"/>
      <w:sz w:val="22"/>
      <w:lang w:eastAsia="cs-CZ"/>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pat">
    <w:name w:val="footer"/>
    <w:basedOn w:val="Normln"/>
    <w:link w:val="ZpatChar"/>
    <w:unhideWhenUsed/>
    <w:rsid w:val="00E70050"/>
    <w:pPr>
      <w:tabs>
        <w:tab w:val="right" w:pos="9639"/>
      </w:tabs>
      <w:spacing w:before="80"/>
    </w:pPr>
    <w:rPr>
      <w:sz w:val="14"/>
    </w:rPr>
  </w:style>
  <w:style w:type="character" w:customStyle="1" w:styleId="ZpatChar">
    <w:name w:val="Zápatí Char"/>
    <w:link w:val="Zpat"/>
    <w:qFormat/>
    <w:rsid w:val="003B403F"/>
    <w:rPr>
      <w:sz w:val="14"/>
      <w:lang w:val="en-US"/>
    </w:rPr>
  </w:style>
  <w:style w:type="character" w:customStyle="1" w:styleId="Nadpis1Char">
    <w:name w:val="Nadpis 1 Char"/>
    <w:aliases w:val="adpis 1 Char,Hlavní nadpis Char,Nadpis 1 Char Char Char"/>
    <w:link w:val="Nadpis1"/>
    <w:qFormat/>
    <w:rsid w:val="00BA72D5"/>
    <w:rPr>
      <w:rFonts w:eastAsia="Times New Roman"/>
      <w:color w:val="0070C0"/>
      <w:sz w:val="40"/>
      <w:szCs w:val="32"/>
      <w:lang w:eastAsia="en-US"/>
    </w:rPr>
  </w:style>
  <w:style w:type="character" w:customStyle="1" w:styleId="Nadpis2Char">
    <w:name w:val="Nadpis 2 Char"/>
    <w:aliases w:val="adpis 2 Char,Nadpis nižší úrovni Char,Nadpis nižší úrovně Char,Nadpis nižší úrovnì Char,Nadpis a) Char"/>
    <w:link w:val="Nadpis2"/>
    <w:qFormat/>
    <w:rsid w:val="00BA72D5"/>
    <w:rPr>
      <w:rFonts w:eastAsia="Times New Roman"/>
      <w:color w:val="7030A0"/>
      <w:sz w:val="28"/>
      <w:szCs w:val="26"/>
    </w:rPr>
  </w:style>
  <w:style w:type="table" w:styleId="Mkatabulky">
    <w:name w:val="Table Grid"/>
    <w:basedOn w:val="Normlntabulka"/>
    <w:uiPriority w:val="39"/>
    <w:rsid w:val="00E7005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dpis3Char">
    <w:name w:val="Nadpis 3 Char"/>
    <w:aliases w:val="r.č. Char,areál Char,Titul1 Char,Nadpis 3 Char Char Char Char,Nadpis3 Char"/>
    <w:link w:val="Nadpis3"/>
    <w:qFormat/>
    <w:rsid w:val="00A67277"/>
    <w:rPr>
      <w:rFonts w:eastAsia="Times New Roman"/>
      <w:color w:val="0070C0"/>
      <w:sz w:val="24"/>
      <w:szCs w:val="24"/>
      <w:lang w:eastAsia="en-US"/>
    </w:rPr>
  </w:style>
  <w:style w:type="paragraph" w:customStyle="1" w:styleId="Odrky1">
    <w:name w:val="Odrážky 1"/>
    <w:basedOn w:val="Normln"/>
    <w:qFormat/>
    <w:rsid w:val="0092264F"/>
    <w:pPr>
      <w:numPr>
        <w:numId w:val="2"/>
      </w:numPr>
      <w:spacing w:before="40" w:after="40"/>
    </w:pPr>
  </w:style>
  <w:style w:type="paragraph" w:styleId="Zhlav">
    <w:name w:val="header"/>
    <w:basedOn w:val="Normln"/>
    <w:link w:val="ZhlavChar"/>
    <w:uiPriority w:val="99"/>
    <w:unhideWhenUsed/>
    <w:rsid w:val="00E55347"/>
    <w:pPr>
      <w:tabs>
        <w:tab w:val="center" w:pos="4536"/>
        <w:tab w:val="right" w:pos="9072"/>
      </w:tabs>
      <w:spacing w:before="0"/>
    </w:pPr>
  </w:style>
  <w:style w:type="character" w:customStyle="1" w:styleId="ZhlavChar">
    <w:name w:val="Záhlaví Char"/>
    <w:link w:val="Zhlav"/>
    <w:uiPriority w:val="99"/>
    <w:qFormat/>
    <w:rsid w:val="00E55347"/>
    <w:rPr>
      <w:sz w:val="20"/>
    </w:rPr>
  </w:style>
  <w:style w:type="character" w:customStyle="1" w:styleId="Nadpis4Char">
    <w:name w:val="Nadpis 4 Char"/>
    <w:link w:val="Nadpis4"/>
    <w:qFormat/>
    <w:rsid w:val="00BA72D5"/>
    <w:rPr>
      <w:color w:val="8064A2" w:themeColor="accent4"/>
      <w:szCs w:val="18"/>
      <w:lang w:eastAsia="en-US"/>
    </w:rPr>
  </w:style>
  <w:style w:type="character" w:customStyle="1" w:styleId="Nadpis5Char">
    <w:name w:val="Nadpis 5 Char"/>
    <w:aliases w:val="NEpoužívej Char"/>
    <w:link w:val="Nadpis5"/>
    <w:rsid w:val="00AD7259"/>
    <w:rPr>
      <w:rFonts w:ascii="Calibri" w:eastAsia="Times New Roman" w:hAnsi="Calibri" w:cs="Times New Roman"/>
      <w:sz w:val="20"/>
    </w:rPr>
  </w:style>
  <w:style w:type="paragraph" w:customStyle="1" w:styleId="Odrky2">
    <w:name w:val="Odrážky 2"/>
    <w:basedOn w:val="Odrky1"/>
    <w:qFormat/>
    <w:rsid w:val="0056626C"/>
    <w:pPr>
      <w:numPr>
        <w:numId w:val="3"/>
      </w:numPr>
    </w:pPr>
  </w:style>
  <w:style w:type="paragraph" w:customStyle="1" w:styleId="Odrky3">
    <w:name w:val="Odrážky 3"/>
    <w:basedOn w:val="Odrky1"/>
    <w:qFormat/>
    <w:rsid w:val="0056626C"/>
    <w:pPr>
      <w:numPr>
        <w:numId w:val="4"/>
      </w:numPr>
    </w:pPr>
  </w:style>
  <w:style w:type="paragraph" w:customStyle="1" w:styleId="vodnstrananadpis">
    <w:name w:val="_Úvodní strana nadpis"/>
    <w:basedOn w:val="Normln"/>
    <w:qFormat/>
    <w:rsid w:val="00A52A0A"/>
    <w:pPr>
      <w:framePr w:hSpace="181" w:wrap="around" w:vAnchor="page" w:hAnchor="text" w:y="10887"/>
      <w:suppressOverlap/>
    </w:pPr>
    <w:rPr>
      <w:color w:val="884C91"/>
      <w:sz w:val="52"/>
    </w:rPr>
  </w:style>
  <w:style w:type="paragraph" w:customStyle="1" w:styleId="vodnstrananadpis2">
    <w:name w:val="_Úvodní strana nadpis 2"/>
    <w:basedOn w:val="Normln"/>
    <w:qFormat/>
    <w:rsid w:val="00E70050"/>
    <w:rPr>
      <w:color w:val="884C91"/>
      <w:sz w:val="36"/>
    </w:rPr>
  </w:style>
  <w:style w:type="character" w:styleId="Odkaznakoment">
    <w:name w:val="annotation reference"/>
    <w:uiPriority w:val="99"/>
    <w:unhideWhenUsed/>
    <w:rsid w:val="00E70050"/>
    <w:rPr>
      <w:sz w:val="16"/>
      <w:szCs w:val="16"/>
    </w:rPr>
  </w:style>
  <w:style w:type="paragraph" w:styleId="Textkomente">
    <w:name w:val="annotation text"/>
    <w:basedOn w:val="Normln"/>
    <w:link w:val="TextkomenteChar"/>
    <w:uiPriority w:val="99"/>
    <w:unhideWhenUsed/>
    <w:rsid w:val="00E70050"/>
    <w:rPr>
      <w:szCs w:val="20"/>
    </w:rPr>
  </w:style>
  <w:style w:type="character" w:customStyle="1" w:styleId="TextkomenteChar">
    <w:name w:val="Text komentáře Char"/>
    <w:link w:val="Textkomente"/>
    <w:uiPriority w:val="99"/>
    <w:rsid w:val="00DA3C3F"/>
    <w:rPr>
      <w:sz w:val="20"/>
      <w:szCs w:val="20"/>
      <w:lang w:val="en-US"/>
    </w:rPr>
  </w:style>
  <w:style w:type="paragraph" w:styleId="Pedmtkomente">
    <w:name w:val="annotation subject"/>
    <w:basedOn w:val="Textkomente"/>
    <w:next w:val="Textkomente"/>
    <w:link w:val="PedmtkomenteChar"/>
    <w:semiHidden/>
    <w:unhideWhenUsed/>
    <w:rsid w:val="00E70050"/>
    <w:rPr>
      <w:b/>
      <w:bCs/>
    </w:rPr>
  </w:style>
  <w:style w:type="character" w:customStyle="1" w:styleId="PedmtkomenteChar">
    <w:name w:val="Předmět komentáře Char"/>
    <w:link w:val="Pedmtkomente"/>
    <w:semiHidden/>
    <w:rsid w:val="00DA3C3F"/>
    <w:rPr>
      <w:b/>
      <w:bCs/>
      <w:sz w:val="20"/>
      <w:szCs w:val="20"/>
      <w:lang w:val="en-US"/>
    </w:rPr>
  </w:style>
  <w:style w:type="paragraph" w:styleId="Textbubliny">
    <w:name w:val="Balloon Text"/>
    <w:basedOn w:val="Normln"/>
    <w:link w:val="TextbublinyChar"/>
    <w:uiPriority w:val="99"/>
    <w:semiHidden/>
    <w:unhideWhenUsed/>
    <w:rsid w:val="00E70050"/>
    <w:rPr>
      <w:rFonts w:ascii="Segoe UI" w:hAnsi="Segoe UI" w:cs="Segoe UI"/>
      <w:szCs w:val="18"/>
    </w:rPr>
  </w:style>
  <w:style w:type="character" w:customStyle="1" w:styleId="TextbublinyChar">
    <w:name w:val="Text bubliny Char"/>
    <w:link w:val="Textbubliny"/>
    <w:uiPriority w:val="99"/>
    <w:semiHidden/>
    <w:rsid w:val="00DA3C3F"/>
    <w:rPr>
      <w:rFonts w:ascii="Segoe UI" w:hAnsi="Segoe UI" w:cs="Segoe UI"/>
      <w:sz w:val="20"/>
      <w:szCs w:val="18"/>
      <w:lang w:val="en-US"/>
    </w:rPr>
  </w:style>
  <w:style w:type="paragraph" w:styleId="Obsah1">
    <w:name w:val="toc 1"/>
    <w:basedOn w:val="Normln"/>
    <w:next w:val="Normln"/>
    <w:autoRedefine/>
    <w:uiPriority w:val="39"/>
    <w:unhideWhenUsed/>
    <w:rsid w:val="00331476"/>
    <w:pPr>
      <w:tabs>
        <w:tab w:val="left" w:pos="851"/>
        <w:tab w:val="right" w:leader="dot" w:pos="9526"/>
      </w:tabs>
      <w:spacing w:before="0"/>
      <w:ind w:left="851" w:right="454" w:hanging="851"/>
    </w:pPr>
    <w:rPr>
      <w:caps/>
      <w:color w:val="000000"/>
    </w:rPr>
  </w:style>
  <w:style w:type="character" w:styleId="Hypertextovodkaz">
    <w:name w:val="Hyperlink"/>
    <w:uiPriority w:val="99"/>
    <w:unhideWhenUsed/>
    <w:rsid w:val="00E70050"/>
    <w:rPr>
      <w:color w:val="0563C1"/>
      <w:u w:val="single"/>
    </w:rPr>
  </w:style>
  <w:style w:type="paragraph" w:styleId="Obsah2">
    <w:name w:val="toc 2"/>
    <w:basedOn w:val="Normln"/>
    <w:next w:val="Normln"/>
    <w:autoRedefine/>
    <w:uiPriority w:val="39"/>
    <w:unhideWhenUsed/>
    <w:rsid w:val="00221544"/>
    <w:pPr>
      <w:tabs>
        <w:tab w:val="left" w:pos="851"/>
        <w:tab w:val="right" w:leader="dot" w:pos="9526"/>
      </w:tabs>
      <w:spacing w:before="60"/>
      <w:ind w:left="850" w:right="454" w:hanging="510"/>
    </w:pPr>
  </w:style>
  <w:style w:type="paragraph" w:styleId="Obsah3">
    <w:name w:val="toc 3"/>
    <w:basedOn w:val="Normln"/>
    <w:next w:val="Normln"/>
    <w:autoRedefine/>
    <w:uiPriority w:val="39"/>
    <w:unhideWhenUsed/>
    <w:rsid w:val="004856A2"/>
    <w:pPr>
      <w:tabs>
        <w:tab w:val="left" w:pos="1418"/>
        <w:tab w:val="right" w:leader="dot" w:pos="9526"/>
      </w:tabs>
      <w:spacing w:before="60"/>
      <w:ind w:left="1418" w:right="255" w:hanging="794"/>
    </w:pPr>
  </w:style>
  <w:style w:type="paragraph" w:customStyle="1" w:styleId="Nadpis1neslovan">
    <w:name w:val="Nadpis 1 _ nečíslovaný"/>
    <w:basedOn w:val="Nadpis1"/>
    <w:next w:val="Normln"/>
    <w:qFormat/>
    <w:rsid w:val="0063344A"/>
    <w:pPr>
      <w:numPr>
        <w:numId w:val="0"/>
      </w:numPr>
      <w:spacing w:after="240"/>
    </w:pPr>
    <w:rPr>
      <w:szCs w:val="40"/>
      <w:lang w:eastAsia="cs-CZ"/>
    </w:rPr>
  </w:style>
  <w:style w:type="paragraph" w:customStyle="1" w:styleId="Tabulkanzev">
    <w:name w:val="Tabulka název"/>
    <w:basedOn w:val="Normln"/>
    <w:next w:val="Normln"/>
    <w:link w:val="TabulkanzevChar"/>
    <w:qFormat/>
    <w:rsid w:val="00BA72D5"/>
    <w:pPr>
      <w:numPr>
        <w:numId w:val="1"/>
      </w:numPr>
      <w:tabs>
        <w:tab w:val="left" w:pos="851"/>
      </w:tabs>
      <w:spacing w:after="120"/>
      <w:ind w:left="357" w:hanging="357"/>
      <w:outlineLvl w:val="5"/>
    </w:pPr>
    <w:rPr>
      <w:rFonts w:eastAsia="Times New Roman"/>
      <w:b/>
      <w:color w:val="0070C0"/>
      <w:sz w:val="18"/>
      <w:szCs w:val="18"/>
      <w:lang w:eastAsia="cs-CZ"/>
    </w:rPr>
  </w:style>
  <w:style w:type="character" w:customStyle="1" w:styleId="Nadpis6Char">
    <w:name w:val="Nadpis 6 Char"/>
    <w:aliases w:val="ne Char"/>
    <w:link w:val="Nadpis6"/>
    <w:uiPriority w:val="9"/>
    <w:rsid w:val="00AD7259"/>
    <w:rPr>
      <w:rFonts w:ascii="Calibri" w:eastAsia="Times New Roman" w:hAnsi="Calibri" w:cs="Times New Roman"/>
      <w:bCs/>
      <w:sz w:val="20"/>
      <w:lang w:val="cs-CZ" w:eastAsia="cs-CZ"/>
    </w:rPr>
  </w:style>
  <w:style w:type="character" w:customStyle="1" w:styleId="Nadpis7Char">
    <w:name w:val="Nadpis 7 Char"/>
    <w:link w:val="Nadpis7"/>
    <w:uiPriority w:val="9"/>
    <w:semiHidden/>
    <w:rsid w:val="00DD117E"/>
    <w:rPr>
      <w:rFonts w:ascii="Calibri" w:eastAsia="Times New Roman" w:hAnsi="Calibri" w:cs="Times New Roman"/>
      <w:sz w:val="24"/>
      <w:szCs w:val="24"/>
      <w:lang w:val="cs-CZ" w:eastAsia="cs-CZ"/>
    </w:rPr>
  </w:style>
  <w:style w:type="character" w:customStyle="1" w:styleId="Nadpis8Char">
    <w:name w:val="Nadpis 8 Char"/>
    <w:link w:val="Nadpis8"/>
    <w:uiPriority w:val="9"/>
    <w:semiHidden/>
    <w:rsid w:val="00DD117E"/>
    <w:rPr>
      <w:rFonts w:ascii="Calibri" w:eastAsia="Times New Roman" w:hAnsi="Calibri" w:cs="Times New Roman"/>
      <w:i/>
      <w:iCs/>
      <w:sz w:val="24"/>
      <w:szCs w:val="24"/>
      <w:lang w:val="cs-CZ" w:eastAsia="cs-CZ"/>
    </w:rPr>
  </w:style>
  <w:style w:type="character" w:customStyle="1" w:styleId="Nadpis9Char">
    <w:name w:val="Nadpis 9 Char"/>
    <w:link w:val="Nadpis9"/>
    <w:uiPriority w:val="9"/>
    <w:semiHidden/>
    <w:rsid w:val="00DD117E"/>
    <w:rPr>
      <w:rFonts w:ascii="Cambria" w:eastAsia="Times New Roman" w:hAnsi="Cambria" w:cs="Times New Roman"/>
      <w:lang w:val="cs-CZ" w:eastAsia="cs-CZ"/>
    </w:rPr>
  </w:style>
  <w:style w:type="numbering" w:customStyle="1" w:styleId="Bezseznamu1">
    <w:name w:val="Bez seznamu1"/>
    <w:next w:val="Bezseznamu"/>
    <w:uiPriority w:val="99"/>
    <w:semiHidden/>
    <w:unhideWhenUsed/>
    <w:rsid w:val="00DD117E"/>
  </w:style>
  <w:style w:type="paragraph" w:customStyle="1" w:styleId="Podnadpis2">
    <w:name w:val="Podnadpis 2"/>
    <w:basedOn w:val="Podnadpis1"/>
    <w:next w:val="Normln"/>
    <w:link w:val="Podnadpis2Char"/>
    <w:qFormat/>
    <w:rsid w:val="001749D9"/>
    <w:pPr>
      <w:spacing w:after="120"/>
    </w:pPr>
    <w:rPr>
      <w:b w:val="0"/>
    </w:rPr>
  </w:style>
  <w:style w:type="paragraph" w:customStyle="1" w:styleId="Podnadpis1">
    <w:name w:val="Podnadpis 1"/>
    <w:next w:val="Normln"/>
    <w:link w:val="Podnadpis1Char"/>
    <w:qFormat/>
    <w:rsid w:val="001D4533"/>
    <w:pPr>
      <w:keepNext/>
      <w:widowControl w:val="0"/>
      <w:spacing w:before="180"/>
    </w:pPr>
    <w:rPr>
      <w:rFonts w:eastAsia="Times New Roman"/>
      <w:b/>
      <w:i/>
      <w:snapToGrid w:val="0"/>
      <w:color w:val="233845"/>
    </w:rPr>
  </w:style>
  <w:style w:type="character" w:customStyle="1" w:styleId="Podnadpis1Char">
    <w:name w:val="Podnadpis 1 Char"/>
    <w:link w:val="Podnadpis1"/>
    <w:qFormat/>
    <w:rsid w:val="001D4533"/>
    <w:rPr>
      <w:rFonts w:ascii="Arial" w:eastAsia="Times New Roman" w:hAnsi="Arial" w:cs="Times New Roman"/>
      <w:b/>
      <w:i/>
      <w:snapToGrid w:val="0"/>
      <w:color w:val="233845"/>
      <w:sz w:val="20"/>
      <w:szCs w:val="20"/>
      <w:lang w:val="cs-CZ" w:eastAsia="cs-CZ"/>
    </w:rPr>
  </w:style>
  <w:style w:type="character" w:customStyle="1" w:styleId="Podnadpis2Char">
    <w:name w:val="Podnadpis 2 Char"/>
    <w:link w:val="Podnadpis2"/>
    <w:rsid w:val="001749D9"/>
    <w:rPr>
      <w:rFonts w:ascii="Arial" w:eastAsia="Times New Roman" w:hAnsi="Arial" w:cs="Times New Roman"/>
      <w:i/>
      <w:snapToGrid w:val="0"/>
      <w:color w:val="233845"/>
      <w:sz w:val="20"/>
      <w:szCs w:val="20"/>
      <w:lang w:val="cs-CZ" w:eastAsia="cs-CZ"/>
    </w:rPr>
  </w:style>
  <w:style w:type="paragraph" w:customStyle="1" w:styleId="Tabulkatext">
    <w:name w:val="Tabulka text"/>
    <w:basedOn w:val="Normln"/>
    <w:link w:val="TabulkatextChar"/>
    <w:rsid w:val="00DD117E"/>
    <w:pPr>
      <w:spacing w:before="60" w:after="60"/>
    </w:pPr>
    <w:rPr>
      <w:rFonts w:eastAsia="Times New Roman"/>
      <w:bCs/>
      <w:sz w:val="18"/>
      <w:szCs w:val="18"/>
      <w:lang w:eastAsia="cs-CZ"/>
    </w:rPr>
  </w:style>
  <w:style w:type="paragraph" w:customStyle="1" w:styleId="Literaturatext">
    <w:name w:val="Literatura text"/>
    <w:basedOn w:val="Normln"/>
    <w:rsid w:val="00DD117E"/>
    <w:pPr>
      <w:ind w:left="284" w:hanging="284"/>
    </w:pPr>
    <w:rPr>
      <w:rFonts w:eastAsia="Times New Roman"/>
      <w:szCs w:val="20"/>
      <w:lang w:eastAsia="cs-CZ"/>
    </w:rPr>
  </w:style>
  <w:style w:type="table" w:customStyle="1" w:styleId="Tabulkamka">
    <w:name w:val="Tabulka mřížka"/>
    <w:basedOn w:val="Normlntabulka"/>
    <w:rsid w:val="00A30980"/>
    <w:pPr>
      <w:spacing w:before="60" w:after="60"/>
    </w:pPr>
    <w:rPr>
      <w:rFonts w:eastAsia="Times New Roman"/>
      <w:sz w:val="18"/>
    </w:rPr>
    <w:tblPr>
      <w:tblInd w:w="11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Pr>
    <w:tcPr>
      <w:vAlign w:val="center"/>
    </w:tcPr>
    <w:tblStylePr w:type="firstRow">
      <w:pPr>
        <w:wordWrap/>
        <w:spacing w:beforeLines="0" w:before="60" w:beforeAutospacing="0" w:afterLines="0" w:after="60" w:afterAutospacing="0" w:line="240" w:lineRule="auto"/>
        <w:ind w:leftChars="0" w:left="0" w:rightChars="0" w:right="0"/>
        <w:jc w:val="center"/>
      </w:pPr>
      <w:rPr>
        <w:rFonts w:ascii="Arial" w:hAnsi="Arial"/>
        <w:b/>
        <w:color w:val="FFFFFF"/>
        <w:sz w:val="18"/>
      </w:rPr>
      <w:tblPr/>
      <w:tcPr>
        <w:tcBorders>
          <w:top w:val="single" w:sz="8" w:space="0" w:color="auto"/>
          <w:left w:val="single" w:sz="8" w:space="0" w:color="auto"/>
          <w:bottom w:val="single" w:sz="8" w:space="0" w:color="auto"/>
          <w:right w:val="single" w:sz="8" w:space="0" w:color="auto"/>
        </w:tcBorders>
        <w:shd w:val="clear" w:color="auto" w:fill="888B8D"/>
      </w:tcPr>
    </w:tblStylePr>
  </w:style>
  <w:style w:type="paragraph" w:customStyle="1" w:styleId="Obrnadpis">
    <w:name w:val="Obr. nadpis"/>
    <w:basedOn w:val="Normln"/>
    <w:next w:val="Normln"/>
    <w:link w:val="ObrnadpisChar"/>
    <w:qFormat/>
    <w:rsid w:val="00BA72D5"/>
    <w:pPr>
      <w:widowControl w:val="0"/>
      <w:numPr>
        <w:numId w:val="5"/>
      </w:numPr>
      <w:tabs>
        <w:tab w:val="left" w:pos="680"/>
      </w:tabs>
      <w:spacing w:after="60"/>
      <w:outlineLvl w:val="5"/>
    </w:pPr>
    <w:rPr>
      <w:rFonts w:eastAsia="Times New Roman"/>
      <w:b/>
      <w:noProof/>
      <w:color w:val="0070C0"/>
      <w:sz w:val="18"/>
      <w:szCs w:val="20"/>
      <w:lang w:eastAsia="cs-CZ"/>
    </w:rPr>
  </w:style>
  <w:style w:type="paragraph" w:customStyle="1" w:styleId="Nadpis-Ploha">
    <w:name w:val="Nadpis - Příloha"/>
    <w:basedOn w:val="Normln"/>
    <w:next w:val="Normln"/>
    <w:rsid w:val="00842241"/>
    <w:pPr>
      <w:numPr>
        <w:numId w:val="6"/>
      </w:numPr>
      <w:tabs>
        <w:tab w:val="left" w:pos="1247"/>
      </w:tabs>
      <w:ind w:left="1191" w:hanging="1191"/>
      <w:outlineLvl w:val="4"/>
    </w:pPr>
    <w:rPr>
      <w:rFonts w:eastAsia="Times New Roman"/>
      <w:szCs w:val="20"/>
      <w:lang w:eastAsia="cs-CZ"/>
    </w:rPr>
  </w:style>
  <w:style w:type="table" w:customStyle="1" w:styleId="Mkatabulky1">
    <w:name w:val="Mřížka tabulky1"/>
    <w:basedOn w:val="Normlntabulka"/>
    <w:next w:val="Mkatabulky"/>
    <w:rsid w:val="00DD117E"/>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Zstupntext">
    <w:name w:val="Placeholder Text"/>
    <w:uiPriority w:val="99"/>
    <w:semiHidden/>
    <w:rsid w:val="00DD117E"/>
    <w:rPr>
      <w:color w:val="808080"/>
    </w:rPr>
  </w:style>
  <w:style w:type="table" w:customStyle="1" w:styleId="Mkatabulky11">
    <w:name w:val="Mřížka tabulky11"/>
    <w:basedOn w:val="Normlntabulka"/>
    <w:next w:val="Mkatabulky"/>
    <w:uiPriority w:val="59"/>
    <w:rsid w:val="00DD117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ze">
    <w:name w:val="Revision"/>
    <w:hidden/>
    <w:uiPriority w:val="99"/>
    <w:semiHidden/>
    <w:rsid w:val="00DD117E"/>
    <w:rPr>
      <w:rFonts w:eastAsia="Times New Roman"/>
    </w:rPr>
  </w:style>
  <w:style w:type="paragraph" w:styleId="Obsah5">
    <w:name w:val="toc 5"/>
    <w:basedOn w:val="Normln"/>
    <w:next w:val="Normln"/>
    <w:autoRedefine/>
    <w:uiPriority w:val="39"/>
    <w:unhideWhenUsed/>
    <w:rsid w:val="002174A4"/>
    <w:pPr>
      <w:tabs>
        <w:tab w:val="left" w:pos="709"/>
        <w:tab w:val="right" w:leader="dot" w:pos="9526"/>
      </w:tabs>
      <w:spacing w:before="0"/>
      <w:ind w:left="709" w:right="454" w:hanging="709"/>
    </w:pPr>
  </w:style>
  <w:style w:type="paragraph" w:styleId="Odstavecseseznamem">
    <w:name w:val="List Paragraph"/>
    <w:basedOn w:val="Normln"/>
    <w:link w:val="OdstavecseseznamemChar"/>
    <w:uiPriority w:val="99"/>
    <w:qFormat/>
    <w:rsid w:val="008336F7"/>
    <w:pPr>
      <w:ind w:left="720"/>
      <w:contextualSpacing/>
    </w:pPr>
  </w:style>
  <w:style w:type="character" w:customStyle="1" w:styleId="PodnadpisChar">
    <w:name w:val="Podnadpis Char"/>
    <w:link w:val="Podnadpis10"/>
    <w:rsid w:val="0008043D"/>
    <w:rPr>
      <w:rFonts w:ascii="Arial" w:hAnsi="Arial"/>
      <w:b/>
      <w:i/>
      <w:lang w:val="x-none" w:eastAsia="x-none"/>
    </w:rPr>
  </w:style>
  <w:style w:type="paragraph" w:customStyle="1" w:styleId="Podnadpis10">
    <w:name w:val="Podnadpis1"/>
    <w:basedOn w:val="Normln"/>
    <w:next w:val="Normln"/>
    <w:link w:val="PodnadpisChar"/>
    <w:qFormat/>
    <w:rsid w:val="0008043D"/>
    <w:pPr>
      <w:keepNext/>
      <w:contextualSpacing/>
    </w:pPr>
    <w:rPr>
      <w:b/>
      <w:i/>
      <w:sz w:val="22"/>
      <w:lang w:val="x-none" w:eastAsia="x-none"/>
    </w:rPr>
  </w:style>
  <w:style w:type="paragraph" w:customStyle="1" w:styleId="seznamsodrkami">
    <w:name w:val="seznam s odrážkami"/>
    <w:basedOn w:val="Normln"/>
    <w:link w:val="seznamsodrkamiChar"/>
    <w:qFormat/>
    <w:rsid w:val="0008043D"/>
    <w:pPr>
      <w:numPr>
        <w:numId w:val="8"/>
      </w:numPr>
      <w:tabs>
        <w:tab w:val="left" w:pos="357"/>
      </w:tabs>
      <w:ind w:left="714" w:hanging="357"/>
    </w:pPr>
    <w:rPr>
      <w:rFonts w:eastAsia="Times New Roman"/>
      <w:szCs w:val="20"/>
      <w:lang w:val="x-none" w:eastAsia="x-none"/>
    </w:rPr>
  </w:style>
  <w:style w:type="character" w:customStyle="1" w:styleId="seznamsodrkamiChar">
    <w:name w:val="seznam s odrážkami Char"/>
    <w:link w:val="seznamsodrkami"/>
    <w:rsid w:val="0008043D"/>
    <w:rPr>
      <w:rFonts w:eastAsia="Times New Roman"/>
      <w:lang w:val="x-none" w:eastAsia="x-none"/>
    </w:rPr>
  </w:style>
  <w:style w:type="paragraph" w:customStyle="1" w:styleId="Texttabulky">
    <w:name w:val="Text tabulky"/>
    <w:qFormat/>
    <w:rsid w:val="0008043D"/>
    <w:pPr>
      <w:widowControl w:val="0"/>
    </w:pPr>
    <w:rPr>
      <w:rFonts w:eastAsia="Times New Roman"/>
      <w:snapToGrid w:val="0"/>
      <w:color w:val="000000"/>
      <w:sz w:val="16"/>
    </w:rPr>
  </w:style>
  <w:style w:type="paragraph" w:customStyle="1" w:styleId="normln0">
    <w:name w:val="normální"/>
    <w:basedOn w:val="Normln"/>
    <w:rsid w:val="0008043D"/>
    <w:rPr>
      <w:rFonts w:ascii="Times New Roman" w:eastAsia="Times New Roman" w:hAnsi="Times New Roman"/>
      <w:sz w:val="24"/>
      <w:szCs w:val="20"/>
      <w:lang w:eastAsia="cs-CZ"/>
    </w:rPr>
  </w:style>
  <w:style w:type="paragraph" w:customStyle="1" w:styleId="Tabnadpis">
    <w:name w:val="Tab. nadpis"/>
    <w:basedOn w:val="Normln"/>
    <w:next w:val="Normln"/>
    <w:rsid w:val="0008043D"/>
    <w:pPr>
      <w:widowControl w:val="0"/>
      <w:tabs>
        <w:tab w:val="num" w:pos="737"/>
      </w:tabs>
      <w:spacing w:before="180" w:after="60"/>
      <w:ind w:left="737" w:hanging="737"/>
      <w:jc w:val="left"/>
      <w:outlineLvl w:val="5"/>
    </w:pPr>
    <w:rPr>
      <w:rFonts w:eastAsia="Times New Roman"/>
      <w:b/>
      <w:sz w:val="18"/>
      <w:szCs w:val="20"/>
      <w:lang w:eastAsia="cs-CZ"/>
    </w:rPr>
  </w:style>
  <w:style w:type="paragraph" w:customStyle="1" w:styleId="seznamsodrkami1">
    <w:name w:val="seznam s odrážkami"/>
    <w:basedOn w:val="Normln"/>
    <w:link w:val="seznamsodrkamiChar0"/>
    <w:rsid w:val="0008043D"/>
    <w:pPr>
      <w:numPr>
        <w:numId w:val="10"/>
      </w:numPr>
    </w:pPr>
    <w:rPr>
      <w:rFonts w:eastAsia="Times New Roman"/>
      <w:szCs w:val="20"/>
      <w:lang w:eastAsia="cs-CZ"/>
    </w:rPr>
  </w:style>
  <w:style w:type="character" w:customStyle="1" w:styleId="seznamsodrkamiChar0">
    <w:name w:val="seznam s odrážkami Char"/>
    <w:link w:val="seznamsodrkami1"/>
    <w:rsid w:val="0008043D"/>
    <w:rPr>
      <w:rFonts w:eastAsia="Times New Roman"/>
    </w:rPr>
  </w:style>
  <w:style w:type="paragraph" w:styleId="Textpoznpodarou">
    <w:name w:val="footnote text"/>
    <w:aliases w:val="Schriftart: 9 pt,Schriftart: 10 pt,Schriftart: 8 pt,pozn. pod čarou"/>
    <w:basedOn w:val="Normln"/>
    <w:link w:val="TextpoznpodarouChar"/>
    <w:uiPriority w:val="99"/>
    <w:rsid w:val="0008043D"/>
    <w:pPr>
      <w:spacing w:before="60"/>
    </w:pPr>
    <w:rPr>
      <w:rFonts w:eastAsia="Times New Roman"/>
      <w:sz w:val="18"/>
      <w:szCs w:val="20"/>
      <w:lang w:eastAsia="cs-CZ"/>
    </w:rPr>
  </w:style>
  <w:style w:type="character" w:customStyle="1" w:styleId="TextpoznpodarouChar">
    <w:name w:val="Text pozn. pod čarou Char"/>
    <w:aliases w:val="Schriftart: 9 pt Char,Schriftart: 10 pt Char,Schriftart: 8 pt Char,pozn. pod čarou Char"/>
    <w:link w:val="Textpoznpodarou"/>
    <w:uiPriority w:val="99"/>
    <w:rsid w:val="0008043D"/>
    <w:rPr>
      <w:rFonts w:ascii="Arial" w:eastAsia="Times New Roman" w:hAnsi="Arial" w:cs="Times New Roman"/>
      <w:sz w:val="18"/>
      <w:szCs w:val="20"/>
      <w:lang w:val="cs-CZ" w:eastAsia="cs-CZ"/>
    </w:rPr>
  </w:style>
  <w:style w:type="character" w:styleId="Znakapoznpodarou">
    <w:name w:val="footnote reference"/>
    <w:uiPriority w:val="99"/>
    <w:semiHidden/>
    <w:rsid w:val="0008043D"/>
    <w:rPr>
      <w:vertAlign w:val="superscript"/>
    </w:rPr>
  </w:style>
  <w:style w:type="paragraph" w:customStyle="1" w:styleId="StylKurzvaPrvndek05cmPed0bZa48b">
    <w:name w:val="Styl Kurzíva První řádek:  05 cm Před:  0 b. Za:  48 b."/>
    <w:basedOn w:val="Normln"/>
    <w:rsid w:val="0008043D"/>
    <w:pPr>
      <w:spacing w:before="240" w:after="120"/>
      <w:ind w:firstLine="284"/>
    </w:pPr>
    <w:rPr>
      <w:rFonts w:eastAsia="Times New Roman"/>
      <w:i/>
      <w:iCs/>
      <w:szCs w:val="20"/>
      <w:lang w:eastAsia="cs-CZ"/>
    </w:rPr>
  </w:style>
  <w:style w:type="paragraph" w:customStyle="1" w:styleId="Default">
    <w:name w:val="Default"/>
    <w:rsid w:val="0008043D"/>
    <w:pPr>
      <w:autoSpaceDE w:val="0"/>
      <w:autoSpaceDN w:val="0"/>
      <w:adjustRightInd w:val="0"/>
    </w:pPr>
    <w:rPr>
      <w:rFonts w:cs="Arial"/>
      <w:color w:val="000000"/>
      <w:sz w:val="24"/>
      <w:szCs w:val="24"/>
      <w:lang w:eastAsia="en-US"/>
    </w:rPr>
  </w:style>
  <w:style w:type="paragraph" w:customStyle="1" w:styleId="podnadpis3">
    <w:name w:val="podnadpis 3"/>
    <w:basedOn w:val="Normln"/>
    <w:link w:val="podnadpis3Char"/>
    <w:autoRedefine/>
    <w:qFormat/>
    <w:rsid w:val="00685811"/>
    <w:pPr>
      <w:keepNext/>
    </w:pPr>
    <w:rPr>
      <w:rFonts w:eastAsia="Times New Roman"/>
      <w:szCs w:val="20"/>
      <w:lang w:eastAsia="x-none"/>
    </w:rPr>
  </w:style>
  <w:style w:type="character" w:customStyle="1" w:styleId="podnadpis3Char">
    <w:name w:val="podnadpis 3 Char"/>
    <w:link w:val="podnadpis3"/>
    <w:rsid w:val="00685811"/>
    <w:rPr>
      <w:rFonts w:eastAsia="Times New Roman"/>
      <w:lang w:eastAsia="x-none"/>
    </w:rPr>
  </w:style>
  <w:style w:type="character" w:customStyle="1" w:styleId="A4">
    <w:name w:val="A4"/>
    <w:uiPriority w:val="99"/>
    <w:rsid w:val="0008043D"/>
    <w:rPr>
      <w:rFonts w:cs="QHZKKN+FrankfurtGothic"/>
      <w:color w:val="000000"/>
      <w:sz w:val="22"/>
      <w:szCs w:val="22"/>
    </w:rPr>
  </w:style>
  <w:style w:type="paragraph" w:styleId="Normlnweb">
    <w:name w:val="Normal (Web)"/>
    <w:basedOn w:val="Normln"/>
    <w:uiPriority w:val="99"/>
    <w:unhideWhenUsed/>
    <w:rsid w:val="0008043D"/>
    <w:pPr>
      <w:spacing w:before="100" w:beforeAutospacing="1" w:after="100" w:afterAutospacing="1"/>
      <w:jc w:val="left"/>
    </w:pPr>
    <w:rPr>
      <w:rFonts w:ascii="Times New Roman" w:eastAsia="Times New Roman" w:hAnsi="Times New Roman"/>
      <w:sz w:val="24"/>
      <w:szCs w:val="24"/>
      <w:lang w:eastAsia="cs-CZ"/>
    </w:rPr>
  </w:style>
  <w:style w:type="character" w:styleId="Siln">
    <w:name w:val="Strong"/>
    <w:uiPriority w:val="22"/>
    <w:qFormat/>
    <w:rsid w:val="0008043D"/>
    <w:rPr>
      <w:b/>
      <w:bCs/>
    </w:rPr>
  </w:style>
  <w:style w:type="character" w:customStyle="1" w:styleId="Zdraznn1">
    <w:name w:val="Zdůraznění1"/>
    <w:uiPriority w:val="20"/>
    <w:qFormat/>
    <w:rsid w:val="0008043D"/>
    <w:rPr>
      <w:i/>
      <w:iCs/>
    </w:rPr>
  </w:style>
  <w:style w:type="paragraph" w:customStyle="1" w:styleId="Podnadpis20">
    <w:name w:val="Podnadpis2"/>
    <w:basedOn w:val="Normln"/>
    <w:next w:val="Normln"/>
    <w:link w:val="PodnadpisChar1"/>
    <w:qFormat/>
    <w:rsid w:val="0008043D"/>
    <w:pPr>
      <w:numPr>
        <w:ilvl w:val="1"/>
      </w:numPr>
    </w:pPr>
    <w:rPr>
      <w:rFonts w:eastAsia="Times New Roman"/>
      <w:i/>
      <w:iCs/>
      <w:color w:val="884C91"/>
      <w:spacing w:val="15"/>
      <w:szCs w:val="20"/>
    </w:rPr>
  </w:style>
  <w:style w:type="character" w:customStyle="1" w:styleId="PodnadpisChar1">
    <w:name w:val="Podnadpis Char1"/>
    <w:link w:val="Podnadpis20"/>
    <w:rsid w:val="0008043D"/>
    <w:rPr>
      <w:rFonts w:ascii="Arial" w:eastAsia="Times New Roman" w:hAnsi="Arial" w:cs="Times New Roman"/>
      <w:i/>
      <w:iCs/>
      <w:color w:val="884C91"/>
      <w:spacing w:val="15"/>
      <w:sz w:val="20"/>
      <w:szCs w:val="20"/>
      <w:lang w:val="cs-CZ"/>
    </w:rPr>
  </w:style>
  <w:style w:type="paragraph" w:customStyle="1" w:styleId="Odrka1">
    <w:name w:val="Odrážka 1"/>
    <w:next w:val="Normln"/>
    <w:link w:val="Odrka1Char"/>
    <w:qFormat/>
    <w:rsid w:val="0008043D"/>
    <w:pPr>
      <w:keepLines/>
      <w:widowControl w:val="0"/>
      <w:numPr>
        <w:numId w:val="12"/>
      </w:numPr>
      <w:spacing w:before="60" w:after="40"/>
    </w:pPr>
    <w:rPr>
      <w:rFonts w:eastAsia="Times New Roman"/>
      <w:snapToGrid w:val="0"/>
      <w:color w:val="000000"/>
    </w:rPr>
  </w:style>
  <w:style w:type="character" w:styleId="Zdraznnjemn">
    <w:name w:val="Subtle Emphasis"/>
    <w:uiPriority w:val="19"/>
    <w:qFormat/>
    <w:rsid w:val="0008043D"/>
    <w:rPr>
      <w:i/>
      <w:iCs/>
      <w:color w:val="808080"/>
    </w:rPr>
  </w:style>
  <w:style w:type="character" w:customStyle="1" w:styleId="Odrka1Char">
    <w:name w:val="Odrážka 1 Char"/>
    <w:link w:val="Odrka1"/>
    <w:rsid w:val="0008043D"/>
    <w:rPr>
      <w:rFonts w:eastAsia="Times New Roman"/>
      <w:snapToGrid w:val="0"/>
      <w:color w:val="000000"/>
    </w:rPr>
  </w:style>
  <w:style w:type="paragraph" w:customStyle="1" w:styleId="Styl3">
    <w:name w:val="Styl3"/>
    <w:basedOn w:val="Normln"/>
    <w:link w:val="Styl3Char"/>
    <w:qFormat/>
    <w:rsid w:val="0008043D"/>
    <w:pPr>
      <w:numPr>
        <w:numId w:val="13"/>
      </w:numPr>
      <w:suppressAutoHyphens/>
      <w:autoSpaceDN w:val="0"/>
      <w:spacing w:after="60"/>
      <w:textAlignment w:val="baseline"/>
    </w:pPr>
    <w:rPr>
      <w:rFonts w:eastAsia="Calibri"/>
      <w:szCs w:val="20"/>
    </w:rPr>
  </w:style>
  <w:style w:type="character" w:customStyle="1" w:styleId="Styl3Char">
    <w:name w:val="Styl3 Char"/>
    <w:link w:val="Styl3"/>
    <w:rsid w:val="0008043D"/>
    <w:rPr>
      <w:rFonts w:eastAsia="Calibri"/>
      <w:lang w:eastAsia="en-US"/>
    </w:rPr>
  </w:style>
  <w:style w:type="paragraph" w:styleId="FormtovanvHTML">
    <w:name w:val="HTML Preformatted"/>
    <w:basedOn w:val="Normln"/>
    <w:link w:val="FormtovanvHTMLChar"/>
    <w:rsid w:val="0008043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jc w:val="left"/>
    </w:pPr>
    <w:rPr>
      <w:rFonts w:ascii="Courier New" w:eastAsia="Times New Roman" w:hAnsi="Courier New" w:cs="Courier New"/>
      <w:szCs w:val="20"/>
      <w:lang w:eastAsia="cs-CZ"/>
    </w:rPr>
  </w:style>
  <w:style w:type="character" w:customStyle="1" w:styleId="FormtovanvHTMLChar">
    <w:name w:val="Formátovaný v HTML Char"/>
    <w:link w:val="FormtovanvHTML"/>
    <w:rsid w:val="0008043D"/>
    <w:rPr>
      <w:rFonts w:ascii="Courier New" w:eastAsia="Times New Roman" w:hAnsi="Courier New" w:cs="Courier New"/>
      <w:sz w:val="20"/>
      <w:szCs w:val="20"/>
      <w:lang w:val="cs-CZ" w:eastAsia="cs-CZ"/>
    </w:rPr>
  </w:style>
  <w:style w:type="paragraph" w:styleId="Obsah4">
    <w:name w:val="toc 4"/>
    <w:basedOn w:val="Normln"/>
    <w:next w:val="Normln"/>
    <w:autoRedefine/>
    <w:uiPriority w:val="39"/>
    <w:unhideWhenUsed/>
    <w:rsid w:val="0008043D"/>
    <w:pPr>
      <w:tabs>
        <w:tab w:val="left" w:pos="1540"/>
        <w:tab w:val="right" w:leader="dot" w:pos="9628"/>
      </w:tabs>
      <w:spacing w:after="100"/>
      <w:ind w:left="851" w:hanging="851"/>
    </w:pPr>
  </w:style>
  <w:style w:type="paragraph" w:customStyle="1" w:styleId="CharChar1">
    <w:name w:val="Char Char1"/>
    <w:basedOn w:val="Normln"/>
    <w:rsid w:val="0008043D"/>
    <w:pPr>
      <w:spacing w:before="0" w:after="160" w:line="240" w:lineRule="exact"/>
      <w:jc w:val="left"/>
    </w:pPr>
    <w:rPr>
      <w:rFonts w:ascii="Verdana" w:eastAsia="Times New Roman" w:hAnsi="Verdana"/>
      <w:szCs w:val="20"/>
      <w:lang w:val="en-US"/>
    </w:rPr>
  </w:style>
  <w:style w:type="paragraph" w:customStyle="1" w:styleId="StylPrvndek125cm">
    <w:name w:val="Styl První řádek:  125 cm"/>
    <w:basedOn w:val="Normln"/>
    <w:rsid w:val="0008043D"/>
    <w:pPr>
      <w:spacing w:line="300" w:lineRule="atLeast"/>
    </w:pPr>
    <w:rPr>
      <w:rFonts w:ascii="Times New Roman" w:eastAsia="Times New Roman" w:hAnsi="Times New Roman"/>
      <w:sz w:val="22"/>
      <w:szCs w:val="20"/>
      <w:lang w:eastAsia="cs-CZ"/>
    </w:rPr>
  </w:style>
  <w:style w:type="paragraph" w:customStyle="1" w:styleId="NormlnEIAChar">
    <w:name w:val="Normální EIA Char"/>
    <w:basedOn w:val="Normln"/>
    <w:link w:val="NormlnEIACharChar3"/>
    <w:rsid w:val="0008043D"/>
    <w:pPr>
      <w:spacing w:before="60" w:line="300" w:lineRule="atLeast"/>
      <w:ind w:firstLine="709"/>
    </w:pPr>
    <w:rPr>
      <w:rFonts w:ascii="Times New Roman" w:eastAsia="Times New Roman" w:hAnsi="Times New Roman"/>
      <w:sz w:val="22"/>
      <w:lang w:eastAsia="cs-CZ"/>
    </w:rPr>
  </w:style>
  <w:style w:type="character" w:customStyle="1" w:styleId="NormlnEIACharChar3">
    <w:name w:val="Normální EIA Char Char3"/>
    <w:link w:val="NormlnEIAChar"/>
    <w:rsid w:val="0008043D"/>
    <w:rPr>
      <w:rFonts w:ascii="Times New Roman" w:eastAsia="Times New Roman" w:hAnsi="Times New Roman" w:cs="Times New Roman"/>
      <w:lang w:val="cs-CZ" w:eastAsia="cs-CZ"/>
    </w:rPr>
  </w:style>
  <w:style w:type="paragraph" w:styleId="Seznamsodrkami0">
    <w:name w:val="List Bullet"/>
    <w:basedOn w:val="Normln"/>
    <w:rsid w:val="0008043D"/>
    <w:pPr>
      <w:numPr>
        <w:numId w:val="14"/>
      </w:numPr>
      <w:spacing w:before="60" w:line="264" w:lineRule="auto"/>
    </w:pPr>
    <w:rPr>
      <w:rFonts w:ascii="Times New Roman" w:eastAsia="Times New Roman" w:hAnsi="Times New Roman"/>
      <w:sz w:val="24"/>
      <w:szCs w:val="20"/>
      <w:lang w:eastAsia="cs-CZ"/>
    </w:rPr>
  </w:style>
  <w:style w:type="character" w:styleId="Sledovanodkaz">
    <w:name w:val="FollowedHyperlink"/>
    <w:uiPriority w:val="99"/>
    <w:semiHidden/>
    <w:unhideWhenUsed/>
    <w:rsid w:val="0008043D"/>
    <w:rPr>
      <w:color w:val="800080"/>
      <w:u w:val="single"/>
    </w:rPr>
  </w:style>
  <w:style w:type="paragraph" w:customStyle="1" w:styleId="font5">
    <w:name w:val="font5"/>
    <w:basedOn w:val="Normln"/>
    <w:rsid w:val="0008043D"/>
    <w:pPr>
      <w:spacing w:before="100" w:beforeAutospacing="1" w:after="100" w:afterAutospacing="1"/>
      <w:jc w:val="left"/>
    </w:pPr>
    <w:rPr>
      <w:rFonts w:eastAsia="Times New Roman" w:cs="Arial"/>
      <w:color w:val="000000"/>
      <w:szCs w:val="20"/>
      <w:lang w:eastAsia="cs-CZ"/>
    </w:rPr>
  </w:style>
  <w:style w:type="paragraph" w:customStyle="1" w:styleId="font6">
    <w:name w:val="font6"/>
    <w:basedOn w:val="Normln"/>
    <w:rsid w:val="0008043D"/>
    <w:pPr>
      <w:spacing w:before="100" w:beforeAutospacing="1" w:after="100" w:afterAutospacing="1"/>
      <w:jc w:val="left"/>
    </w:pPr>
    <w:rPr>
      <w:rFonts w:ascii="Times New Roman" w:eastAsia="Times New Roman" w:hAnsi="Times New Roman"/>
      <w:color w:val="00B0B9"/>
      <w:sz w:val="14"/>
      <w:szCs w:val="14"/>
      <w:lang w:eastAsia="cs-CZ"/>
    </w:rPr>
  </w:style>
  <w:style w:type="paragraph" w:customStyle="1" w:styleId="font7">
    <w:name w:val="font7"/>
    <w:basedOn w:val="Normln"/>
    <w:rsid w:val="0008043D"/>
    <w:pPr>
      <w:spacing w:before="100" w:beforeAutospacing="1" w:after="100" w:afterAutospacing="1"/>
      <w:jc w:val="left"/>
    </w:pPr>
    <w:rPr>
      <w:rFonts w:eastAsia="Times New Roman" w:cs="Arial"/>
      <w:color w:val="000000"/>
      <w:sz w:val="18"/>
      <w:szCs w:val="18"/>
      <w:lang w:eastAsia="cs-CZ"/>
    </w:rPr>
  </w:style>
  <w:style w:type="paragraph" w:customStyle="1" w:styleId="font8">
    <w:name w:val="font8"/>
    <w:basedOn w:val="Normln"/>
    <w:rsid w:val="0008043D"/>
    <w:pPr>
      <w:spacing w:before="100" w:beforeAutospacing="1" w:after="100" w:afterAutospacing="1"/>
      <w:jc w:val="left"/>
    </w:pPr>
    <w:rPr>
      <w:rFonts w:ascii="Times New Roman" w:eastAsia="Times New Roman" w:hAnsi="Times New Roman"/>
      <w:color w:val="00B0B9"/>
      <w:sz w:val="18"/>
      <w:szCs w:val="18"/>
      <w:lang w:eastAsia="cs-CZ"/>
    </w:rPr>
  </w:style>
  <w:style w:type="paragraph" w:customStyle="1" w:styleId="font9">
    <w:name w:val="font9"/>
    <w:basedOn w:val="Normln"/>
    <w:rsid w:val="0008043D"/>
    <w:pPr>
      <w:spacing w:before="100" w:beforeAutospacing="1" w:after="100" w:afterAutospacing="1"/>
      <w:jc w:val="left"/>
    </w:pPr>
    <w:rPr>
      <w:rFonts w:eastAsia="Times New Roman" w:cs="Arial"/>
      <w:color w:val="000000"/>
      <w:sz w:val="18"/>
      <w:szCs w:val="18"/>
      <w:lang w:eastAsia="cs-CZ"/>
    </w:rPr>
  </w:style>
  <w:style w:type="paragraph" w:customStyle="1" w:styleId="xl63">
    <w:name w:val="xl63"/>
    <w:basedOn w:val="Normln"/>
    <w:rsid w:val="0008043D"/>
    <w:pPr>
      <w:spacing w:before="100" w:beforeAutospacing="1" w:after="100" w:afterAutospacing="1"/>
      <w:jc w:val="left"/>
    </w:pPr>
    <w:rPr>
      <w:rFonts w:eastAsia="Times New Roman" w:cs="Arial"/>
      <w:b/>
      <w:bCs/>
      <w:szCs w:val="20"/>
      <w:lang w:eastAsia="cs-CZ"/>
    </w:rPr>
  </w:style>
  <w:style w:type="paragraph" w:customStyle="1" w:styleId="xl65">
    <w:name w:val="xl65"/>
    <w:basedOn w:val="Normln"/>
    <w:rsid w:val="0008043D"/>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Times New Roman" w:cs="Arial"/>
      <w:b/>
      <w:bCs/>
      <w:szCs w:val="20"/>
      <w:lang w:eastAsia="cs-CZ"/>
    </w:rPr>
  </w:style>
  <w:style w:type="paragraph" w:customStyle="1" w:styleId="xl66">
    <w:name w:val="xl66"/>
    <w:basedOn w:val="Normln"/>
    <w:rsid w:val="0008043D"/>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eastAsia="Times New Roman" w:cs="Arial"/>
      <w:b/>
      <w:bCs/>
      <w:i/>
      <w:iCs/>
      <w:color w:val="888B8D"/>
      <w:szCs w:val="20"/>
      <w:lang w:eastAsia="cs-CZ"/>
    </w:rPr>
  </w:style>
  <w:style w:type="paragraph" w:customStyle="1" w:styleId="xl67">
    <w:name w:val="xl67"/>
    <w:basedOn w:val="Normln"/>
    <w:rsid w:val="0008043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eastAsia="Times New Roman" w:cs="Arial"/>
      <w:color w:val="00B0B9"/>
      <w:sz w:val="18"/>
      <w:szCs w:val="18"/>
      <w:lang w:eastAsia="cs-CZ"/>
    </w:rPr>
  </w:style>
  <w:style w:type="paragraph" w:customStyle="1" w:styleId="xl68">
    <w:name w:val="xl68"/>
    <w:basedOn w:val="Normln"/>
    <w:rsid w:val="0008043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b/>
      <w:bCs/>
      <w:szCs w:val="20"/>
      <w:lang w:eastAsia="cs-CZ"/>
    </w:rPr>
  </w:style>
  <w:style w:type="paragraph" w:customStyle="1" w:styleId="xl69">
    <w:name w:val="xl69"/>
    <w:basedOn w:val="Normln"/>
    <w:rsid w:val="0008043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sz w:val="24"/>
      <w:szCs w:val="24"/>
      <w:lang w:eastAsia="cs-CZ"/>
    </w:rPr>
  </w:style>
  <w:style w:type="paragraph" w:customStyle="1" w:styleId="xl70">
    <w:name w:val="xl70"/>
    <w:basedOn w:val="Normln"/>
    <w:rsid w:val="0008043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szCs w:val="20"/>
      <w:lang w:eastAsia="cs-CZ"/>
    </w:rPr>
  </w:style>
  <w:style w:type="paragraph" w:customStyle="1" w:styleId="xl71">
    <w:name w:val="xl71"/>
    <w:basedOn w:val="Normln"/>
    <w:rsid w:val="0008043D"/>
    <w:pPr>
      <w:spacing w:before="100" w:beforeAutospacing="1" w:after="100" w:afterAutospacing="1"/>
      <w:jc w:val="center"/>
    </w:pPr>
    <w:rPr>
      <w:rFonts w:ascii="Times New Roman" w:eastAsia="Times New Roman" w:hAnsi="Times New Roman"/>
      <w:sz w:val="24"/>
      <w:szCs w:val="24"/>
      <w:lang w:eastAsia="cs-CZ"/>
    </w:rPr>
  </w:style>
  <w:style w:type="paragraph" w:customStyle="1" w:styleId="xl72">
    <w:name w:val="xl72"/>
    <w:basedOn w:val="Normln"/>
    <w:rsid w:val="0008043D"/>
    <w:pPr>
      <w:pBdr>
        <w:top w:val="single" w:sz="4" w:space="0" w:color="auto"/>
        <w:left w:val="single" w:sz="4" w:space="0" w:color="auto"/>
        <w:bottom w:val="single" w:sz="4" w:space="0" w:color="auto"/>
      </w:pBdr>
      <w:spacing w:before="100" w:beforeAutospacing="1" w:after="100" w:afterAutospacing="1"/>
      <w:jc w:val="center"/>
      <w:textAlignment w:val="center"/>
    </w:pPr>
    <w:rPr>
      <w:rFonts w:eastAsia="Times New Roman" w:cs="Arial"/>
      <w:b/>
      <w:bCs/>
      <w:i/>
      <w:iCs/>
      <w:color w:val="888B8D"/>
      <w:szCs w:val="20"/>
      <w:lang w:eastAsia="cs-CZ"/>
    </w:rPr>
  </w:style>
  <w:style w:type="paragraph" w:customStyle="1" w:styleId="xl73">
    <w:name w:val="xl73"/>
    <w:basedOn w:val="Normln"/>
    <w:rsid w:val="0008043D"/>
    <w:pPr>
      <w:pBdr>
        <w:top w:val="single" w:sz="4" w:space="0" w:color="auto"/>
        <w:bottom w:val="single" w:sz="4" w:space="0" w:color="auto"/>
      </w:pBdr>
      <w:spacing w:before="100" w:beforeAutospacing="1" w:after="100" w:afterAutospacing="1"/>
      <w:jc w:val="center"/>
      <w:textAlignment w:val="center"/>
    </w:pPr>
    <w:rPr>
      <w:rFonts w:eastAsia="Times New Roman" w:cs="Arial"/>
      <w:b/>
      <w:bCs/>
      <w:i/>
      <w:iCs/>
      <w:color w:val="888B8D"/>
      <w:szCs w:val="20"/>
      <w:lang w:eastAsia="cs-CZ"/>
    </w:rPr>
  </w:style>
  <w:style w:type="paragraph" w:customStyle="1" w:styleId="xl74">
    <w:name w:val="xl74"/>
    <w:basedOn w:val="Normln"/>
    <w:rsid w:val="0008043D"/>
    <w:pPr>
      <w:pBdr>
        <w:top w:val="single" w:sz="4" w:space="0" w:color="auto"/>
        <w:bottom w:val="single" w:sz="4" w:space="0" w:color="auto"/>
        <w:right w:val="single" w:sz="4" w:space="0" w:color="auto"/>
      </w:pBdr>
      <w:spacing w:before="100" w:beforeAutospacing="1" w:after="100" w:afterAutospacing="1"/>
      <w:jc w:val="center"/>
      <w:textAlignment w:val="center"/>
    </w:pPr>
    <w:rPr>
      <w:rFonts w:eastAsia="Times New Roman" w:cs="Arial"/>
      <w:b/>
      <w:bCs/>
      <w:i/>
      <w:iCs/>
      <w:color w:val="888B8D"/>
      <w:szCs w:val="20"/>
      <w:lang w:eastAsia="cs-CZ"/>
    </w:rPr>
  </w:style>
  <w:style w:type="character" w:styleId="Zdraznnintenzivn">
    <w:name w:val="Intense Emphasis"/>
    <w:uiPriority w:val="21"/>
    <w:qFormat/>
    <w:rsid w:val="0008043D"/>
    <w:rPr>
      <w:b/>
      <w:bCs/>
      <w:i/>
      <w:iCs/>
      <w:color w:val="884C91"/>
    </w:rPr>
  </w:style>
  <w:style w:type="paragraph" w:styleId="Titulek">
    <w:name w:val="caption"/>
    <w:basedOn w:val="Normln"/>
    <w:next w:val="Normln"/>
    <w:uiPriority w:val="35"/>
    <w:unhideWhenUsed/>
    <w:qFormat/>
    <w:rsid w:val="0008043D"/>
    <w:pPr>
      <w:spacing w:before="0" w:after="200"/>
      <w:jc w:val="left"/>
    </w:pPr>
    <w:rPr>
      <w:b/>
      <w:bCs/>
      <w:color w:val="884C91"/>
      <w:sz w:val="18"/>
      <w:szCs w:val="18"/>
    </w:rPr>
  </w:style>
  <w:style w:type="paragraph" w:styleId="Zkladntextodsazen2">
    <w:name w:val="Body Text Indent 2"/>
    <w:basedOn w:val="Normln"/>
    <w:link w:val="Zkladntextodsazen2Char"/>
    <w:unhideWhenUsed/>
    <w:rsid w:val="0008043D"/>
    <w:pPr>
      <w:numPr>
        <w:numId w:val="15"/>
      </w:numPr>
      <w:suppressAutoHyphens/>
      <w:spacing w:before="0" w:after="120" w:line="480" w:lineRule="auto"/>
      <w:ind w:left="283" w:firstLine="0"/>
      <w:jc w:val="left"/>
    </w:pPr>
    <w:rPr>
      <w:rFonts w:eastAsia="Times New Roman"/>
      <w:szCs w:val="20"/>
      <w:lang w:eastAsia="ar-SA"/>
    </w:rPr>
  </w:style>
  <w:style w:type="character" w:customStyle="1" w:styleId="Zkladntextodsazen2Char">
    <w:name w:val="Základní text odsazený 2 Char"/>
    <w:link w:val="Zkladntextodsazen2"/>
    <w:rsid w:val="0008043D"/>
    <w:rPr>
      <w:rFonts w:eastAsia="Times New Roman"/>
      <w:lang w:eastAsia="ar-SA"/>
    </w:rPr>
  </w:style>
  <w:style w:type="paragraph" w:customStyle="1" w:styleId="odrkyspuntkem">
    <w:name w:val="odrážky s puntíkem"/>
    <w:basedOn w:val="Normln"/>
    <w:qFormat/>
    <w:rsid w:val="0008043D"/>
    <w:pPr>
      <w:spacing w:before="60"/>
      <w:ind w:left="360" w:hanging="360"/>
    </w:pPr>
    <w:rPr>
      <w:rFonts w:ascii="Tahoma" w:eastAsia="Times New Roman" w:hAnsi="Tahoma"/>
      <w:sz w:val="18"/>
      <w:szCs w:val="20"/>
      <w:lang w:eastAsia="cs-CZ"/>
    </w:rPr>
  </w:style>
  <w:style w:type="paragraph" w:customStyle="1" w:styleId="xl64">
    <w:name w:val="xl64"/>
    <w:basedOn w:val="Normln"/>
    <w:rsid w:val="0008043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Times New Roman" w:cs="Arial"/>
      <w:b/>
      <w:bCs/>
      <w:sz w:val="18"/>
      <w:szCs w:val="18"/>
      <w:lang w:eastAsia="cs-CZ"/>
    </w:rPr>
  </w:style>
  <w:style w:type="paragraph" w:customStyle="1" w:styleId="StylDefault10bTunKurzva">
    <w:name w:val="Styl Default + 10 b. Tučné Kurzíva"/>
    <w:basedOn w:val="Default"/>
    <w:rsid w:val="0008043D"/>
    <w:pPr>
      <w:tabs>
        <w:tab w:val="num" w:pos="786"/>
      </w:tabs>
      <w:spacing w:before="120"/>
      <w:ind w:left="786" w:hanging="360"/>
    </w:pPr>
    <w:rPr>
      <w:rFonts w:eastAsia="Times New Roman"/>
      <w:b/>
      <w:bCs/>
      <w:i/>
      <w:iCs/>
      <w:sz w:val="20"/>
      <w:lang w:eastAsia="cs-CZ"/>
    </w:rPr>
  </w:style>
  <w:style w:type="character" w:customStyle="1" w:styleId="Podnadpis1Char0">
    <w:name w:val="Podnadpis1 Char"/>
    <w:rsid w:val="0008043D"/>
    <w:rPr>
      <w:rFonts w:ascii="Arial" w:eastAsia="Times New Roman" w:hAnsi="Arial" w:cs="Times New Roman"/>
      <w:b/>
      <w:i/>
      <w:sz w:val="20"/>
      <w:szCs w:val="20"/>
      <w:lang w:val="x-none" w:eastAsia="x-none"/>
    </w:rPr>
  </w:style>
  <w:style w:type="paragraph" w:styleId="Obsah6">
    <w:name w:val="toc 6"/>
    <w:basedOn w:val="Normln"/>
    <w:next w:val="Normln"/>
    <w:autoRedefine/>
    <w:uiPriority w:val="39"/>
    <w:unhideWhenUsed/>
    <w:rsid w:val="0008043D"/>
    <w:pPr>
      <w:spacing w:before="0" w:after="100" w:line="276" w:lineRule="auto"/>
      <w:ind w:left="1100"/>
      <w:jc w:val="left"/>
    </w:pPr>
    <w:rPr>
      <w:rFonts w:eastAsia="Times New Roman"/>
      <w:sz w:val="22"/>
      <w:lang w:eastAsia="cs-CZ"/>
    </w:rPr>
  </w:style>
  <w:style w:type="paragraph" w:styleId="Obsah7">
    <w:name w:val="toc 7"/>
    <w:basedOn w:val="Normln"/>
    <w:next w:val="Normln"/>
    <w:autoRedefine/>
    <w:uiPriority w:val="39"/>
    <w:unhideWhenUsed/>
    <w:rsid w:val="0008043D"/>
    <w:pPr>
      <w:spacing w:before="0" w:after="100" w:line="276" w:lineRule="auto"/>
      <w:ind w:left="1320"/>
      <w:jc w:val="left"/>
    </w:pPr>
    <w:rPr>
      <w:rFonts w:eastAsia="Times New Roman"/>
      <w:sz w:val="22"/>
      <w:lang w:eastAsia="cs-CZ"/>
    </w:rPr>
  </w:style>
  <w:style w:type="paragraph" w:styleId="Obsah8">
    <w:name w:val="toc 8"/>
    <w:basedOn w:val="Normln"/>
    <w:next w:val="Normln"/>
    <w:autoRedefine/>
    <w:uiPriority w:val="39"/>
    <w:unhideWhenUsed/>
    <w:rsid w:val="0008043D"/>
    <w:pPr>
      <w:spacing w:before="0" w:after="100" w:line="276" w:lineRule="auto"/>
      <w:ind w:left="1540"/>
      <w:jc w:val="left"/>
    </w:pPr>
    <w:rPr>
      <w:rFonts w:eastAsia="Times New Roman"/>
      <w:sz w:val="22"/>
      <w:lang w:eastAsia="cs-CZ"/>
    </w:rPr>
  </w:style>
  <w:style w:type="paragraph" w:styleId="Obsah9">
    <w:name w:val="toc 9"/>
    <w:basedOn w:val="Normln"/>
    <w:next w:val="Normln"/>
    <w:autoRedefine/>
    <w:uiPriority w:val="39"/>
    <w:unhideWhenUsed/>
    <w:rsid w:val="0008043D"/>
    <w:pPr>
      <w:spacing w:before="0" w:after="100" w:line="276" w:lineRule="auto"/>
      <w:ind w:left="1760"/>
      <w:jc w:val="left"/>
    </w:pPr>
    <w:rPr>
      <w:rFonts w:eastAsia="Times New Roman"/>
      <w:sz w:val="22"/>
      <w:lang w:eastAsia="cs-CZ"/>
    </w:rPr>
  </w:style>
  <w:style w:type="character" w:customStyle="1" w:styleId="ObrnadpisChar">
    <w:name w:val="Obr. nadpis Char"/>
    <w:link w:val="Obrnadpis"/>
    <w:locked/>
    <w:rsid w:val="00BA72D5"/>
    <w:rPr>
      <w:rFonts w:eastAsia="Times New Roman"/>
      <w:b/>
      <w:noProof/>
      <w:color w:val="0070C0"/>
      <w:sz w:val="18"/>
    </w:rPr>
  </w:style>
  <w:style w:type="paragraph" w:customStyle="1" w:styleId="Styl1">
    <w:name w:val="Styl1"/>
    <w:basedOn w:val="Obrnadpis"/>
    <w:link w:val="Styl1Char"/>
    <w:qFormat/>
    <w:rsid w:val="0008043D"/>
    <w:pPr>
      <w:widowControl/>
      <w:numPr>
        <w:numId w:val="0"/>
      </w:numPr>
      <w:tabs>
        <w:tab w:val="num" w:pos="709"/>
      </w:tabs>
      <w:spacing w:after="120"/>
      <w:ind w:left="709" w:hanging="709"/>
      <w:jc w:val="left"/>
    </w:pPr>
    <w:rPr>
      <w:color w:val="5F2167"/>
    </w:rPr>
  </w:style>
  <w:style w:type="character" w:customStyle="1" w:styleId="Styl1Char">
    <w:name w:val="Styl1 Char"/>
    <w:link w:val="Styl1"/>
    <w:rsid w:val="0008043D"/>
    <w:rPr>
      <w:rFonts w:ascii="Arial" w:eastAsia="Times New Roman" w:hAnsi="Arial" w:cs="Times New Roman"/>
      <w:b/>
      <w:color w:val="5F2167"/>
      <w:sz w:val="18"/>
      <w:szCs w:val="20"/>
      <w:lang w:val="cs-CZ" w:eastAsia="cs-CZ"/>
    </w:rPr>
  </w:style>
  <w:style w:type="paragraph" w:customStyle="1" w:styleId="zkltext">
    <w:name w:val="zákltext"/>
    <w:basedOn w:val="Normln"/>
    <w:rsid w:val="0008043D"/>
    <w:rPr>
      <w:rFonts w:eastAsia="Times New Roman"/>
      <w:sz w:val="24"/>
      <w:szCs w:val="20"/>
      <w:lang w:eastAsia="cs-CZ"/>
    </w:rPr>
  </w:style>
  <w:style w:type="paragraph" w:styleId="Zkladntext">
    <w:name w:val="Body Text"/>
    <w:basedOn w:val="Normln"/>
    <w:link w:val="ZkladntextChar"/>
    <w:semiHidden/>
    <w:unhideWhenUsed/>
    <w:rsid w:val="0008043D"/>
    <w:pPr>
      <w:spacing w:after="120"/>
    </w:pPr>
  </w:style>
  <w:style w:type="character" w:customStyle="1" w:styleId="ZkladntextChar">
    <w:name w:val="Základní text Char"/>
    <w:link w:val="Zkladntext"/>
    <w:semiHidden/>
    <w:rsid w:val="0008043D"/>
    <w:rPr>
      <w:sz w:val="20"/>
      <w:lang w:val="cs-CZ"/>
    </w:rPr>
  </w:style>
  <w:style w:type="character" w:customStyle="1" w:styleId="ListLabel8">
    <w:name w:val="ListLabel 8"/>
    <w:qFormat/>
    <w:rsid w:val="0008043D"/>
    <w:rPr>
      <w:b w:val="0"/>
      <w:i w:val="0"/>
      <w:color w:val="00B0B9"/>
      <w:sz w:val="20"/>
    </w:rPr>
  </w:style>
  <w:style w:type="paragraph" w:customStyle="1" w:styleId="Vlastntext">
    <w:name w:val="Vlastní text"/>
    <w:basedOn w:val="Normln"/>
    <w:link w:val="VlastntextChar"/>
    <w:qFormat/>
    <w:rsid w:val="0008043D"/>
    <w:pPr>
      <w:spacing w:before="60"/>
    </w:pPr>
    <w:rPr>
      <w:rFonts w:eastAsia="Times New Roman"/>
      <w:sz w:val="22"/>
      <w:szCs w:val="20"/>
      <w:lang w:eastAsia="cs-CZ"/>
    </w:rPr>
  </w:style>
  <w:style w:type="character" w:customStyle="1" w:styleId="VlastntextChar">
    <w:name w:val="Vlastní text Char"/>
    <w:link w:val="Vlastntext"/>
    <w:qFormat/>
    <w:rsid w:val="0008043D"/>
    <w:rPr>
      <w:rFonts w:ascii="Arial" w:eastAsia="Times New Roman" w:hAnsi="Arial" w:cs="Times New Roman"/>
      <w:szCs w:val="20"/>
      <w:lang w:val="cs-CZ" w:eastAsia="cs-CZ"/>
    </w:rPr>
  </w:style>
  <w:style w:type="character" w:customStyle="1" w:styleId="ListLabel1">
    <w:name w:val="ListLabel 1"/>
    <w:qFormat/>
    <w:rsid w:val="00341BA2"/>
    <w:rPr>
      <w:color w:val="5F2167"/>
      <w:szCs w:val="20"/>
    </w:rPr>
  </w:style>
  <w:style w:type="character" w:customStyle="1" w:styleId="ListLabel2">
    <w:name w:val="ListLabel 2"/>
    <w:qFormat/>
    <w:rsid w:val="0008043D"/>
    <w:rPr>
      <w:color w:val="4472C4"/>
      <w:sz w:val="18"/>
    </w:rPr>
  </w:style>
  <w:style w:type="character" w:customStyle="1" w:styleId="ListLabel3">
    <w:name w:val="ListLabel 3"/>
    <w:qFormat/>
    <w:rsid w:val="0008043D"/>
    <w:rPr>
      <w:rFonts w:cs="Courier New"/>
    </w:rPr>
  </w:style>
  <w:style w:type="character" w:customStyle="1" w:styleId="ListLabel4">
    <w:name w:val="ListLabel 4"/>
    <w:qFormat/>
    <w:rsid w:val="0008043D"/>
    <w:rPr>
      <w:rFonts w:cs="Arial"/>
      <w:b/>
      <w:bCs/>
      <w:i w:val="0"/>
      <w:iCs w:val="0"/>
      <w:caps w:val="0"/>
      <w:smallCaps w:val="0"/>
      <w:strike w:val="0"/>
      <w:dstrike w:val="0"/>
      <w:vanish w:val="0"/>
      <w:color w:val="5F2167"/>
      <w:spacing w:val="0"/>
      <w:position w:val="0"/>
      <w:sz w:val="18"/>
      <w:szCs w:val="18"/>
      <w:u w:val="none"/>
      <w:vertAlign w:val="baseline"/>
      <w:em w:val="none"/>
    </w:rPr>
  </w:style>
  <w:style w:type="character" w:customStyle="1" w:styleId="ListLabel5">
    <w:name w:val="ListLabel 5"/>
    <w:qFormat/>
    <w:rsid w:val="0008043D"/>
    <w:rPr>
      <w:b w:val="0"/>
      <w:i w:val="0"/>
      <w:color w:val="5F2167"/>
      <w:sz w:val="40"/>
    </w:rPr>
  </w:style>
  <w:style w:type="character" w:customStyle="1" w:styleId="ListLabel6">
    <w:name w:val="ListLabel 6"/>
    <w:qFormat/>
    <w:rsid w:val="0008043D"/>
    <w:rPr>
      <w:b w:val="0"/>
      <w:i w:val="0"/>
      <w:color w:val="00B0B9"/>
      <w:sz w:val="28"/>
    </w:rPr>
  </w:style>
  <w:style w:type="character" w:customStyle="1" w:styleId="ListLabel7">
    <w:name w:val="ListLabel 7"/>
    <w:qFormat/>
    <w:rsid w:val="0008043D"/>
    <w:rPr>
      <w:b w:val="0"/>
      <w:i w:val="0"/>
      <w:color w:val="5F2167"/>
      <w:sz w:val="24"/>
    </w:rPr>
  </w:style>
  <w:style w:type="paragraph" w:customStyle="1" w:styleId="Nadpis">
    <w:name w:val="Nadpis"/>
    <w:basedOn w:val="Normln"/>
    <w:next w:val="Tlotextu"/>
    <w:qFormat/>
    <w:rsid w:val="0008043D"/>
    <w:pPr>
      <w:keepNext/>
      <w:suppressAutoHyphens/>
      <w:spacing w:before="240" w:after="120"/>
    </w:pPr>
    <w:rPr>
      <w:rFonts w:ascii="Liberation Sans" w:eastAsia="Lucida Sans Unicode" w:hAnsi="Liberation Sans" w:cs="Mangal"/>
      <w:sz w:val="28"/>
      <w:szCs w:val="28"/>
      <w:lang w:val="en-GB"/>
    </w:rPr>
  </w:style>
  <w:style w:type="paragraph" w:customStyle="1" w:styleId="Tlotextu">
    <w:name w:val="Tělo textu"/>
    <w:basedOn w:val="Normln"/>
    <w:rsid w:val="0008043D"/>
    <w:pPr>
      <w:suppressAutoHyphens/>
      <w:spacing w:before="0" w:after="140" w:line="288" w:lineRule="auto"/>
    </w:pPr>
    <w:rPr>
      <w:lang w:val="en-GB"/>
    </w:rPr>
  </w:style>
  <w:style w:type="paragraph" w:styleId="Seznam">
    <w:name w:val="List"/>
    <w:basedOn w:val="Tlotextu"/>
    <w:rsid w:val="0008043D"/>
    <w:rPr>
      <w:rFonts w:cs="Mangal"/>
    </w:rPr>
  </w:style>
  <w:style w:type="paragraph" w:customStyle="1" w:styleId="Popisek">
    <w:name w:val="Popisek"/>
    <w:basedOn w:val="Normln"/>
    <w:rsid w:val="0008043D"/>
    <w:pPr>
      <w:suppressLineNumbers/>
      <w:suppressAutoHyphens/>
      <w:spacing w:after="120"/>
    </w:pPr>
    <w:rPr>
      <w:rFonts w:cs="Mangal"/>
      <w:i/>
      <w:iCs/>
      <w:sz w:val="24"/>
      <w:szCs w:val="24"/>
      <w:lang w:val="en-GB"/>
    </w:rPr>
  </w:style>
  <w:style w:type="paragraph" w:customStyle="1" w:styleId="Rejstk">
    <w:name w:val="Rejstřík"/>
    <w:basedOn w:val="Normln"/>
    <w:qFormat/>
    <w:rsid w:val="0008043D"/>
    <w:pPr>
      <w:suppressLineNumbers/>
      <w:suppressAutoHyphens/>
    </w:pPr>
    <w:rPr>
      <w:rFonts w:cs="Mangal"/>
      <w:lang w:val="en-GB"/>
    </w:rPr>
  </w:style>
  <w:style w:type="paragraph" w:customStyle="1" w:styleId="Quotations">
    <w:name w:val="Quotations"/>
    <w:basedOn w:val="Normln"/>
    <w:qFormat/>
    <w:rsid w:val="0008043D"/>
    <w:pPr>
      <w:suppressAutoHyphens/>
    </w:pPr>
    <w:rPr>
      <w:lang w:val="en-GB"/>
    </w:rPr>
  </w:style>
  <w:style w:type="paragraph" w:styleId="Nzev">
    <w:name w:val="Title"/>
    <w:basedOn w:val="Nadpis"/>
    <w:link w:val="NzevChar"/>
    <w:qFormat/>
    <w:rsid w:val="0008043D"/>
  </w:style>
  <w:style w:type="character" w:customStyle="1" w:styleId="NzevChar">
    <w:name w:val="Název Char"/>
    <w:link w:val="Nzev"/>
    <w:rsid w:val="0008043D"/>
    <w:rPr>
      <w:rFonts w:ascii="Liberation Sans" w:eastAsia="Lucida Sans Unicode" w:hAnsi="Liberation Sans" w:cs="Mangal"/>
      <w:sz w:val="28"/>
      <w:szCs w:val="28"/>
    </w:rPr>
  </w:style>
  <w:style w:type="paragraph" w:styleId="Prosttext">
    <w:name w:val="Plain Text"/>
    <w:basedOn w:val="Normln"/>
    <w:link w:val="ProsttextChar"/>
    <w:uiPriority w:val="99"/>
    <w:semiHidden/>
    <w:unhideWhenUsed/>
    <w:rsid w:val="0008043D"/>
    <w:pPr>
      <w:spacing w:before="0"/>
      <w:jc w:val="left"/>
    </w:pPr>
    <w:rPr>
      <w:rFonts w:ascii="Calibri" w:eastAsia="Times New Roman" w:hAnsi="Calibri"/>
      <w:sz w:val="22"/>
      <w:szCs w:val="21"/>
      <w:lang w:eastAsia="cs-CZ"/>
    </w:rPr>
  </w:style>
  <w:style w:type="character" w:customStyle="1" w:styleId="ProsttextChar">
    <w:name w:val="Prostý text Char"/>
    <w:link w:val="Prosttext"/>
    <w:uiPriority w:val="99"/>
    <w:semiHidden/>
    <w:rsid w:val="0008043D"/>
    <w:rPr>
      <w:rFonts w:ascii="Calibri" w:eastAsia="Times New Roman" w:hAnsi="Calibri" w:cs="Times New Roman"/>
      <w:szCs w:val="21"/>
      <w:lang w:val="cs-CZ" w:eastAsia="cs-CZ"/>
    </w:rPr>
  </w:style>
  <w:style w:type="character" w:customStyle="1" w:styleId="StylPodnadpis2AutomatickChar">
    <w:name w:val="Styl Podnadpis 2 + Automatická Char"/>
    <w:rsid w:val="0008043D"/>
    <w:rPr>
      <w:rFonts w:ascii="Arial" w:hAnsi="Arial"/>
      <w:b/>
      <w:bCs/>
      <w:i/>
      <w:iCs/>
      <w:snapToGrid w:val="0"/>
      <w:color w:val="808080"/>
      <w:lang w:val="cs-CZ" w:eastAsia="cs-CZ" w:bidi="ar-SA"/>
    </w:rPr>
  </w:style>
  <w:style w:type="paragraph" w:customStyle="1" w:styleId="Normlnpsmo">
    <w:name w:val="Normální písmo"/>
    <w:basedOn w:val="Normln"/>
    <w:link w:val="NormlnpsmoChar1"/>
    <w:qFormat/>
    <w:rsid w:val="0008043D"/>
    <w:pPr>
      <w:suppressAutoHyphens/>
      <w:autoSpaceDN w:val="0"/>
      <w:spacing w:before="0" w:after="160"/>
      <w:textAlignment w:val="baseline"/>
    </w:pPr>
    <w:rPr>
      <w:rFonts w:eastAsia="Calibri"/>
      <w:szCs w:val="20"/>
    </w:rPr>
  </w:style>
  <w:style w:type="character" w:customStyle="1" w:styleId="NormlnpsmoChar1">
    <w:name w:val="Normální písmo Char1"/>
    <w:link w:val="Normlnpsmo"/>
    <w:rsid w:val="0008043D"/>
    <w:rPr>
      <w:rFonts w:ascii="Arial" w:eastAsia="Calibri" w:hAnsi="Arial" w:cs="Times New Roman"/>
      <w:sz w:val="20"/>
      <w:szCs w:val="20"/>
      <w:lang w:val="cs-CZ"/>
    </w:rPr>
  </w:style>
  <w:style w:type="paragraph" w:customStyle="1" w:styleId="Bullets">
    <w:name w:val="Bullets"/>
    <w:basedOn w:val="Normln"/>
    <w:qFormat/>
    <w:rsid w:val="0008043D"/>
    <w:pPr>
      <w:numPr>
        <w:numId w:val="16"/>
      </w:numPr>
      <w:tabs>
        <w:tab w:val="num" w:pos="720"/>
      </w:tabs>
      <w:spacing w:before="0" w:after="160"/>
      <w:jc w:val="left"/>
    </w:pPr>
    <w:rPr>
      <w:sz w:val="22"/>
    </w:rPr>
  </w:style>
  <w:style w:type="character" w:customStyle="1" w:styleId="TabulkatextChar">
    <w:name w:val="Tabulka text Char"/>
    <w:link w:val="Tabulkatext"/>
    <w:rsid w:val="00D53EBE"/>
    <w:rPr>
      <w:rFonts w:eastAsia="Times New Roman"/>
      <w:bCs/>
      <w:sz w:val="18"/>
      <w:szCs w:val="18"/>
    </w:rPr>
  </w:style>
  <w:style w:type="paragraph" w:customStyle="1" w:styleId="Styl2">
    <w:name w:val="Styl2"/>
    <w:basedOn w:val="Tabulkanzev"/>
    <w:link w:val="Styl2Char"/>
    <w:qFormat/>
    <w:rsid w:val="004849BD"/>
  </w:style>
  <w:style w:type="paragraph" w:customStyle="1" w:styleId="Styl4">
    <w:name w:val="Styl4"/>
    <w:basedOn w:val="Obrnadpis"/>
    <w:link w:val="Styl4Char"/>
    <w:qFormat/>
    <w:rsid w:val="004849BD"/>
    <w:pPr>
      <w:spacing w:after="120"/>
    </w:pPr>
  </w:style>
  <w:style w:type="character" w:customStyle="1" w:styleId="TabulkanzevChar">
    <w:name w:val="Tabulka název Char"/>
    <w:basedOn w:val="Standardnpsmoodstavce"/>
    <w:link w:val="Tabulkanzev"/>
    <w:rsid w:val="00BA72D5"/>
    <w:rPr>
      <w:rFonts w:eastAsia="Times New Roman"/>
      <w:b/>
      <w:color w:val="0070C0"/>
      <w:sz w:val="18"/>
      <w:szCs w:val="18"/>
    </w:rPr>
  </w:style>
  <w:style w:type="character" w:customStyle="1" w:styleId="Styl2Char">
    <w:name w:val="Styl2 Char"/>
    <w:basedOn w:val="TabulkanzevChar"/>
    <w:link w:val="Styl2"/>
    <w:rsid w:val="004849BD"/>
    <w:rPr>
      <w:rFonts w:eastAsia="Times New Roman"/>
      <w:b/>
      <w:color w:val="0070C0"/>
      <w:sz w:val="18"/>
      <w:szCs w:val="18"/>
    </w:rPr>
  </w:style>
  <w:style w:type="paragraph" w:customStyle="1" w:styleId="Styl5">
    <w:name w:val="Styl5"/>
    <w:basedOn w:val="Obrnadpis"/>
    <w:link w:val="Styl5Char"/>
    <w:qFormat/>
    <w:rsid w:val="00975CF0"/>
    <w:pPr>
      <w:tabs>
        <w:tab w:val="clear" w:pos="680"/>
      </w:tabs>
    </w:pPr>
  </w:style>
  <w:style w:type="character" w:customStyle="1" w:styleId="Styl4Char">
    <w:name w:val="Styl4 Char"/>
    <w:basedOn w:val="ObrnadpisChar"/>
    <w:link w:val="Styl4"/>
    <w:rsid w:val="004849BD"/>
    <w:rPr>
      <w:rFonts w:eastAsia="Times New Roman"/>
      <w:b/>
      <w:noProof/>
      <w:color w:val="0070C0"/>
      <w:sz w:val="18"/>
    </w:rPr>
  </w:style>
  <w:style w:type="character" w:customStyle="1" w:styleId="Styl5Char">
    <w:name w:val="Styl5 Char"/>
    <w:basedOn w:val="ObrnadpisChar"/>
    <w:link w:val="Styl5"/>
    <w:rsid w:val="00975CF0"/>
    <w:rPr>
      <w:rFonts w:eastAsia="Times New Roman"/>
      <w:b/>
      <w:noProof/>
      <w:color w:val="0070C0"/>
      <w:sz w:val="18"/>
    </w:rPr>
  </w:style>
  <w:style w:type="paragraph" w:customStyle="1" w:styleId="Odstavecseseznamem1">
    <w:name w:val="Odstavec se seznamem1"/>
    <w:basedOn w:val="Normln"/>
    <w:rsid w:val="009B094E"/>
    <w:pPr>
      <w:spacing w:before="0"/>
      <w:ind w:left="708"/>
      <w:jc w:val="left"/>
    </w:pPr>
    <w:rPr>
      <w:rFonts w:ascii="Times New Roman" w:eastAsia="Times New Roman" w:hAnsi="Times New Roman"/>
      <w:sz w:val="24"/>
      <w:szCs w:val="24"/>
      <w:lang w:val="sk-SK" w:eastAsia="cs-CZ"/>
    </w:rPr>
  </w:style>
  <w:style w:type="paragraph" w:customStyle="1" w:styleId="Zkladnodstavec">
    <w:name w:val="[Základní odstavec]"/>
    <w:basedOn w:val="Normln"/>
    <w:uiPriority w:val="99"/>
    <w:rsid w:val="00281C67"/>
    <w:pPr>
      <w:autoSpaceDE w:val="0"/>
      <w:autoSpaceDN w:val="0"/>
      <w:adjustRightInd w:val="0"/>
      <w:spacing w:before="0" w:line="288" w:lineRule="auto"/>
      <w:textAlignment w:val="center"/>
    </w:pPr>
    <w:rPr>
      <w:rFonts w:ascii="Minion Pro" w:eastAsia="Calibri" w:hAnsi="Minion Pro" w:cs="Minion Pro"/>
      <w:color w:val="000000"/>
      <w:sz w:val="24"/>
      <w:szCs w:val="24"/>
    </w:rPr>
  </w:style>
  <w:style w:type="paragraph" w:customStyle="1" w:styleId="odr-tver-6ped">
    <w:name w:val="odr-čtver-6před"/>
    <w:basedOn w:val="Normln"/>
    <w:rsid w:val="00822FB1"/>
    <w:pPr>
      <w:tabs>
        <w:tab w:val="left" w:pos="284"/>
        <w:tab w:val="num" w:pos="360"/>
      </w:tabs>
      <w:ind w:left="284" w:hanging="284"/>
    </w:pPr>
    <w:rPr>
      <w:rFonts w:eastAsia="Times New Roman"/>
      <w:szCs w:val="20"/>
      <w:lang w:eastAsia="cs-CZ"/>
    </w:rPr>
  </w:style>
  <w:style w:type="paragraph" w:customStyle="1" w:styleId="Zkladntext21">
    <w:name w:val="Základní text 21"/>
    <w:basedOn w:val="Normln"/>
    <w:rsid w:val="00010530"/>
    <w:pPr>
      <w:spacing w:before="0"/>
    </w:pPr>
    <w:rPr>
      <w:rFonts w:eastAsia="Times New Roman"/>
      <w:b/>
      <w:sz w:val="22"/>
      <w:szCs w:val="20"/>
      <w:lang w:eastAsia="cs-CZ"/>
    </w:rPr>
  </w:style>
  <w:style w:type="paragraph" w:customStyle="1" w:styleId="Odsazentext">
    <w:name w:val="Odsazený text"/>
    <w:basedOn w:val="Normln"/>
    <w:link w:val="OdsazentextChar"/>
    <w:qFormat/>
    <w:rsid w:val="00ED4C94"/>
    <w:pPr>
      <w:numPr>
        <w:numId w:val="17"/>
      </w:numPr>
      <w:tabs>
        <w:tab w:val="clear" w:pos="1287"/>
      </w:tabs>
      <w:spacing w:before="60"/>
      <w:ind w:left="284" w:hanging="284"/>
    </w:pPr>
    <w:rPr>
      <w:rFonts w:ascii="Tahoma" w:eastAsia="Times New Roman" w:hAnsi="Tahoma" w:cs="Tahoma"/>
      <w:szCs w:val="20"/>
    </w:rPr>
  </w:style>
  <w:style w:type="character" w:customStyle="1" w:styleId="OdsazentextChar">
    <w:name w:val="Odsazený text Char"/>
    <w:basedOn w:val="Standardnpsmoodstavce"/>
    <w:link w:val="Odsazentext"/>
    <w:rsid w:val="00ED4C94"/>
    <w:rPr>
      <w:rFonts w:ascii="Tahoma" w:eastAsia="Times New Roman" w:hAnsi="Tahoma" w:cs="Tahoma"/>
      <w:lang w:eastAsia="en-US"/>
    </w:rPr>
  </w:style>
  <w:style w:type="paragraph" w:styleId="Rozloendokumentu">
    <w:name w:val="Document Map"/>
    <w:basedOn w:val="Normln"/>
    <w:link w:val="RozloendokumentuChar"/>
    <w:uiPriority w:val="99"/>
    <w:semiHidden/>
    <w:unhideWhenUsed/>
    <w:rsid w:val="00383412"/>
    <w:pPr>
      <w:spacing w:before="0"/>
    </w:pPr>
    <w:rPr>
      <w:rFonts w:ascii="Tahoma" w:hAnsi="Tahoma" w:cs="Tahoma"/>
      <w:sz w:val="16"/>
      <w:szCs w:val="16"/>
    </w:rPr>
  </w:style>
  <w:style w:type="character" w:customStyle="1" w:styleId="RozloendokumentuChar">
    <w:name w:val="Rozložení dokumentu Char"/>
    <w:basedOn w:val="Standardnpsmoodstavce"/>
    <w:link w:val="Rozloendokumentu"/>
    <w:uiPriority w:val="99"/>
    <w:semiHidden/>
    <w:rsid w:val="00383412"/>
    <w:rPr>
      <w:rFonts w:ascii="Tahoma" w:hAnsi="Tahoma" w:cs="Tahoma"/>
      <w:sz w:val="16"/>
      <w:szCs w:val="16"/>
      <w:lang w:eastAsia="en-US"/>
    </w:rPr>
  </w:style>
  <w:style w:type="character" w:styleId="Zdraznn">
    <w:name w:val="Emphasis"/>
    <w:basedOn w:val="Standardnpsmoodstavce"/>
    <w:uiPriority w:val="20"/>
    <w:qFormat/>
    <w:rsid w:val="00960D72"/>
    <w:rPr>
      <w:i/>
      <w:iCs/>
    </w:rPr>
  </w:style>
  <w:style w:type="paragraph" w:styleId="Podnadpis">
    <w:name w:val="Subtitle"/>
    <w:basedOn w:val="Normln"/>
    <w:next w:val="Normln"/>
    <w:link w:val="PodnadpisChar2"/>
    <w:qFormat/>
    <w:rsid w:val="00960D72"/>
    <w:pPr>
      <w:numPr>
        <w:ilvl w:val="1"/>
      </w:numPr>
    </w:pPr>
    <w:rPr>
      <w:rFonts w:asciiTheme="majorHAnsi" w:eastAsiaTheme="majorEastAsia" w:hAnsiTheme="majorHAnsi" w:cstheme="majorBidi"/>
      <w:i/>
      <w:iCs/>
      <w:color w:val="4F81BD" w:themeColor="accent1"/>
      <w:spacing w:val="15"/>
      <w:szCs w:val="20"/>
    </w:rPr>
  </w:style>
  <w:style w:type="character" w:customStyle="1" w:styleId="PodnadpisChar2">
    <w:name w:val="Podnadpis Char2"/>
    <w:basedOn w:val="Standardnpsmoodstavce"/>
    <w:link w:val="Podnadpis"/>
    <w:rsid w:val="00960D72"/>
    <w:rPr>
      <w:rFonts w:asciiTheme="majorHAnsi" w:eastAsiaTheme="majorEastAsia" w:hAnsiTheme="majorHAnsi" w:cstheme="majorBidi"/>
      <w:i/>
      <w:iCs/>
      <w:color w:val="4F81BD" w:themeColor="accent1"/>
      <w:spacing w:val="15"/>
      <w:lang w:eastAsia="en-US"/>
    </w:rPr>
  </w:style>
  <w:style w:type="character" w:customStyle="1" w:styleId="A6">
    <w:name w:val="A6"/>
    <w:uiPriority w:val="99"/>
    <w:rsid w:val="00D03537"/>
    <w:rPr>
      <w:rFonts w:cs="Myriad Pro"/>
      <w:color w:val="000000"/>
      <w:sz w:val="22"/>
      <w:szCs w:val="22"/>
    </w:rPr>
  </w:style>
  <w:style w:type="character" w:customStyle="1" w:styleId="OdstavecseseznamemChar">
    <w:name w:val="Odstavec se seznamem Char"/>
    <w:link w:val="Odstavecseseznamem"/>
    <w:uiPriority w:val="99"/>
    <w:locked/>
    <w:rsid w:val="00265E49"/>
    <w:rPr>
      <w:szCs w:val="22"/>
      <w:lang w:eastAsia="en-US"/>
    </w:rPr>
  </w:style>
  <w:style w:type="character" w:styleId="Nevyeenzmnka">
    <w:name w:val="Unresolved Mention"/>
    <w:basedOn w:val="Standardnpsmoodstavce"/>
    <w:uiPriority w:val="99"/>
    <w:semiHidden/>
    <w:unhideWhenUsed/>
    <w:rsid w:val="000606B8"/>
    <w:rPr>
      <w:color w:val="605E5C"/>
      <w:shd w:val="clear" w:color="auto" w:fill="E1DFDD"/>
    </w:rPr>
  </w:style>
  <w:style w:type="character" w:customStyle="1" w:styleId="DaltextChar">
    <w:name w:val="Další text Char"/>
    <w:basedOn w:val="Standardnpsmoodstavce"/>
    <w:link w:val="Daltext"/>
    <w:locked/>
    <w:rsid w:val="00596303"/>
  </w:style>
  <w:style w:type="paragraph" w:customStyle="1" w:styleId="Daltext">
    <w:name w:val="Další text"/>
    <w:basedOn w:val="Normln"/>
    <w:link w:val="DaltextChar"/>
    <w:rsid w:val="00596303"/>
    <w:pPr>
      <w:tabs>
        <w:tab w:val="left" w:pos="567"/>
      </w:tabs>
      <w:spacing w:before="0" w:line="320" w:lineRule="exact"/>
      <w:ind w:firstLine="567"/>
      <w:jc w:val="left"/>
    </w:pPr>
    <w:rPr>
      <w:szCs w:val="20"/>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987047">
      <w:bodyDiv w:val="1"/>
      <w:marLeft w:val="0"/>
      <w:marRight w:val="0"/>
      <w:marTop w:val="0"/>
      <w:marBottom w:val="0"/>
      <w:divBdr>
        <w:top w:val="none" w:sz="0" w:space="0" w:color="auto"/>
        <w:left w:val="none" w:sz="0" w:space="0" w:color="auto"/>
        <w:bottom w:val="none" w:sz="0" w:space="0" w:color="auto"/>
        <w:right w:val="none" w:sz="0" w:space="0" w:color="auto"/>
      </w:divBdr>
    </w:div>
    <w:div w:id="40716617">
      <w:bodyDiv w:val="1"/>
      <w:marLeft w:val="0"/>
      <w:marRight w:val="0"/>
      <w:marTop w:val="0"/>
      <w:marBottom w:val="0"/>
      <w:divBdr>
        <w:top w:val="none" w:sz="0" w:space="0" w:color="auto"/>
        <w:left w:val="none" w:sz="0" w:space="0" w:color="auto"/>
        <w:bottom w:val="none" w:sz="0" w:space="0" w:color="auto"/>
        <w:right w:val="none" w:sz="0" w:space="0" w:color="auto"/>
      </w:divBdr>
    </w:div>
    <w:div w:id="73597907">
      <w:bodyDiv w:val="1"/>
      <w:marLeft w:val="0"/>
      <w:marRight w:val="0"/>
      <w:marTop w:val="0"/>
      <w:marBottom w:val="0"/>
      <w:divBdr>
        <w:top w:val="none" w:sz="0" w:space="0" w:color="auto"/>
        <w:left w:val="none" w:sz="0" w:space="0" w:color="auto"/>
        <w:bottom w:val="none" w:sz="0" w:space="0" w:color="auto"/>
        <w:right w:val="none" w:sz="0" w:space="0" w:color="auto"/>
      </w:divBdr>
      <w:divsChild>
        <w:div w:id="810515098">
          <w:marLeft w:val="0"/>
          <w:marRight w:val="0"/>
          <w:marTop w:val="0"/>
          <w:marBottom w:val="0"/>
          <w:divBdr>
            <w:top w:val="none" w:sz="0" w:space="0" w:color="auto"/>
            <w:left w:val="none" w:sz="0" w:space="0" w:color="auto"/>
            <w:bottom w:val="none" w:sz="0" w:space="0" w:color="auto"/>
            <w:right w:val="none" w:sz="0" w:space="0" w:color="auto"/>
          </w:divBdr>
          <w:divsChild>
            <w:div w:id="2024433659">
              <w:marLeft w:val="-150"/>
              <w:marRight w:val="-150"/>
              <w:marTop w:val="0"/>
              <w:marBottom w:val="0"/>
              <w:divBdr>
                <w:top w:val="none" w:sz="0" w:space="0" w:color="auto"/>
                <w:left w:val="none" w:sz="0" w:space="0" w:color="auto"/>
                <w:bottom w:val="none" w:sz="0" w:space="0" w:color="auto"/>
                <w:right w:val="none" w:sz="0" w:space="0" w:color="auto"/>
              </w:divBdr>
              <w:divsChild>
                <w:div w:id="94787716">
                  <w:marLeft w:val="0"/>
                  <w:marRight w:val="0"/>
                  <w:marTop w:val="0"/>
                  <w:marBottom w:val="0"/>
                  <w:divBdr>
                    <w:top w:val="none" w:sz="0" w:space="0" w:color="auto"/>
                    <w:left w:val="none" w:sz="0" w:space="0" w:color="auto"/>
                    <w:bottom w:val="none" w:sz="0" w:space="0" w:color="auto"/>
                    <w:right w:val="none" w:sz="0" w:space="0" w:color="auto"/>
                  </w:divBdr>
                </w:div>
                <w:div w:id="349262504">
                  <w:marLeft w:val="0"/>
                  <w:marRight w:val="0"/>
                  <w:marTop w:val="0"/>
                  <w:marBottom w:val="0"/>
                  <w:divBdr>
                    <w:top w:val="none" w:sz="0" w:space="0" w:color="auto"/>
                    <w:left w:val="none" w:sz="0" w:space="0" w:color="auto"/>
                    <w:bottom w:val="none" w:sz="0" w:space="0" w:color="auto"/>
                    <w:right w:val="none" w:sz="0" w:space="0" w:color="auto"/>
                  </w:divBdr>
                </w:div>
                <w:div w:id="483351981">
                  <w:marLeft w:val="0"/>
                  <w:marRight w:val="0"/>
                  <w:marTop w:val="0"/>
                  <w:marBottom w:val="0"/>
                  <w:divBdr>
                    <w:top w:val="none" w:sz="0" w:space="0" w:color="auto"/>
                    <w:left w:val="none" w:sz="0" w:space="0" w:color="auto"/>
                    <w:bottom w:val="none" w:sz="0" w:space="0" w:color="auto"/>
                    <w:right w:val="none" w:sz="0" w:space="0" w:color="auto"/>
                  </w:divBdr>
                </w:div>
                <w:div w:id="571354755">
                  <w:marLeft w:val="0"/>
                  <w:marRight w:val="0"/>
                  <w:marTop w:val="0"/>
                  <w:marBottom w:val="0"/>
                  <w:divBdr>
                    <w:top w:val="none" w:sz="0" w:space="0" w:color="auto"/>
                    <w:left w:val="none" w:sz="0" w:space="0" w:color="auto"/>
                    <w:bottom w:val="none" w:sz="0" w:space="0" w:color="auto"/>
                    <w:right w:val="none" w:sz="0" w:space="0" w:color="auto"/>
                  </w:divBdr>
                </w:div>
                <w:div w:id="730887957">
                  <w:marLeft w:val="0"/>
                  <w:marRight w:val="0"/>
                  <w:marTop w:val="0"/>
                  <w:marBottom w:val="0"/>
                  <w:divBdr>
                    <w:top w:val="none" w:sz="0" w:space="0" w:color="auto"/>
                    <w:left w:val="none" w:sz="0" w:space="0" w:color="auto"/>
                    <w:bottom w:val="none" w:sz="0" w:space="0" w:color="auto"/>
                    <w:right w:val="none" w:sz="0" w:space="0" w:color="auto"/>
                  </w:divBdr>
                </w:div>
                <w:div w:id="799347114">
                  <w:marLeft w:val="0"/>
                  <w:marRight w:val="0"/>
                  <w:marTop w:val="0"/>
                  <w:marBottom w:val="0"/>
                  <w:divBdr>
                    <w:top w:val="none" w:sz="0" w:space="0" w:color="auto"/>
                    <w:left w:val="none" w:sz="0" w:space="0" w:color="auto"/>
                    <w:bottom w:val="none" w:sz="0" w:space="0" w:color="auto"/>
                    <w:right w:val="none" w:sz="0" w:space="0" w:color="auto"/>
                  </w:divBdr>
                </w:div>
                <w:div w:id="1042444194">
                  <w:marLeft w:val="0"/>
                  <w:marRight w:val="0"/>
                  <w:marTop w:val="0"/>
                  <w:marBottom w:val="0"/>
                  <w:divBdr>
                    <w:top w:val="none" w:sz="0" w:space="0" w:color="auto"/>
                    <w:left w:val="none" w:sz="0" w:space="0" w:color="auto"/>
                    <w:bottom w:val="none" w:sz="0" w:space="0" w:color="auto"/>
                    <w:right w:val="none" w:sz="0" w:space="0" w:color="auto"/>
                  </w:divBdr>
                </w:div>
                <w:div w:id="1064835670">
                  <w:marLeft w:val="0"/>
                  <w:marRight w:val="0"/>
                  <w:marTop w:val="0"/>
                  <w:marBottom w:val="0"/>
                  <w:divBdr>
                    <w:top w:val="none" w:sz="0" w:space="0" w:color="auto"/>
                    <w:left w:val="none" w:sz="0" w:space="0" w:color="auto"/>
                    <w:bottom w:val="none" w:sz="0" w:space="0" w:color="auto"/>
                    <w:right w:val="none" w:sz="0" w:space="0" w:color="auto"/>
                  </w:divBdr>
                </w:div>
                <w:div w:id="1094518851">
                  <w:marLeft w:val="0"/>
                  <w:marRight w:val="0"/>
                  <w:marTop w:val="0"/>
                  <w:marBottom w:val="0"/>
                  <w:divBdr>
                    <w:top w:val="none" w:sz="0" w:space="0" w:color="auto"/>
                    <w:left w:val="none" w:sz="0" w:space="0" w:color="auto"/>
                    <w:bottom w:val="none" w:sz="0" w:space="0" w:color="auto"/>
                    <w:right w:val="none" w:sz="0" w:space="0" w:color="auto"/>
                  </w:divBdr>
                </w:div>
                <w:div w:id="1511486051">
                  <w:marLeft w:val="0"/>
                  <w:marRight w:val="0"/>
                  <w:marTop w:val="0"/>
                  <w:marBottom w:val="0"/>
                  <w:divBdr>
                    <w:top w:val="none" w:sz="0" w:space="0" w:color="auto"/>
                    <w:left w:val="none" w:sz="0" w:space="0" w:color="auto"/>
                    <w:bottom w:val="none" w:sz="0" w:space="0" w:color="auto"/>
                    <w:right w:val="none" w:sz="0" w:space="0" w:color="auto"/>
                  </w:divBdr>
                </w:div>
                <w:div w:id="1524443586">
                  <w:marLeft w:val="0"/>
                  <w:marRight w:val="0"/>
                  <w:marTop w:val="0"/>
                  <w:marBottom w:val="0"/>
                  <w:divBdr>
                    <w:top w:val="none" w:sz="0" w:space="0" w:color="auto"/>
                    <w:left w:val="none" w:sz="0" w:space="0" w:color="auto"/>
                    <w:bottom w:val="none" w:sz="0" w:space="0" w:color="auto"/>
                    <w:right w:val="none" w:sz="0" w:space="0" w:color="auto"/>
                  </w:divBdr>
                </w:div>
                <w:div w:id="1644851567">
                  <w:marLeft w:val="0"/>
                  <w:marRight w:val="0"/>
                  <w:marTop w:val="0"/>
                  <w:marBottom w:val="0"/>
                  <w:divBdr>
                    <w:top w:val="none" w:sz="0" w:space="0" w:color="auto"/>
                    <w:left w:val="none" w:sz="0" w:space="0" w:color="auto"/>
                    <w:bottom w:val="none" w:sz="0" w:space="0" w:color="auto"/>
                    <w:right w:val="none" w:sz="0" w:space="0" w:color="auto"/>
                  </w:divBdr>
                </w:div>
                <w:div w:id="1739672557">
                  <w:marLeft w:val="0"/>
                  <w:marRight w:val="0"/>
                  <w:marTop w:val="0"/>
                  <w:marBottom w:val="0"/>
                  <w:divBdr>
                    <w:top w:val="none" w:sz="0" w:space="0" w:color="auto"/>
                    <w:left w:val="none" w:sz="0" w:space="0" w:color="auto"/>
                    <w:bottom w:val="none" w:sz="0" w:space="0" w:color="auto"/>
                    <w:right w:val="none" w:sz="0" w:space="0" w:color="auto"/>
                  </w:divBdr>
                </w:div>
                <w:div w:id="1880238832">
                  <w:marLeft w:val="0"/>
                  <w:marRight w:val="0"/>
                  <w:marTop w:val="0"/>
                  <w:marBottom w:val="0"/>
                  <w:divBdr>
                    <w:top w:val="none" w:sz="0" w:space="0" w:color="auto"/>
                    <w:left w:val="none" w:sz="0" w:space="0" w:color="auto"/>
                    <w:bottom w:val="none" w:sz="0" w:space="0" w:color="auto"/>
                    <w:right w:val="none" w:sz="0" w:space="0" w:color="auto"/>
                  </w:divBdr>
                </w:div>
                <w:div w:id="2110612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4782341">
      <w:bodyDiv w:val="1"/>
      <w:marLeft w:val="0"/>
      <w:marRight w:val="0"/>
      <w:marTop w:val="0"/>
      <w:marBottom w:val="0"/>
      <w:divBdr>
        <w:top w:val="none" w:sz="0" w:space="0" w:color="auto"/>
        <w:left w:val="none" w:sz="0" w:space="0" w:color="auto"/>
        <w:bottom w:val="none" w:sz="0" w:space="0" w:color="auto"/>
        <w:right w:val="none" w:sz="0" w:space="0" w:color="auto"/>
      </w:divBdr>
    </w:div>
    <w:div w:id="216623414">
      <w:bodyDiv w:val="1"/>
      <w:marLeft w:val="0"/>
      <w:marRight w:val="0"/>
      <w:marTop w:val="0"/>
      <w:marBottom w:val="0"/>
      <w:divBdr>
        <w:top w:val="none" w:sz="0" w:space="0" w:color="auto"/>
        <w:left w:val="none" w:sz="0" w:space="0" w:color="auto"/>
        <w:bottom w:val="none" w:sz="0" w:space="0" w:color="auto"/>
        <w:right w:val="none" w:sz="0" w:space="0" w:color="auto"/>
      </w:divBdr>
      <w:divsChild>
        <w:div w:id="2087531734">
          <w:marLeft w:val="0"/>
          <w:marRight w:val="0"/>
          <w:marTop w:val="100"/>
          <w:marBottom w:val="100"/>
          <w:divBdr>
            <w:top w:val="none" w:sz="0" w:space="0" w:color="auto"/>
            <w:left w:val="none" w:sz="0" w:space="0" w:color="auto"/>
            <w:bottom w:val="none" w:sz="0" w:space="0" w:color="auto"/>
            <w:right w:val="none" w:sz="0" w:space="0" w:color="auto"/>
          </w:divBdr>
          <w:divsChild>
            <w:div w:id="2132087626">
              <w:marLeft w:val="450"/>
              <w:marRight w:val="0"/>
              <w:marTop w:val="0"/>
              <w:marBottom w:val="0"/>
              <w:divBdr>
                <w:top w:val="none" w:sz="0" w:space="0" w:color="auto"/>
                <w:left w:val="none" w:sz="0" w:space="0" w:color="auto"/>
                <w:bottom w:val="none" w:sz="0" w:space="0" w:color="auto"/>
                <w:right w:val="none" w:sz="0" w:space="0" w:color="auto"/>
              </w:divBdr>
            </w:div>
          </w:divsChild>
        </w:div>
      </w:divsChild>
    </w:div>
    <w:div w:id="245190563">
      <w:bodyDiv w:val="1"/>
      <w:marLeft w:val="0"/>
      <w:marRight w:val="0"/>
      <w:marTop w:val="0"/>
      <w:marBottom w:val="0"/>
      <w:divBdr>
        <w:top w:val="none" w:sz="0" w:space="0" w:color="auto"/>
        <w:left w:val="none" w:sz="0" w:space="0" w:color="auto"/>
        <w:bottom w:val="none" w:sz="0" w:space="0" w:color="auto"/>
        <w:right w:val="none" w:sz="0" w:space="0" w:color="auto"/>
      </w:divBdr>
    </w:div>
    <w:div w:id="250235335">
      <w:bodyDiv w:val="1"/>
      <w:marLeft w:val="0"/>
      <w:marRight w:val="0"/>
      <w:marTop w:val="0"/>
      <w:marBottom w:val="0"/>
      <w:divBdr>
        <w:top w:val="none" w:sz="0" w:space="0" w:color="auto"/>
        <w:left w:val="none" w:sz="0" w:space="0" w:color="auto"/>
        <w:bottom w:val="none" w:sz="0" w:space="0" w:color="auto"/>
        <w:right w:val="none" w:sz="0" w:space="0" w:color="auto"/>
      </w:divBdr>
    </w:div>
    <w:div w:id="264271924">
      <w:bodyDiv w:val="1"/>
      <w:marLeft w:val="0"/>
      <w:marRight w:val="0"/>
      <w:marTop w:val="0"/>
      <w:marBottom w:val="0"/>
      <w:divBdr>
        <w:top w:val="none" w:sz="0" w:space="0" w:color="auto"/>
        <w:left w:val="none" w:sz="0" w:space="0" w:color="auto"/>
        <w:bottom w:val="none" w:sz="0" w:space="0" w:color="auto"/>
        <w:right w:val="none" w:sz="0" w:space="0" w:color="auto"/>
      </w:divBdr>
    </w:div>
    <w:div w:id="297150676">
      <w:bodyDiv w:val="1"/>
      <w:marLeft w:val="0"/>
      <w:marRight w:val="0"/>
      <w:marTop w:val="0"/>
      <w:marBottom w:val="0"/>
      <w:divBdr>
        <w:top w:val="none" w:sz="0" w:space="0" w:color="auto"/>
        <w:left w:val="none" w:sz="0" w:space="0" w:color="auto"/>
        <w:bottom w:val="none" w:sz="0" w:space="0" w:color="auto"/>
        <w:right w:val="none" w:sz="0" w:space="0" w:color="auto"/>
      </w:divBdr>
    </w:div>
    <w:div w:id="325255851">
      <w:bodyDiv w:val="1"/>
      <w:marLeft w:val="0"/>
      <w:marRight w:val="0"/>
      <w:marTop w:val="0"/>
      <w:marBottom w:val="0"/>
      <w:divBdr>
        <w:top w:val="none" w:sz="0" w:space="0" w:color="auto"/>
        <w:left w:val="none" w:sz="0" w:space="0" w:color="auto"/>
        <w:bottom w:val="none" w:sz="0" w:space="0" w:color="auto"/>
        <w:right w:val="none" w:sz="0" w:space="0" w:color="auto"/>
      </w:divBdr>
    </w:div>
    <w:div w:id="333070060">
      <w:bodyDiv w:val="1"/>
      <w:marLeft w:val="0"/>
      <w:marRight w:val="0"/>
      <w:marTop w:val="0"/>
      <w:marBottom w:val="0"/>
      <w:divBdr>
        <w:top w:val="none" w:sz="0" w:space="0" w:color="auto"/>
        <w:left w:val="none" w:sz="0" w:space="0" w:color="auto"/>
        <w:bottom w:val="none" w:sz="0" w:space="0" w:color="auto"/>
        <w:right w:val="none" w:sz="0" w:space="0" w:color="auto"/>
      </w:divBdr>
    </w:div>
    <w:div w:id="352849819">
      <w:bodyDiv w:val="1"/>
      <w:marLeft w:val="0"/>
      <w:marRight w:val="0"/>
      <w:marTop w:val="0"/>
      <w:marBottom w:val="0"/>
      <w:divBdr>
        <w:top w:val="none" w:sz="0" w:space="0" w:color="auto"/>
        <w:left w:val="none" w:sz="0" w:space="0" w:color="auto"/>
        <w:bottom w:val="none" w:sz="0" w:space="0" w:color="auto"/>
        <w:right w:val="none" w:sz="0" w:space="0" w:color="auto"/>
      </w:divBdr>
      <w:divsChild>
        <w:div w:id="2041276734">
          <w:marLeft w:val="0"/>
          <w:marRight w:val="0"/>
          <w:marTop w:val="0"/>
          <w:marBottom w:val="0"/>
          <w:divBdr>
            <w:top w:val="none" w:sz="0" w:space="0" w:color="auto"/>
            <w:left w:val="none" w:sz="0" w:space="0" w:color="auto"/>
            <w:bottom w:val="none" w:sz="0" w:space="0" w:color="auto"/>
            <w:right w:val="none" w:sz="0" w:space="0" w:color="auto"/>
          </w:divBdr>
          <w:divsChild>
            <w:div w:id="1434856834">
              <w:marLeft w:val="0"/>
              <w:marRight w:val="0"/>
              <w:marTop w:val="0"/>
              <w:marBottom w:val="0"/>
              <w:divBdr>
                <w:top w:val="none" w:sz="0" w:space="0" w:color="auto"/>
                <w:left w:val="none" w:sz="0" w:space="0" w:color="auto"/>
                <w:bottom w:val="none" w:sz="0" w:space="0" w:color="auto"/>
                <w:right w:val="none" w:sz="0" w:space="0" w:color="auto"/>
              </w:divBdr>
              <w:divsChild>
                <w:div w:id="315688212">
                  <w:marLeft w:val="0"/>
                  <w:marRight w:val="0"/>
                  <w:marTop w:val="0"/>
                  <w:marBottom w:val="0"/>
                  <w:divBdr>
                    <w:top w:val="none" w:sz="0" w:space="0" w:color="auto"/>
                    <w:left w:val="none" w:sz="0" w:space="0" w:color="auto"/>
                    <w:bottom w:val="none" w:sz="0" w:space="0" w:color="auto"/>
                    <w:right w:val="none" w:sz="0" w:space="0" w:color="auto"/>
                  </w:divBdr>
                  <w:divsChild>
                    <w:div w:id="2116779858">
                      <w:marLeft w:val="0"/>
                      <w:marRight w:val="0"/>
                      <w:marTop w:val="0"/>
                      <w:marBottom w:val="0"/>
                      <w:divBdr>
                        <w:top w:val="none" w:sz="0" w:space="0" w:color="auto"/>
                        <w:left w:val="none" w:sz="0" w:space="0" w:color="auto"/>
                        <w:bottom w:val="none" w:sz="0" w:space="0" w:color="auto"/>
                        <w:right w:val="none" w:sz="0" w:space="0" w:color="auto"/>
                      </w:divBdr>
                      <w:divsChild>
                        <w:div w:id="95952504">
                          <w:marLeft w:val="0"/>
                          <w:marRight w:val="0"/>
                          <w:marTop w:val="0"/>
                          <w:marBottom w:val="0"/>
                          <w:divBdr>
                            <w:top w:val="none" w:sz="0" w:space="0" w:color="auto"/>
                            <w:left w:val="none" w:sz="0" w:space="0" w:color="auto"/>
                            <w:bottom w:val="none" w:sz="0" w:space="0" w:color="auto"/>
                            <w:right w:val="none" w:sz="0" w:space="0" w:color="auto"/>
                          </w:divBdr>
                          <w:divsChild>
                            <w:div w:id="1391992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70737940">
      <w:bodyDiv w:val="1"/>
      <w:marLeft w:val="0"/>
      <w:marRight w:val="0"/>
      <w:marTop w:val="0"/>
      <w:marBottom w:val="0"/>
      <w:divBdr>
        <w:top w:val="none" w:sz="0" w:space="0" w:color="auto"/>
        <w:left w:val="none" w:sz="0" w:space="0" w:color="auto"/>
        <w:bottom w:val="none" w:sz="0" w:space="0" w:color="auto"/>
        <w:right w:val="none" w:sz="0" w:space="0" w:color="auto"/>
      </w:divBdr>
    </w:div>
    <w:div w:id="378172122">
      <w:bodyDiv w:val="1"/>
      <w:marLeft w:val="0"/>
      <w:marRight w:val="0"/>
      <w:marTop w:val="0"/>
      <w:marBottom w:val="0"/>
      <w:divBdr>
        <w:top w:val="none" w:sz="0" w:space="0" w:color="auto"/>
        <w:left w:val="none" w:sz="0" w:space="0" w:color="auto"/>
        <w:bottom w:val="none" w:sz="0" w:space="0" w:color="auto"/>
        <w:right w:val="none" w:sz="0" w:space="0" w:color="auto"/>
      </w:divBdr>
    </w:div>
    <w:div w:id="401148767">
      <w:bodyDiv w:val="1"/>
      <w:marLeft w:val="0"/>
      <w:marRight w:val="0"/>
      <w:marTop w:val="0"/>
      <w:marBottom w:val="0"/>
      <w:divBdr>
        <w:top w:val="none" w:sz="0" w:space="0" w:color="auto"/>
        <w:left w:val="none" w:sz="0" w:space="0" w:color="auto"/>
        <w:bottom w:val="none" w:sz="0" w:space="0" w:color="auto"/>
        <w:right w:val="none" w:sz="0" w:space="0" w:color="auto"/>
      </w:divBdr>
    </w:div>
    <w:div w:id="411393431">
      <w:bodyDiv w:val="1"/>
      <w:marLeft w:val="0"/>
      <w:marRight w:val="0"/>
      <w:marTop w:val="0"/>
      <w:marBottom w:val="0"/>
      <w:divBdr>
        <w:top w:val="none" w:sz="0" w:space="0" w:color="auto"/>
        <w:left w:val="none" w:sz="0" w:space="0" w:color="auto"/>
        <w:bottom w:val="none" w:sz="0" w:space="0" w:color="auto"/>
        <w:right w:val="none" w:sz="0" w:space="0" w:color="auto"/>
      </w:divBdr>
    </w:div>
    <w:div w:id="420180986">
      <w:bodyDiv w:val="1"/>
      <w:marLeft w:val="0"/>
      <w:marRight w:val="0"/>
      <w:marTop w:val="0"/>
      <w:marBottom w:val="0"/>
      <w:divBdr>
        <w:top w:val="none" w:sz="0" w:space="0" w:color="auto"/>
        <w:left w:val="none" w:sz="0" w:space="0" w:color="auto"/>
        <w:bottom w:val="none" w:sz="0" w:space="0" w:color="auto"/>
        <w:right w:val="none" w:sz="0" w:space="0" w:color="auto"/>
      </w:divBdr>
    </w:div>
    <w:div w:id="421920992">
      <w:bodyDiv w:val="1"/>
      <w:marLeft w:val="0"/>
      <w:marRight w:val="0"/>
      <w:marTop w:val="0"/>
      <w:marBottom w:val="0"/>
      <w:divBdr>
        <w:top w:val="none" w:sz="0" w:space="0" w:color="auto"/>
        <w:left w:val="none" w:sz="0" w:space="0" w:color="auto"/>
        <w:bottom w:val="none" w:sz="0" w:space="0" w:color="auto"/>
        <w:right w:val="none" w:sz="0" w:space="0" w:color="auto"/>
      </w:divBdr>
    </w:div>
    <w:div w:id="463353347">
      <w:bodyDiv w:val="1"/>
      <w:marLeft w:val="0"/>
      <w:marRight w:val="0"/>
      <w:marTop w:val="0"/>
      <w:marBottom w:val="0"/>
      <w:divBdr>
        <w:top w:val="none" w:sz="0" w:space="0" w:color="auto"/>
        <w:left w:val="none" w:sz="0" w:space="0" w:color="auto"/>
        <w:bottom w:val="none" w:sz="0" w:space="0" w:color="auto"/>
        <w:right w:val="none" w:sz="0" w:space="0" w:color="auto"/>
      </w:divBdr>
      <w:divsChild>
        <w:div w:id="1794011705">
          <w:marLeft w:val="0"/>
          <w:marRight w:val="0"/>
          <w:marTop w:val="0"/>
          <w:marBottom w:val="0"/>
          <w:divBdr>
            <w:top w:val="none" w:sz="0" w:space="0" w:color="auto"/>
            <w:left w:val="none" w:sz="0" w:space="0" w:color="auto"/>
            <w:bottom w:val="none" w:sz="0" w:space="0" w:color="auto"/>
            <w:right w:val="none" w:sz="0" w:space="0" w:color="auto"/>
          </w:divBdr>
          <w:divsChild>
            <w:div w:id="947277092">
              <w:marLeft w:val="-225"/>
              <w:marRight w:val="-225"/>
              <w:marTop w:val="0"/>
              <w:marBottom w:val="0"/>
              <w:divBdr>
                <w:top w:val="none" w:sz="0" w:space="0" w:color="auto"/>
                <w:left w:val="none" w:sz="0" w:space="0" w:color="auto"/>
                <w:bottom w:val="none" w:sz="0" w:space="0" w:color="auto"/>
                <w:right w:val="none" w:sz="0" w:space="0" w:color="auto"/>
              </w:divBdr>
              <w:divsChild>
                <w:div w:id="719940971">
                  <w:marLeft w:val="0"/>
                  <w:marRight w:val="0"/>
                  <w:marTop w:val="0"/>
                  <w:marBottom w:val="0"/>
                  <w:divBdr>
                    <w:top w:val="none" w:sz="0" w:space="0" w:color="auto"/>
                    <w:left w:val="none" w:sz="0" w:space="0" w:color="auto"/>
                    <w:bottom w:val="none" w:sz="0" w:space="0" w:color="auto"/>
                    <w:right w:val="none" w:sz="0" w:space="0" w:color="auto"/>
                  </w:divBdr>
                  <w:divsChild>
                    <w:div w:id="634989522">
                      <w:marLeft w:val="0"/>
                      <w:marRight w:val="0"/>
                      <w:marTop w:val="0"/>
                      <w:marBottom w:val="375"/>
                      <w:divBdr>
                        <w:top w:val="none" w:sz="0" w:space="0" w:color="auto"/>
                        <w:left w:val="none" w:sz="0" w:space="0" w:color="auto"/>
                        <w:bottom w:val="none" w:sz="0" w:space="0" w:color="auto"/>
                        <w:right w:val="none" w:sz="0" w:space="0" w:color="auto"/>
                      </w:divBdr>
                      <w:divsChild>
                        <w:div w:id="405687032">
                          <w:marLeft w:val="-225"/>
                          <w:marRight w:val="-225"/>
                          <w:marTop w:val="0"/>
                          <w:marBottom w:val="0"/>
                          <w:divBdr>
                            <w:top w:val="none" w:sz="0" w:space="0" w:color="auto"/>
                            <w:left w:val="none" w:sz="0" w:space="0" w:color="auto"/>
                            <w:bottom w:val="none" w:sz="0" w:space="0" w:color="auto"/>
                            <w:right w:val="none" w:sz="0" w:space="0" w:color="auto"/>
                          </w:divBdr>
                          <w:divsChild>
                            <w:div w:id="1670525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68978432">
      <w:bodyDiv w:val="1"/>
      <w:marLeft w:val="0"/>
      <w:marRight w:val="0"/>
      <w:marTop w:val="0"/>
      <w:marBottom w:val="0"/>
      <w:divBdr>
        <w:top w:val="none" w:sz="0" w:space="0" w:color="auto"/>
        <w:left w:val="none" w:sz="0" w:space="0" w:color="auto"/>
        <w:bottom w:val="none" w:sz="0" w:space="0" w:color="auto"/>
        <w:right w:val="none" w:sz="0" w:space="0" w:color="auto"/>
      </w:divBdr>
    </w:div>
    <w:div w:id="476068422">
      <w:bodyDiv w:val="1"/>
      <w:marLeft w:val="0"/>
      <w:marRight w:val="0"/>
      <w:marTop w:val="0"/>
      <w:marBottom w:val="0"/>
      <w:divBdr>
        <w:top w:val="none" w:sz="0" w:space="0" w:color="auto"/>
        <w:left w:val="none" w:sz="0" w:space="0" w:color="auto"/>
        <w:bottom w:val="none" w:sz="0" w:space="0" w:color="auto"/>
        <w:right w:val="none" w:sz="0" w:space="0" w:color="auto"/>
      </w:divBdr>
      <w:divsChild>
        <w:div w:id="731932183">
          <w:marLeft w:val="0"/>
          <w:marRight w:val="0"/>
          <w:marTop w:val="0"/>
          <w:marBottom w:val="0"/>
          <w:divBdr>
            <w:top w:val="none" w:sz="0" w:space="0" w:color="auto"/>
            <w:left w:val="none" w:sz="0" w:space="0" w:color="auto"/>
            <w:bottom w:val="none" w:sz="0" w:space="0" w:color="auto"/>
            <w:right w:val="none" w:sz="0" w:space="0" w:color="auto"/>
          </w:divBdr>
          <w:divsChild>
            <w:div w:id="475533708">
              <w:marLeft w:val="0"/>
              <w:marRight w:val="0"/>
              <w:marTop w:val="0"/>
              <w:marBottom w:val="0"/>
              <w:divBdr>
                <w:top w:val="none" w:sz="0" w:space="0" w:color="auto"/>
                <w:left w:val="none" w:sz="0" w:space="0" w:color="auto"/>
                <w:bottom w:val="none" w:sz="0" w:space="0" w:color="auto"/>
                <w:right w:val="none" w:sz="0" w:space="0" w:color="auto"/>
              </w:divBdr>
              <w:divsChild>
                <w:div w:id="1794205537">
                  <w:marLeft w:val="0"/>
                  <w:marRight w:val="0"/>
                  <w:marTop w:val="0"/>
                  <w:marBottom w:val="0"/>
                  <w:divBdr>
                    <w:top w:val="none" w:sz="0" w:space="0" w:color="auto"/>
                    <w:left w:val="none" w:sz="0" w:space="0" w:color="auto"/>
                    <w:bottom w:val="none" w:sz="0" w:space="0" w:color="auto"/>
                    <w:right w:val="none" w:sz="0" w:space="0" w:color="auto"/>
                  </w:divBdr>
                  <w:divsChild>
                    <w:div w:id="686367866">
                      <w:marLeft w:val="0"/>
                      <w:marRight w:val="0"/>
                      <w:marTop w:val="0"/>
                      <w:marBottom w:val="0"/>
                      <w:divBdr>
                        <w:top w:val="none" w:sz="0" w:space="0" w:color="auto"/>
                        <w:left w:val="none" w:sz="0" w:space="0" w:color="auto"/>
                        <w:bottom w:val="none" w:sz="0" w:space="0" w:color="auto"/>
                        <w:right w:val="none" w:sz="0" w:space="0" w:color="auto"/>
                      </w:divBdr>
                      <w:divsChild>
                        <w:div w:id="1450857926">
                          <w:marLeft w:val="0"/>
                          <w:marRight w:val="0"/>
                          <w:marTop w:val="0"/>
                          <w:marBottom w:val="0"/>
                          <w:divBdr>
                            <w:top w:val="none" w:sz="0" w:space="0" w:color="auto"/>
                            <w:left w:val="none" w:sz="0" w:space="0" w:color="auto"/>
                            <w:bottom w:val="none" w:sz="0" w:space="0" w:color="auto"/>
                            <w:right w:val="none" w:sz="0" w:space="0" w:color="auto"/>
                          </w:divBdr>
                          <w:divsChild>
                            <w:div w:id="581062580">
                              <w:marLeft w:val="0"/>
                              <w:marRight w:val="0"/>
                              <w:marTop w:val="0"/>
                              <w:marBottom w:val="6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00799553">
      <w:bodyDiv w:val="1"/>
      <w:marLeft w:val="0"/>
      <w:marRight w:val="0"/>
      <w:marTop w:val="0"/>
      <w:marBottom w:val="0"/>
      <w:divBdr>
        <w:top w:val="none" w:sz="0" w:space="0" w:color="auto"/>
        <w:left w:val="none" w:sz="0" w:space="0" w:color="auto"/>
        <w:bottom w:val="none" w:sz="0" w:space="0" w:color="auto"/>
        <w:right w:val="none" w:sz="0" w:space="0" w:color="auto"/>
      </w:divBdr>
    </w:div>
    <w:div w:id="604312453">
      <w:bodyDiv w:val="1"/>
      <w:marLeft w:val="0"/>
      <w:marRight w:val="0"/>
      <w:marTop w:val="0"/>
      <w:marBottom w:val="0"/>
      <w:divBdr>
        <w:top w:val="none" w:sz="0" w:space="0" w:color="auto"/>
        <w:left w:val="none" w:sz="0" w:space="0" w:color="auto"/>
        <w:bottom w:val="none" w:sz="0" w:space="0" w:color="auto"/>
        <w:right w:val="none" w:sz="0" w:space="0" w:color="auto"/>
      </w:divBdr>
    </w:div>
    <w:div w:id="614600920">
      <w:bodyDiv w:val="1"/>
      <w:marLeft w:val="0"/>
      <w:marRight w:val="0"/>
      <w:marTop w:val="0"/>
      <w:marBottom w:val="0"/>
      <w:divBdr>
        <w:top w:val="none" w:sz="0" w:space="0" w:color="auto"/>
        <w:left w:val="none" w:sz="0" w:space="0" w:color="auto"/>
        <w:bottom w:val="none" w:sz="0" w:space="0" w:color="auto"/>
        <w:right w:val="none" w:sz="0" w:space="0" w:color="auto"/>
      </w:divBdr>
    </w:div>
    <w:div w:id="630984007">
      <w:bodyDiv w:val="1"/>
      <w:marLeft w:val="0"/>
      <w:marRight w:val="0"/>
      <w:marTop w:val="0"/>
      <w:marBottom w:val="0"/>
      <w:divBdr>
        <w:top w:val="none" w:sz="0" w:space="0" w:color="auto"/>
        <w:left w:val="none" w:sz="0" w:space="0" w:color="auto"/>
        <w:bottom w:val="none" w:sz="0" w:space="0" w:color="auto"/>
        <w:right w:val="none" w:sz="0" w:space="0" w:color="auto"/>
      </w:divBdr>
    </w:div>
    <w:div w:id="637731342">
      <w:bodyDiv w:val="1"/>
      <w:marLeft w:val="0"/>
      <w:marRight w:val="0"/>
      <w:marTop w:val="0"/>
      <w:marBottom w:val="0"/>
      <w:divBdr>
        <w:top w:val="none" w:sz="0" w:space="0" w:color="auto"/>
        <w:left w:val="none" w:sz="0" w:space="0" w:color="auto"/>
        <w:bottom w:val="none" w:sz="0" w:space="0" w:color="auto"/>
        <w:right w:val="none" w:sz="0" w:space="0" w:color="auto"/>
      </w:divBdr>
      <w:divsChild>
        <w:div w:id="850530937">
          <w:marLeft w:val="-150"/>
          <w:marRight w:val="-225"/>
          <w:marTop w:val="0"/>
          <w:marBottom w:val="150"/>
          <w:divBdr>
            <w:top w:val="none" w:sz="0" w:space="0" w:color="auto"/>
            <w:left w:val="none" w:sz="0" w:space="0" w:color="auto"/>
            <w:bottom w:val="none" w:sz="0" w:space="0" w:color="auto"/>
            <w:right w:val="none" w:sz="0" w:space="0" w:color="auto"/>
          </w:divBdr>
          <w:divsChild>
            <w:div w:id="1940260382">
              <w:marLeft w:val="0"/>
              <w:marRight w:val="0"/>
              <w:marTop w:val="0"/>
              <w:marBottom w:val="0"/>
              <w:divBdr>
                <w:top w:val="none" w:sz="0" w:space="0" w:color="auto"/>
                <w:left w:val="none" w:sz="0" w:space="0" w:color="auto"/>
                <w:bottom w:val="none" w:sz="0" w:space="0" w:color="auto"/>
                <w:right w:val="none" w:sz="0" w:space="0" w:color="auto"/>
              </w:divBdr>
            </w:div>
          </w:divsChild>
        </w:div>
        <w:div w:id="1191605254">
          <w:marLeft w:val="-150"/>
          <w:marRight w:val="-225"/>
          <w:marTop w:val="0"/>
          <w:marBottom w:val="150"/>
          <w:divBdr>
            <w:top w:val="none" w:sz="0" w:space="0" w:color="auto"/>
            <w:left w:val="none" w:sz="0" w:space="0" w:color="auto"/>
            <w:bottom w:val="none" w:sz="0" w:space="0" w:color="auto"/>
            <w:right w:val="none" w:sz="0" w:space="0" w:color="auto"/>
          </w:divBdr>
          <w:divsChild>
            <w:div w:id="7276564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9388790">
      <w:bodyDiv w:val="1"/>
      <w:marLeft w:val="0"/>
      <w:marRight w:val="0"/>
      <w:marTop w:val="0"/>
      <w:marBottom w:val="0"/>
      <w:divBdr>
        <w:top w:val="none" w:sz="0" w:space="0" w:color="auto"/>
        <w:left w:val="none" w:sz="0" w:space="0" w:color="auto"/>
        <w:bottom w:val="none" w:sz="0" w:space="0" w:color="auto"/>
        <w:right w:val="none" w:sz="0" w:space="0" w:color="auto"/>
      </w:divBdr>
    </w:div>
    <w:div w:id="674115306">
      <w:bodyDiv w:val="1"/>
      <w:marLeft w:val="0"/>
      <w:marRight w:val="0"/>
      <w:marTop w:val="0"/>
      <w:marBottom w:val="0"/>
      <w:divBdr>
        <w:top w:val="none" w:sz="0" w:space="0" w:color="auto"/>
        <w:left w:val="none" w:sz="0" w:space="0" w:color="auto"/>
        <w:bottom w:val="none" w:sz="0" w:space="0" w:color="auto"/>
        <w:right w:val="none" w:sz="0" w:space="0" w:color="auto"/>
      </w:divBdr>
      <w:divsChild>
        <w:div w:id="577859654">
          <w:marLeft w:val="0"/>
          <w:marRight w:val="0"/>
          <w:marTop w:val="0"/>
          <w:marBottom w:val="0"/>
          <w:divBdr>
            <w:top w:val="none" w:sz="0" w:space="0" w:color="auto"/>
            <w:left w:val="none" w:sz="0" w:space="0" w:color="auto"/>
            <w:bottom w:val="none" w:sz="0" w:space="0" w:color="auto"/>
            <w:right w:val="none" w:sz="0" w:space="0" w:color="auto"/>
          </w:divBdr>
          <w:divsChild>
            <w:div w:id="834371384">
              <w:marLeft w:val="0"/>
              <w:marRight w:val="0"/>
              <w:marTop w:val="0"/>
              <w:marBottom w:val="0"/>
              <w:divBdr>
                <w:top w:val="none" w:sz="0" w:space="0" w:color="auto"/>
                <w:left w:val="none" w:sz="0" w:space="0" w:color="auto"/>
                <w:bottom w:val="none" w:sz="0" w:space="0" w:color="auto"/>
                <w:right w:val="none" w:sz="0" w:space="0" w:color="auto"/>
              </w:divBdr>
              <w:divsChild>
                <w:div w:id="1459571442">
                  <w:marLeft w:val="0"/>
                  <w:marRight w:val="0"/>
                  <w:marTop w:val="0"/>
                  <w:marBottom w:val="0"/>
                  <w:divBdr>
                    <w:top w:val="none" w:sz="0" w:space="0" w:color="auto"/>
                    <w:left w:val="none" w:sz="0" w:space="0" w:color="auto"/>
                    <w:bottom w:val="none" w:sz="0" w:space="0" w:color="auto"/>
                    <w:right w:val="none" w:sz="0" w:space="0" w:color="auto"/>
                  </w:divBdr>
                  <w:divsChild>
                    <w:div w:id="1305813073">
                      <w:marLeft w:val="405"/>
                      <w:marRight w:val="0"/>
                      <w:marTop w:val="0"/>
                      <w:marBottom w:val="0"/>
                      <w:divBdr>
                        <w:top w:val="none" w:sz="0" w:space="0" w:color="auto"/>
                        <w:left w:val="none" w:sz="0" w:space="0" w:color="auto"/>
                        <w:bottom w:val="none" w:sz="0" w:space="0" w:color="auto"/>
                        <w:right w:val="none" w:sz="0" w:space="0" w:color="auto"/>
                      </w:divBdr>
                      <w:divsChild>
                        <w:div w:id="951136381">
                          <w:marLeft w:val="0"/>
                          <w:marRight w:val="0"/>
                          <w:marTop w:val="0"/>
                          <w:marBottom w:val="0"/>
                          <w:divBdr>
                            <w:top w:val="none" w:sz="0" w:space="0" w:color="auto"/>
                            <w:left w:val="none" w:sz="0" w:space="0" w:color="auto"/>
                            <w:bottom w:val="none" w:sz="0" w:space="0" w:color="auto"/>
                            <w:right w:val="none" w:sz="0" w:space="0" w:color="auto"/>
                          </w:divBdr>
                          <w:divsChild>
                            <w:div w:id="1351253686">
                              <w:marLeft w:val="405"/>
                              <w:marRight w:val="0"/>
                              <w:marTop w:val="0"/>
                              <w:marBottom w:val="0"/>
                              <w:divBdr>
                                <w:top w:val="none" w:sz="0" w:space="0" w:color="auto"/>
                                <w:left w:val="none" w:sz="0" w:space="0" w:color="auto"/>
                                <w:bottom w:val="none" w:sz="0" w:space="0" w:color="auto"/>
                                <w:right w:val="none" w:sz="0" w:space="0" w:color="auto"/>
                              </w:divBdr>
                              <w:divsChild>
                                <w:div w:id="343286058">
                                  <w:marLeft w:val="0"/>
                                  <w:marRight w:val="0"/>
                                  <w:marTop w:val="0"/>
                                  <w:marBottom w:val="0"/>
                                  <w:divBdr>
                                    <w:top w:val="none" w:sz="0" w:space="0" w:color="auto"/>
                                    <w:left w:val="none" w:sz="0" w:space="0" w:color="auto"/>
                                    <w:bottom w:val="none" w:sz="0" w:space="0" w:color="auto"/>
                                    <w:right w:val="none" w:sz="0" w:space="0" w:color="auto"/>
                                  </w:divBdr>
                                  <w:divsChild>
                                    <w:div w:id="988024313">
                                      <w:marLeft w:val="405"/>
                                      <w:marRight w:val="0"/>
                                      <w:marTop w:val="0"/>
                                      <w:marBottom w:val="0"/>
                                      <w:divBdr>
                                        <w:top w:val="none" w:sz="0" w:space="0" w:color="auto"/>
                                        <w:left w:val="none" w:sz="0" w:space="0" w:color="auto"/>
                                        <w:bottom w:val="none" w:sz="0" w:space="0" w:color="auto"/>
                                        <w:right w:val="none" w:sz="0" w:space="0" w:color="auto"/>
                                      </w:divBdr>
                                      <w:divsChild>
                                        <w:div w:id="690230125">
                                          <w:marLeft w:val="0"/>
                                          <w:marRight w:val="0"/>
                                          <w:marTop w:val="0"/>
                                          <w:marBottom w:val="0"/>
                                          <w:divBdr>
                                            <w:top w:val="none" w:sz="0" w:space="0" w:color="auto"/>
                                            <w:left w:val="none" w:sz="0" w:space="0" w:color="auto"/>
                                            <w:bottom w:val="none" w:sz="0" w:space="0" w:color="auto"/>
                                            <w:right w:val="none" w:sz="0" w:space="0" w:color="auto"/>
                                          </w:divBdr>
                                          <w:divsChild>
                                            <w:div w:id="1508865772">
                                              <w:marLeft w:val="405"/>
                                              <w:marRight w:val="0"/>
                                              <w:marTop w:val="0"/>
                                              <w:marBottom w:val="0"/>
                                              <w:divBdr>
                                                <w:top w:val="none" w:sz="0" w:space="0" w:color="auto"/>
                                                <w:left w:val="none" w:sz="0" w:space="0" w:color="auto"/>
                                                <w:bottom w:val="none" w:sz="0" w:space="0" w:color="auto"/>
                                                <w:right w:val="none" w:sz="0" w:space="0" w:color="auto"/>
                                              </w:divBdr>
                                            </w:div>
                                            <w:div w:id="1666081076">
                                              <w:marLeft w:val="405"/>
                                              <w:marRight w:val="0"/>
                                              <w:marTop w:val="0"/>
                                              <w:marBottom w:val="0"/>
                                              <w:divBdr>
                                                <w:top w:val="none" w:sz="0" w:space="0" w:color="auto"/>
                                                <w:left w:val="none" w:sz="0" w:space="0" w:color="auto"/>
                                                <w:bottom w:val="none" w:sz="0" w:space="0" w:color="auto"/>
                                                <w:right w:val="none" w:sz="0" w:space="0" w:color="auto"/>
                                              </w:divBdr>
                                            </w:div>
                                            <w:div w:id="1729111749">
                                              <w:marLeft w:val="40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679812661">
      <w:bodyDiv w:val="1"/>
      <w:marLeft w:val="0"/>
      <w:marRight w:val="0"/>
      <w:marTop w:val="0"/>
      <w:marBottom w:val="0"/>
      <w:divBdr>
        <w:top w:val="none" w:sz="0" w:space="0" w:color="auto"/>
        <w:left w:val="none" w:sz="0" w:space="0" w:color="auto"/>
        <w:bottom w:val="none" w:sz="0" w:space="0" w:color="auto"/>
        <w:right w:val="none" w:sz="0" w:space="0" w:color="auto"/>
      </w:divBdr>
    </w:div>
    <w:div w:id="690766255">
      <w:bodyDiv w:val="1"/>
      <w:marLeft w:val="0"/>
      <w:marRight w:val="0"/>
      <w:marTop w:val="0"/>
      <w:marBottom w:val="0"/>
      <w:divBdr>
        <w:top w:val="none" w:sz="0" w:space="0" w:color="auto"/>
        <w:left w:val="none" w:sz="0" w:space="0" w:color="auto"/>
        <w:bottom w:val="none" w:sz="0" w:space="0" w:color="auto"/>
        <w:right w:val="none" w:sz="0" w:space="0" w:color="auto"/>
      </w:divBdr>
    </w:div>
    <w:div w:id="708069009">
      <w:bodyDiv w:val="1"/>
      <w:marLeft w:val="0"/>
      <w:marRight w:val="0"/>
      <w:marTop w:val="0"/>
      <w:marBottom w:val="0"/>
      <w:divBdr>
        <w:top w:val="none" w:sz="0" w:space="0" w:color="auto"/>
        <w:left w:val="none" w:sz="0" w:space="0" w:color="auto"/>
        <w:bottom w:val="none" w:sz="0" w:space="0" w:color="auto"/>
        <w:right w:val="none" w:sz="0" w:space="0" w:color="auto"/>
      </w:divBdr>
    </w:div>
    <w:div w:id="728109953">
      <w:bodyDiv w:val="1"/>
      <w:marLeft w:val="0"/>
      <w:marRight w:val="0"/>
      <w:marTop w:val="0"/>
      <w:marBottom w:val="0"/>
      <w:divBdr>
        <w:top w:val="none" w:sz="0" w:space="0" w:color="auto"/>
        <w:left w:val="none" w:sz="0" w:space="0" w:color="auto"/>
        <w:bottom w:val="none" w:sz="0" w:space="0" w:color="auto"/>
        <w:right w:val="none" w:sz="0" w:space="0" w:color="auto"/>
      </w:divBdr>
    </w:div>
    <w:div w:id="837310289">
      <w:bodyDiv w:val="1"/>
      <w:marLeft w:val="0"/>
      <w:marRight w:val="0"/>
      <w:marTop w:val="0"/>
      <w:marBottom w:val="0"/>
      <w:divBdr>
        <w:top w:val="none" w:sz="0" w:space="0" w:color="auto"/>
        <w:left w:val="none" w:sz="0" w:space="0" w:color="auto"/>
        <w:bottom w:val="none" w:sz="0" w:space="0" w:color="auto"/>
        <w:right w:val="none" w:sz="0" w:space="0" w:color="auto"/>
      </w:divBdr>
      <w:divsChild>
        <w:div w:id="1337490441">
          <w:marLeft w:val="0"/>
          <w:marRight w:val="0"/>
          <w:marTop w:val="0"/>
          <w:marBottom w:val="0"/>
          <w:divBdr>
            <w:top w:val="none" w:sz="0" w:space="0" w:color="auto"/>
            <w:left w:val="none" w:sz="0" w:space="0" w:color="auto"/>
            <w:bottom w:val="none" w:sz="0" w:space="0" w:color="auto"/>
            <w:right w:val="none" w:sz="0" w:space="0" w:color="auto"/>
          </w:divBdr>
        </w:div>
        <w:div w:id="80222424">
          <w:marLeft w:val="0"/>
          <w:marRight w:val="0"/>
          <w:marTop w:val="0"/>
          <w:marBottom w:val="0"/>
          <w:divBdr>
            <w:top w:val="none" w:sz="0" w:space="0" w:color="auto"/>
            <w:left w:val="none" w:sz="0" w:space="0" w:color="auto"/>
            <w:bottom w:val="none" w:sz="0" w:space="0" w:color="auto"/>
            <w:right w:val="none" w:sz="0" w:space="0" w:color="auto"/>
          </w:divBdr>
        </w:div>
        <w:div w:id="592855339">
          <w:marLeft w:val="0"/>
          <w:marRight w:val="0"/>
          <w:marTop w:val="0"/>
          <w:marBottom w:val="0"/>
          <w:divBdr>
            <w:top w:val="none" w:sz="0" w:space="0" w:color="auto"/>
            <w:left w:val="none" w:sz="0" w:space="0" w:color="auto"/>
            <w:bottom w:val="none" w:sz="0" w:space="0" w:color="auto"/>
            <w:right w:val="none" w:sz="0" w:space="0" w:color="auto"/>
          </w:divBdr>
        </w:div>
        <w:div w:id="565649202">
          <w:marLeft w:val="0"/>
          <w:marRight w:val="0"/>
          <w:marTop w:val="0"/>
          <w:marBottom w:val="0"/>
          <w:divBdr>
            <w:top w:val="none" w:sz="0" w:space="0" w:color="auto"/>
            <w:left w:val="none" w:sz="0" w:space="0" w:color="auto"/>
            <w:bottom w:val="none" w:sz="0" w:space="0" w:color="auto"/>
            <w:right w:val="none" w:sz="0" w:space="0" w:color="auto"/>
          </w:divBdr>
        </w:div>
        <w:div w:id="1315837641">
          <w:marLeft w:val="0"/>
          <w:marRight w:val="0"/>
          <w:marTop w:val="0"/>
          <w:marBottom w:val="0"/>
          <w:divBdr>
            <w:top w:val="none" w:sz="0" w:space="0" w:color="auto"/>
            <w:left w:val="none" w:sz="0" w:space="0" w:color="auto"/>
            <w:bottom w:val="none" w:sz="0" w:space="0" w:color="auto"/>
            <w:right w:val="none" w:sz="0" w:space="0" w:color="auto"/>
          </w:divBdr>
        </w:div>
        <w:div w:id="873662426">
          <w:marLeft w:val="0"/>
          <w:marRight w:val="0"/>
          <w:marTop w:val="0"/>
          <w:marBottom w:val="0"/>
          <w:divBdr>
            <w:top w:val="none" w:sz="0" w:space="0" w:color="auto"/>
            <w:left w:val="none" w:sz="0" w:space="0" w:color="auto"/>
            <w:bottom w:val="none" w:sz="0" w:space="0" w:color="auto"/>
            <w:right w:val="none" w:sz="0" w:space="0" w:color="auto"/>
          </w:divBdr>
        </w:div>
      </w:divsChild>
    </w:div>
    <w:div w:id="839203034">
      <w:bodyDiv w:val="1"/>
      <w:marLeft w:val="0"/>
      <w:marRight w:val="0"/>
      <w:marTop w:val="0"/>
      <w:marBottom w:val="0"/>
      <w:divBdr>
        <w:top w:val="none" w:sz="0" w:space="0" w:color="auto"/>
        <w:left w:val="none" w:sz="0" w:space="0" w:color="auto"/>
        <w:bottom w:val="none" w:sz="0" w:space="0" w:color="auto"/>
        <w:right w:val="none" w:sz="0" w:space="0" w:color="auto"/>
      </w:divBdr>
      <w:divsChild>
        <w:div w:id="647172165">
          <w:marLeft w:val="0"/>
          <w:marRight w:val="0"/>
          <w:marTop w:val="100"/>
          <w:marBottom w:val="100"/>
          <w:divBdr>
            <w:top w:val="none" w:sz="0" w:space="0" w:color="auto"/>
            <w:left w:val="none" w:sz="0" w:space="0" w:color="auto"/>
            <w:bottom w:val="none" w:sz="0" w:space="0" w:color="auto"/>
            <w:right w:val="none" w:sz="0" w:space="0" w:color="auto"/>
          </w:divBdr>
          <w:divsChild>
            <w:div w:id="2107075526">
              <w:marLeft w:val="0"/>
              <w:marRight w:val="0"/>
              <w:marTop w:val="100"/>
              <w:marBottom w:val="100"/>
              <w:divBdr>
                <w:top w:val="none" w:sz="0" w:space="0" w:color="auto"/>
                <w:left w:val="none" w:sz="0" w:space="0" w:color="auto"/>
                <w:bottom w:val="none" w:sz="0" w:space="0" w:color="auto"/>
                <w:right w:val="none" w:sz="0" w:space="0" w:color="auto"/>
              </w:divBdr>
              <w:divsChild>
                <w:div w:id="1759057748">
                  <w:marLeft w:val="0"/>
                  <w:marRight w:val="0"/>
                  <w:marTop w:val="0"/>
                  <w:marBottom w:val="0"/>
                  <w:divBdr>
                    <w:top w:val="none" w:sz="0" w:space="0" w:color="auto"/>
                    <w:left w:val="none" w:sz="0" w:space="0" w:color="auto"/>
                    <w:bottom w:val="none" w:sz="0" w:space="0" w:color="auto"/>
                    <w:right w:val="none" w:sz="0" w:space="0" w:color="auto"/>
                  </w:divBdr>
                  <w:divsChild>
                    <w:div w:id="8867261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55193066">
      <w:bodyDiv w:val="1"/>
      <w:marLeft w:val="0"/>
      <w:marRight w:val="0"/>
      <w:marTop w:val="0"/>
      <w:marBottom w:val="0"/>
      <w:divBdr>
        <w:top w:val="none" w:sz="0" w:space="0" w:color="auto"/>
        <w:left w:val="none" w:sz="0" w:space="0" w:color="auto"/>
        <w:bottom w:val="none" w:sz="0" w:space="0" w:color="auto"/>
        <w:right w:val="none" w:sz="0" w:space="0" w:color="auto"/>
      </w:divBdr>
    </w:div>
    <w:div w:id="872234736">
      <w:bodyDiv w:val="1"/>
      <w:marLeft w:val="0"/>
      <w:marRight w:val="0"/>
      <w:marTop w:val="0"/>
      <w:marBottom w:val="0"/>
      <w:divBdr>
        <w:top w:val="none" w:sz="0" w:space="0" w:color="auto"/>
        <w:left w:val="none" w:sz="0" w:space="0" w:color="auto"/>
        <w:bottom w:val="none" w:sz="0" w:space="0" w:color="auto"/>
        <w:right w:val="none" w:sz="0" w:space="0" w:color="auto"/>
      </w:divBdr>
    </w:div>
    <w:div w:id="913128510">
      <w:bodyDiv w:val="1"/>
      <w:marLeft w:val="0"/>
      <w:marRight w:val="0"/>
      <w:marTop w:val="0"/>
      <w:marBottom w:val="0"/>
      <w:divBdr>
        <w:top w:val="none" w:sz="0" w:space="0" w:color="auto"/>
        <w:left w:val="none" w:sz="0" w:space="0" w:color="auto"/>
        <w:bottom w:val="none" w:sz="0" w:space="0" w:color="auto"/>
        <w:right w:val="none" w:sz="0" w:space="0" w:color="auto"/>
      </w:divBdr>
    </w:div>
    <w:div w:id="914320671">
      <w:bodyDiv w:val="1"/>
      <w:marLeft w:val="0"/>
      <w:marRight w:val="0"/>
      <w:marTop w:val="0"/>
      <w:marBottom w:val="0"/>
      <w:divBdr>
        <w:top w:val="none" w:sz="0" w:space="0" w:color="auto"/>
        <w:left w:val="none" w:sz="0" w:space="0" w:color="auto"/>
        <w:bottom w:val="none" w:sz="0" w:space="0" w:color="auto"/>
        <w:right w:val="none" w:sz="0" w:space="0" w:color="auto"/>
      </w:divBdr>
    </w:div>
    <w:div w:id="917178114">
      <w:bodyDiv w:val="1"/>
      <w:marLeft w:val="0"/>
      <w:marRight w:val="0"/>
      <w:marTop w:val="0"/>
      <w:marBottom w:val="0"/>
      <w:divBdr>
        <w:top w:val="none" w:sz="0" w:space="0" w:color="auto"/>
        <w:left w:val="none" w:sz="0" w:space="0" w:color="auto"/>
        <w:bottom w:val="none" w:sz="0" w:space="0" w:color="auto"/>
        <w:right w:val="none" w:sz="0" w:space="0" w:color="auto"/>
      </w:divBdr>
      <w:divsChild>
        <w:div w:id="580791888">
          <w:marLeft w:val="0"/>
          <w:marRight w:val="0"/>
          <w:marTop w:val="750"/>
          <w:marBottom w:val="0"/>
          <w:divBdr>
            <w:top w:val="none" w:sz="0" w:space="0" w:color="auto"/>
            <w:left w:val="none" w:sz="0" w:space="0" w:color="auto"/>
            <w:bottom w:val="none" w:sz="0" w:space="0" w:color="auto"/>
            <w:right w:val="none" w:sz="0" w:space="0" w:color="auto"/>
          </w:divBdr>
          <w:divsChild>
            <w:div w:id="730806410">
              <w:marLeft w:val="0"/>
              <w:marRight w:val="0"/>
              <w:marTop w:val="0"/>
              <w:marBottom w:val="0"/>
              <w:divBdr>
                <w:top w:val="none" w:sz="0" w:space="0" w:color="auto"/>
                <w:left w:val="none" w:sz="0" w:space="0" w:color="auto"/>
                <w:bottom w:val="none" w:sz="0" w:space="0" w:color="auto"/>
                <w:right w:val="none" w:sz="0" w:space="0" w:color="auto"/>
              </w:divBdr>
              <w:divsChild>
                <w:div w:id="721292934">
                  <w:marLeft w:val="-225"/>
                  <w:marRight w:val="0"/>
                  <w:marTop w:val="0"/>
                  <w:marBottom w:val="0"/>
                  <w:divBdr>
                    <w:top w:val="none" w:sz="0" w:space="0" w:color="auto"/>
                    <w:left w:val="none" w:sz="0" w:space="0" w:color="auto"/>
                    <w:bottom w:val="none" w:sz="0" w:space="0" w:color="auto"/>
                    <w:right w:val="none" w:sz="0" w:space="0" w:color="auto"/>
                  </w:divBdr>
                  <w:divsChild>
                    <w:div w:id="5476858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0525953">
      <w:bodyDiv w:val="1"/>
      <w:marLeft w:val="0"/>
      <w:marRight w:val="0"/>
      <w:marTop w:val="0"/>
      <w:marBottom w:val="0"/>
      <w:divBdr>
        <w:top w:val="none" w:sz="0" w:space="0" w:color="auto"/>
        <w:left w:val="none" w:sz="0" w:space="0" w:color="auto"/>
        <w:bottom w:val="none" w:sz="0" w:space="0" w:color="auto"/>
        <w:right w:val="none" w:sz="0" w:space="0" w:color="auto"/>
      </w:divBdr>
      <w:divsChild>
        <w:div w:id="1331983258">
          <w:marLeft w:val="0"/>
          <w:marRight w:val="0"/>
          <w:marTop w:val="0"/>
          <w:marBottom w:val="0"/>
          <w:divBdr>
            <w:top w:val="none" w:sz="0" w:space="0" w:color="auto"/>
            <w:left w:val="none" w:sz="0" w:space="0" w:color="auto"/>
            <w:bottom w:val="none" w:sz="0" w:space="0" w:color="auto"/>
            <w:right w:val="none" w:sz="0" w:space="0" w:color="auto"/>
          </w:divBdr>
        </w:div>
        <w:div w:id="51274247">
          <w:marLeft w:val="0"/>
          <w:marRight w:val="0"/>
          <w:marTop w:val="0"/>
          <w:marBottom w:val="0"/>
          <w:divBdr>
            <w:top w:val="none" w:sz="0" w:space="0" w:color="auto"/>
            <w:left w:val="none" w:sz="0" w:space="0" w:color="auto"/>
            <w:bottom w:val="none" w:sz="0" w:space="0" w:color="auto"/>
            <w:right w:val="none" w:sz="0" w:space="0" w:color="auto"/>
          </w:divBdr>
        </w:div>
        <w:div w:id="1233126706">
          <w:marLeft w:val="0"/>
          <w:marRight w:val="0"/>
          <w:marTop w:val="0"/>
          <w:marBottom w:val="0"/>
          <w:divBdr>
            <w:top w:val="none" w:sz="0" w:space="0" w:color="auto"/>
            <w:left w:val="none" w:sz="0" w:space="0" w:color="auto"/>
            <w:bottom w:val="none" w:sz="0" w:space="0" w:color="auto"/>
            <w:right w:val="none" w:sz="0" w:space="0" w:color="auto"/>
          </w:divBdr>
        </w:div>
        <w:div w:id="1752777488">
          <w:marLeft w:val="0"/>
          <w:marRight w:val="0"/>
          <w:marTop w:val="0"/>
          <w:marBottom w:val="0"/>
          <w:divBdr>
            <w:top w:val="none" w:sz="0" w:space="0" w:color="auto"/>
            <w:left w:val="none" w:sz="0" w:space="0" w:color="auto"/>
            <w:bottom w:val="none" w:sz="0" w:space="0" w:color="auto"/>
            <w:right w:val="none" w:sz="0" w:space="0" w:color="auto"/>
          </w:divBdr>
        </w:div>
        <w:div w:id="1226256084">
          <w:marLeft w:val="0"/>
          <w:marRight w:val="0"/>
          <w:marTop w:val="0"/>
          <w:marBottom w:val="0"/>
          <w:divBdr>
            <w:top w:val="none" w:sz="0" w:space="0" w:color="auto"/>
            <w:left w:val="none" w:sz="0" w:space="0" w:color="auto"/>
            <w:bottom w:val="none" w:sz="0" w:space="0" w:color="auto"/>
            <w:right w:val="none" w:sz="0" w:space="0" w:color="auto"/>
          </w:divBdr>
        </w:div>
        <w:div w:id="240456718">
          <w:marLeft w:val="0"/>
          <w:marRight w:val="0"/>
          <w:marTop w:val="0"/>
          <w:marBottom w:val="0"/>
          <w:divBdr>
            <w:top w:val="none" w:sz="0" w:space="0" w:color="auto"/>
            <w:left w:val="none" w:sz="0" w:space="0" w:color="auto"/>
            <w:bottom w:val="none" w:sz="0" w:space="0" w:color="auto"/>
            <w:right w:val="none" w:sz="0" w:space="0" w:color="auto"/>
          </w:divBdr>
        </w:div>
      </w:divsChild>
    </w:div>
    <w:div w:id="923612726">
      <w:bodyDiv w:val="1"/>
      <w:marLeft w:val="0"/>
      <w:marRight w:val="0"/>
      <w:marTop w:val="0"/>
      <w:marBottom w:val="0"/>
      <w:divBdr>
        <w:top w:val="none" w:sz="0" w:space="0" w:color="auto"/>
        <w:left w:val="none" w:sz="0" w:space="0" w:color="auto"/>
        <w:bottom w:val="none" w:sz="0" w:space="0" w:color="auto"/>
        <w:right w:val="none" w:sz="0" w:space="0" w:color="auto"/>
      </w:divBdr>
      <w:divsChild>
        <w:div w:id="1244408741">
          <w:marLeft w:val="0"/>
          <w:marRight w:val="0"/>
          <w:marTop w:val="0"/>
          <w:marBottom w:val="0"/>
          <w:divBdr>
            <w:top w:val="none" w:sz="0" w:space="0" w:color="auto"/>
            <w:left w:val="none" w:sz="0" w:space="0" w:color="auto"/>
            <w:bottom w:val="none" w:sz="0" w:space="0" w:color="auto"/>
            <w:right w:val="none" w:sz="0" w:space="0" w:color="auto"/>
          </w:divBdr>
          <w:divsChild>
            <w:div w:id="1993757667">
              <w:marLeft w:val="0"/>
              <w:marRight w:val="0"/>
              <w:marTop w:val="0"/>
              <w:marBottom w:val="0"/>
              <w:divBdr>
                <w:top w:val="none" w:sz="0" w:space="0" w:color="auto"/>
                <w:left w:val="none" w:sz="0" w:space="0" w:color="auto"/>
                <w:bottom w:val="none" w:sz="0" w:space="0" w:color="auto"/>
                <w:right w:val="none" w:sz="0" w:space="0" w:color="auto"/>
              </w:divBdr>
              <w:divsChild>
                <w:div w:id="801770376">
                  <w:marLeft w:val="0"/>
                  <w:marRight w:val="0"/>
                  <w:marTop w:val="0"/>
                  <w:marBottom w:val="0"/>
                  <w:divBdr>
                    <w:top w:val="none" w:sz="0" w:space="0" w:color="auto"/>
                    <w:left w:val="none" w:sz="0" w:space="0" w:color="auto"/>
                    <w:bottom w:val="none" w:sz="0" w:space="0" w:color="auto"/>
                    <w:right w:val="none" w:sz="0" w:space="0" w:color="auto"/>
                  </w:divBdr>
                  <w:divsChild>
                    <w:div w:id="141968386">
                      <w:marLeft w:val="405"/>
                      <w:marRight w:val="0"/>
                      <w:marTop w:val="0"/>
                      <w:marBottom w:val="0"/>
                      <w:divBdr>
                        <w:top w:val="none" w:sz="0" w:space="0" w:color="auto"/>
                        <w:left w:val="none" w:sz="0" w:space="0" w:color="auto"/>
                        <w:bottom w:val="none" w:sz="0" w:space="0" w:color="auto"/>
                        <w:right w:val="none" w:sz="0" w:space="0" w:color="auto"/>
                      </w:divBdr>
                      <w:divsChild>
                        <w:div w:id="822621605">
                          <w:marLeft w:val="0"/>
                          <w:marRight w:val="0"/>
                          <w:marTop w:val="0"/>
                          <w:marBottom w:val="0"/>
                          <w:divBdr>
                            <w:top w:val="none" w:sz="0" w:space="0" w:color="auto"/>
                            <w:left w:val="none" w:sz="0" w:space="0" w:color="auto"/>
                            <w:bottom w:val="none" w:sz="0" w:space="0" w:color="auto"/>
                            <w:right w:val="none" w:sz="0" w:space="0" w:color="auto"/>
                          </w:divBdr>
                          <w:divsChild>
                            <w:div w:id="690566876">
                              <w:marLeft w:val="405"/>
                              <w:marRight w:val="0"/>
                              <w:marTop w:val="0"/>
                              <w:marBottom w:val="0"/>
                              <w:divBdr>
                                <w:top w:val="none" w:sz="0" w:space="0" w:color="auto"/>
                                <w:left w:val="none" w:sz="0" w:space="0" w:color="auto"/>
                                <w:bottom w:val="none" w:sz="0" w:space="0" w:color="auto"/>
                                <w:right w:val="none" w:sz="0" w:space="0" w:color="auto"/>
                              </w:divBdr>
                              <w:divsChild>
                                <w:div w:id="165901324">
                                  <w:marLeft w:val="0"/>
                                  <w:marRight w:val="0"/>
                                  <w:marTop w:val="0"/>
                                  <w:marBottom w:val="0"/>
                                  <w:divBdr>
                                    <w:top w:val="none" w:sz="0" w:space="0" w:color="auto"/>
                                    <w:left w:val="none" w:sz="0" w:space="0" w:color="auto"/>
                                    <w:bottom w:val="none" w:sz="0" w:space="0" w:color="auto"/>
                                    <w:right w:val="none" w:sz="0" w:space="0" w:color="auto"/>
                                  </w:divBdr>
                                  <w:divsChild>
                                    <w:div w:id="1757045617">
                                      <w:marLeft w:val="405"/>
                                      <w:marRight w:val="0"/>
                                      <w:marTop w:val="0"/>
                                      <w:marBottom w:val="0"/>
                                      <w:divBdr>
                                        <w:top w:val="none" w:sz="0" w:space="0" w:color="auto"/>
                                        <w:left w:val="none" w:sz="0" w:space="0" w:color="auto"/>
                                        <w:bottom w:val="none" w:sz="0" w:space="0" w:color="auto"/>
                                        <w:right w:val="none" w:sz="0" w:space="0" w:color="auto"/>
                                      </w:divBdr>
                                      <w:divsChild>
                                        <w:div w:id="1744138791">
                                          <w:marLeft w:val="0"/>
                                          <w:marRight w:val="0"/>
                                          <w:marTop w:val="0"/>
                                          <w:marBottom w:val="0"/>
                                          <w:divBdr>
                                            <w:top w:val="none" w:sz="0" w:space="0" w:color="auto"/>
                                            <w:left w:val="none" w:sz="0" w:space="0" w:color="auto"/>
                                            <w:bottom w:val="none" w:sz="0" w:space="0" w:color="auto"/>
                                            <w:right w:val="none" w:sz="0" w:space="0" w:color="auto"/>
                                          </w:divBdr>
                                          <w:divsChild>
                                            <w:div w:id="876428265">
                                              <w:marLeft w:val="405"/>
                                              <w:marRight w:val="0"/>
                                              <w:marTop w:val="0"/>
                                              <w:marBottom w:val="0"/>
                                              <w:divBdr>
                                                <w:top w:val="none" w:sz="0" w:space="0" w:color="auto"/>
                                                <w:left w:val="none" w:sz="0" w:space="0" w:color="auto"/>
                                                <w:bottom w:val="none" w:sz="0" w:space="0" w:color="auto"/>
                                                <w:right w:val="none" w:sz="0" w:space="0" w:color="auto"/>
                                              </w:divBdr>
                                            </w:div>
                                            <w:div w:id="1640039006">
                                              <w:marLeft w:val="40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974289691">
      <w:bodyDiv w:val="1"/>
      <w:marLeft w:val="0"/>
      <w:marRight w:val="0"/>
      <w:marTop w:val="0"/>
      <w:marBottom w:val="0"/>
      <w:divBdr>
        <w:top w:val="none" w:sz="0" w:space="0" w:color="auto"/>
        <w:left w:val="none" w:sz="0" w:space="0" w:color="auto"/>
        <w:bottom w:val="none" w:sz="0" w:space="0" w:color="auto"/>
        <w:right w:val="none" w:sz="0" w:space="0" w:color="auto"/>
      </w:divBdr>
      <w:divsChild>
        <w:div w:id="188102795">
          <w:marLeft w:val="0"/>
          <w:marRight w:val="0"/>
          <w:marTop w:val="0"/>
          <w:marBottom w:val="0"/>
          <w:divBdr>
            <w:top w:val="none" w:sz="0" w:space="0" w:color="auto"/>
            <w:left w:val="none" w:sz="0" w:space="0" w:color="auto"/>
            <w:bottom w:val="none" w:sz="0" w:space="0" w:color="auto"/>
            <w:right w:val="none" w:sz="0" w:space="0" w:color="auto"/>
          </w:divBdr>
          <w:divsChild>
            <w:div w:id="226692354">
              <w:marLeft w:val="0"/>
              <w:marRight w:val="0"/>
              <w:marTop w:val="0"/>
              <w:marBottom w:val="0"/>
              <w:divBdr>
                <w:top w:val="none" w:sz="0" w:space="0" w:color="auto"/>
                <w:left w:val="none" w:sz="0" w:space="0" w:color="auto"/>
                <w:bottom w:val="none" w:sz="0" w:space="0" w:color="auto"/>
                <w:right w:val="none" w:sz="0" w:space="0" w:color="auto"/>
              </w:divBdr>
              <w:divsChild>
                <w:div w:id="1047607390">
                  <w:marLeft w:val="0"/>
                  <w:marRight w:val="0"/>
                  <w:marTop w:val="0"/>
                  <w:marBottom w:val="0"/>
                  <w:divBdr>
                    <w:top w:val="none" w:sz="0" w:space="0" w:color="auto"/>
                    <w:left w:val="none" w:sz="0" w:space="0" w:color="auto"/>
                    <w:bottom w:val="none" w:sz="0" w:space="0" w:color="auto"/>
                    <w:right w:val="none" w:sz="0" w:space="0" w:color="auto"/>
                  </w:divBdr>
                  <w:divsChild>
                    <w:div w:id="1080903309">
                      <w:marLeft w:val="0"/>
                      <w:marRight w:val="0"/>
                      <w:marTop w:val="0"/>
                      <w:marBottom w:val="0"/>
                      <w:divBdr>
                        <w:top w:val="none" w:sz="0" w:space="0" w:color="auto"/>
                        <w:left w:val="none" w:sz="0" w:space="0" w:color="auto"/>
                        <w:bottom w:val="none" w:sz="0" w:space="0" w:color="auto"/>
                        <w:right w:val="none" w:sz="0" w:space="0" w:color="auto"/>
                      </w:divBdr>
                      <w:divsChild>
                        <w:div w:id="1959752624">
                          <w:marLeft w:val="0"/>
                          <w:marRight w:val="0"/>
                          <w:marTop w:val="0"/>
                          <w:marBottom w:val="0"/>
                          <w:divBdr>
                            <w:top w:val="none" w:sz="0" w:space="0" w:color="auto"/>
                            <w:left w:val="none" w:sz="0" w:space="0" w:color="auto"/>
                            <w:bottom w:val="none" w:sz="0" w:space="0" w:color="auto"/>
                            <w:right w:val="none" w:sz="0" w:space="0" w:color="auto"/>
                          </w:divBdr>
                          <w:divsChild>
                            <w:div w:id="1799298500">
                              <w:marLeft w:val="0"/>
                              <w:marRight w:val="0"/>
                              <w:marTop w:val="0"/>
                              <w:marBottom w:val="0"/>
                              <w:divBdr>
                                <w:top w:val="none" w:sz="0" w:space="0" w:color="auto"/>
                                <w:left w:val="none" w:sz="0" w:space="0" w:color="auto"/>
                                <w:bottom w:val="none" w:sz="0" w:space="0" w:color="auto"/>
                                <w:right w:val="none" w:sz="0" w:space="0" w:color="auto"/>
                              </w:divBdr>
                              <w:divsChild>
                                <w:div w:id="572546171">
                                  <w:marLeft w:val="0"/>
                                  <w:marRight w:val="0"/>
                                  <w:marTop w:val="0"/>
                                  <w:marBottom w:val="0"/>
                                  <w:divBdr>
                                    <w:top w:val="none" w:sz="0" w:space="0" w:color="auto"/>
                                    <w:left w:val="none" w:sz="0" w:space="0" w:color="auto"/>
                                    <w:bottom w:val="none" w:sz="0" w:space="0" w:color="auto"/>
                                    <w:right w:val="none" w:sz="0" w:space="0" w:color="auto"/>
                                  </w:divBdr>
                                  <w:divsChild>
                                    <w:div w:id="93139182">
                                      <w:marLeft w:val="0"/>
                                      <w:marRight w:val="0"/>
                                      <w:marTop w:val="0"/>
                                      <w:marBottom w:val="0"/>
                                      <w:divBdr>
                                        <w:top w:val="none" w:sz="0" w:space="0" w:color="auto"/>
                                        <w:left w:val="none" w:sz="0" w:space="0" w:color="auto"/>
                                        <w:bottom w:val="none" w:sz="0" w:space="0" w:color="auto"/>
                                        <w:right w:val="none" w:sz="0" w:space="0" w:color="auto"/>
                                      </w:divBdr>
                                      <w:divsChild>
                                        <w:div w:id="21262673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51732145">
      <w:bodyDiv w:val="1"/>
      <w:marLeft w:val="0"/>
      <w:marRight w:val="0"/>
      <w:marTop w:val="0"/>
      <w:marBottom w:val="0"/>
      <w:divBdr>
        <w:top w:val="none" w:sz="0" w:space="0" w:color="auto"/>
        <w:left w:val="none" w:sz="0" w:space="0" w:color="auto"/>
        <w:bottom w:val="none" w:sz="0" w:space="0" w:color="auto"/>
        <w:right w:val="none" w:sz="0" w:space="0" w:color="auto"/>
      </w:divBdr>
      <w:divsChild>
        <w:div w:id="271284092">
          <w:marLeft w:val="0"/>
          <w:marRight w:val="0"/>
          <w:marTop w:val="0"/>
          <w:marBottom w:val="0"/>
          <w:divBdr>
            <w:top w:val="none" w:sz="0" w:space="0" w:color="auto"/>
            <w:left w:val="none" w:sz="0" w:space="0" w:color="auto"/>
            <w:bottom w:val="none" w:sz="0" w:space="0" w:color="auto"/>
            <w:right w:val="none" w:sz="0" w:space="0" w:color="auto"/>
          </w:divBdr>
        </w:div>
        <w:div w:id="479730287">
          <w:marLeft w:val="0"/>
          <w:marRight w:val="0"/>
          <w:marTop w:val="0"/>
          <w:marBottom w:val="0"/>
          <w:divBdr>
            <w:top w:val="none" w:sz="0" w:space="0" w:color="auto"/>
            <w:left w:val="none" w:sz="0" w:space="0" w:color="auto"/>
            <w:bottom w:val="none" w:sz="0" w:space="0" w:color="auto"/>
            <w:right w:val="none" w:sz="0" w:space="0" w:color="auto"/>
          </w:divBdr>
        </w:div>
        <w:div w:id="629894873">
          <w:marLeft w:val="0"/>
          <w:marRight w:val="0"/>
          <w:marTop w:val="0"/>
          <w:marBottom w:val="0"/>
          <w:divBdr>
            <w:top w:val="none" w:sz="0" w:space="0" w:color="auto"/>
            <w:left w:val="none" w:sz="0" w:space="0" w:color="auto"/>
            <w:bottom w:val="none" w:sz="0" w:space="0" w:color="auto"/>
            <w:right w:val="none" w:sz="0" w:space="0" w:color="auto"/>
          </w:divBdr>
        </w:div>
        <w:div w:id="669911886">
          <w:marLeft w:val="0"/>
          <w:marRight w:val="0"/>
          <w:marTop w:val="0"/>
          <w:marBottom w:val="0"/>
          <w:divBdr>
            <w:top w:val="none" w:sz="0" w:space="0" w:color="auto"/>
            <w:left w:val="none" w:sz="0" w:space="0" w:color="auto"/>
            <w:bottom w:val="none" w:sz="0" w:space="0" w:color="auto"/>
            <w:right w:val="none" w:sz="0" w:space="0" w:color="auto"/>
          </w:divBdr>
        </w:div>
        <w:div w:id="784345638">
          <w:marLeft w:val="0"/>
          <w:marRight w:val="0"/>
          <w:marTop w:val="0"/>
          <w:marBottom w:val="0"/>
          <w:divBdr>
            <w:top w:val="none" w:sz="0" w:space="0" w:color="auto"/>
            <w:left w:val="none" w:sz="0" w:space="0" w:color="auto"/>
            <w:bottom w:val="none" w:sz="0" w:space="0" w:color="auto"/>
            <w:right w:val="none" w:sz="0" w:space="0" w:color="auto"/>
          </w:divBdr>
        </w:div>
      </w:divsChild>
    </w:div>
    <w:div w:id="1055392315">
      <w:bodyDiv w:val="1"/>
      <w:marLeft w:val="0"/>
      <w:marRight w:val="0"/>
      <w:marTop w:val="0"/>
      <w:marBottom w:val="0"/>
      <w:divBdr>
        <w:top w:val="none" w:sz="0" w:space="0" w:color="auto"/>
        <w:left w:val="none" w:sz="0" w:space="0" w:color="auto"/>
        <w:bottom w:val="none" w:sz="0" w:space="0" w:color="auto"/>
        <w:right w:val="none" w:sz="0" w:space="0" w:color="auto"/>
      </w:divBdr>
    </w:div>
    <w:div w:id="1067655557">
      <w:bodyDiv w:val="1"/>
      <w:marLeft w:val="0"/>
      <w:marRight w:val="0"/>
      <w:marTop w:val="0"/>
      <w:marBottom w:val="0"/>
      <w:divBdr>
        <w:top w:val="none" w:sz="0" w:space="0" w:color="auto"/>
        <w:left w:val="none" w:sz="0" w:space="0" w:color="auto"/>
        <w:bottom w:val="none" w:sz="0" w:space="0" w:color="auto"/>
        <w:right w:val="none" w:sz="0" w:space="0" w:color="auto"/>
      </w:divBdr>
    </w:div>
    <w:div w:id="1071345724">
      <w:bodyDiv w:val="1"/>
      <w:marLeft w:val="0"/>
      <w:marRight w:val="0"/>
      <w:marTop w:val="0"/>
      <w:marBottom w:val="0"/>
      <w:divBdr>
        <w:top w:val="none" w:sz="0" w:space="0" w:color="auto"/>
        <w:left w:val="none" w:sz="0" w:space="0" w:color="auto"/>
        <w:bottom w:val="none" w:sz="0" w:space="0" w:color="auto"/>
        <w:right w:val="none" w:sz="0" w:space="0" w:color="auto"/>
      </w:divBdr>
      <w:divsChild>
        <w:div w:id="1172600301">
          <w:marLeft w:val="0"/>
          <w:marRight w:val="0"/>
          <w:marTop w:val="0"/>
          <w:marBottom w:val="0"/>
          <w:divBdr>
            <w:top w:val="none" w:sz="0" w:space="0" w:color="auto"/>
            <w:left w:val="none" w:sz="0" w:space="0" w:color="auto"/>
            <w:bottom w:val="none" w:sz="0" w:space="0" w:color="auto"/>
            <w:right w:val="none" w:sz="0" w:space="0" w:color="auto"/>
          </w:divBdr>
          <w:divsChild>
            <w:div w:id="71313429">
              <w:marLeft w:val="0"/>
              <w:marRight w:val="0"/>
              <w:marTop w:val="0"/>
              <w:marBottom w:val="0"/>
              <w:divBdr>
                <w:top w:val="none" w:sz="0" w:space="0" w:color="auto"/>
                <w:left w:val="none" w:sz="0" w:space="0" w:color="auto"/>
                <w:bottom w:val="none" w:sz="0" w:space="0" w:color="auto"/>
                <w:right w:val="none" w:sz="0" w:space="0" w:color="auto"/>
              </w:divBdr>
              <w:divsChild>
                <w:div w:id="85344724">
                  <w:marLeft w:val="0"/>
                  <w:marRight w:val="0"/>
                  <w:marTop w:val="0"/>
                  <w:marBottom w:val="0"/>
                  <w:divBdr>
                    <w:top w:val="none" w:sz="0" w:space="0" w:color="auto"/>
                    <w:left w:val="none" w:sz="0" w:space="0" w:color="auto"/>
                    <w:bottom w:val="none" w:sz="0" w:space="0" w:color="auto"/>
                    <w:right w:val="none" w:sz="0" w:space="0" w:color="auto"/>
                  </w:divBdr>
                  <w:divsChild>
                    <w:div w:id="659892464">
                      <w:marLeft w:val="0"/>
                      <w:marRight w:val="0"/>
                      <w:marTop w:val="0"/>
                      <w:marBottom w:val="0"/>
                      <w:divBdr>
                        <w:top w:val="none" w:sz="0" w:space="0" w:color="auto"/>
                        <w:left w:val="none" w:sz="0" w:space="0" w:color="auto"/>
                        <w:bottom w:val="none" w:sz="0" w:space="0" w:color="auto"/>
                        <w:right w:val="none" w:sz="0" w:space="0" w:color="auto"/>
                      </w:divBdr>
                      <w:divsChild>
                        <w:div w:id="1981883489">
                          <w:marLeft w:val="-225"/>
                          <w:marRight w:val="-225"/>
                          <w:marTop w:val="0"/>
                          <w:marBottom w:val="0"/>
                          <w:divBdr>
                            <w:top w:val="none" w:sz="0" w:space="0" w:color="auto"/>
                            <w:left w:val="none" w:sz="0" w:space="0" w:color="auto"/>
                            <w:bottom w:val="none" w:sz="0" w:space="0" w:color="auto"/>
                            <w:right w:val="none" w:sz="0" w:space="0" w:color="auto"/>
                          </w:divBdr>
                          <w:divsChild>
                            <w:div w:id="401375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73432266">
      <w:bodyDiv w:val="1"/>
      <w:marLeft w:val="0"/>
      <w:marRight w:val="0"/>
      <w:marTop w:val="0"/>
      <w:marBottom w:val="0"/>
      <w:divBdr>
        <w:top w:val="none" w:sz="0" w:space="0" w:color="auto"/>
        <w:left w:val="none" w:sz="0" w:space="0" w:color="auto"/>
        <w:bottom w:val="none" w:sz="0" w:space="0" w:color="auto"/>
        <w:right w:val="none" w:sz="0" w:space="0" w:color="auto"/>
      </w:divBdr>
    </w:div>
    <w:div w:id="1103646633">
      <w:bodyDiv w:val="1"/>
      <w:marLeft w:val="0"/>
      <w:marRight w:val="0"/>
      <w:marTop w:val="0"/>
      <w:marBottom w:val="0"/>
      <w:divBdr>
        <w:top w:val="none" w:sz="0" w:space="0" w:color="auto"/>
        <w:left w:val="none" w:sz="0" w:space="0" w:color="auto"/>
        <w:bottom w:val="none" w:sz="0" w:space="0" w:color="auto"/>
        <w:right w:val="none" w:sz="0" w:space="0" w:color="auto"/>
      </w:divBdr>
    </w:div>
    <w:div w:id="1127696827">
      <w:bodyDiv w:val="1"/>
      <w:marLeft w:val="0"/>
      <w:marRight w:val="0"/>
      <w:marTop w:val="0"/>
      <w:marBottom w:val="0"/>
      <w:divBdr>
        <w:top w:val="none" w:sz="0" w:space="0" w:color="auto"/>
        <w:left w:val="none" w:sz="0" w:space="0" w:color="auto"/>
        <w:bottom w:val="none" w:sz="0" w:space="0" w:color="auto"/>
        <w:right w:val="none" w:sz="0" w:space="0" w:color="auto"/>
      </w:divBdr>
    </w:div>
    <w:div w:id="1145004232">
      <w:bodyDiv w:val="1"/>
      <w:marLeft w:val="0"/>
      <w:marRight w:val="0"/>
      <w:marTop w:val="0"/>
      <w:marBottom w:val="0"/>
      <w:divBdr>
        <w:top w:val="none" w:sz="0" w:space="0" w:color="auto"/>
        <w:left w:val="none" w:sz="0" w:space="0" w:color="auto"/>
        <w:bottom w:val="none" w:sz="0" w:space="0" w:color="auto"/>
        <w:right w:val="none" w:sz="0" w:space="0" w:color="auto"/>
      </w:divBdr>
    </w:div>
    <w:div w:id="1156998242">
      <w:bodyDiv w:val="1"/>
      <w:marLeft w:val="0"/>
      <w:marRight w:val="0"/>
      <w:marTop w:val="0"/>
      <w:marBottom w:val="0"/>
      <w:divBdr>
        <w:top w:val="none" w:sz="0" w:space="0" w:color="auto"/>
        <w:left w:val="none" w:sz="0" w:space="0" w:color="auto"/>
        <w:bottom w:val="none" w:sz="0" w:space="0" w:color="auto"/>
        <w:right w:val="none" w:sz="0" w:space="0" w:color="auto"/>
      </w:divBdr>
    </w:div>
    <w:div w:id="1227188157">
      <w:bodyDiv w:val="1"/>
      <w:marLeft w:val="0"/>
      <w:marRight w:val="0"/>
      <w:marTop w:val="0"/>
      <w:marBottom w:val="0"/>
      <w:divBdr>
        <w:top w:val="none" w:sz="0" w:space="0" w:color="auto"/>
        <w:left w:val="none" w:sz="0" w:space="0" w:color="auto"/>
        <w:bottom w:val="none" w:sz="0" w:space="0" w:color="auto"/>
        <w:right w:val="none" w:sz="0" w:space="0" w:color="auto"/>
      </w:divBdr>
    </w:div>
    <w:div w:id="1240016566">
      <w:bodyDiv w:val="1"/>
      <w:marLeft w:val="0"/>
      <w:marRight w:val="0"/>
      <w:marTop w:val="0"/>
      <w:marBottom w:val="0"/>
      <w:divBdr>
        <w:top w:val="none" w:sz="0" w:space="0" w:color="auto"/>
        <w:left w:val="none" w:sz="0" w:space="0" w:color="auto"/>
        <w:bottom w:val="none" w:sz="0" w:space="0" w:color="auto"/>
        <w:right w:val="none" w:sz="0" w:space="0" w:color="auto"/>
      </w:divBdr>
      <w:divsChild>
        <w:div w:id="157617408">
          <w:marLeft w:val="0"/>
          <w:marRight w:val="0"/>
          <w:marTop w:val="100"/>
          <w:marBottom w:val="100"/>
          <w:divBdr>
            <w:top w:val="none" w:sz="0" w:space="0" w:color="auto"/>
            <w:left w:val="none" w:sz="0" w:space="0" w:color="auto"/>
            <w:bottom w:val="none" w:sz="0" w:space="0" w:color="auto"/>
            <w:right w:val="none" w:sz="0" w:space="0" w:color="auto"/>
          </w:divBdr>
          <w:divsChild>
            <w:div w:id="436297374">
              <w:marLeft w:val="0"/>
              <w:marRight w:val="0"/>
              <w:marTop w:val="100"/>
              <w:marBottom w:val="100"/>
              <w:divBdr>
                <w:top w:val="none" w:sz="0" w:space="0" w:color="auto"/>
                <w:left w:val="none" w:sz="0" w:space="0" w:color="auto"/>
                <w:bottom w:val="none" w:sz="0" w:space="0" w:color="auto"/>
                <w:right w:val="none" w:sz="0" w:space="0" w:color="auto"/>
              </w:divBdr>
              <w:divsChild>
                <w:div w:id="2135101178">
                  <w:marLeft w:val="0"/>
                  <w:marRight w:val="0"/>
                  <w:marTop w:val="0"/>
                  <w:marBottom w:val="0"/>
                  <w:divBdr>
                    <w:top w:val="none" w:sz="0" w:space="0" w:color="auto"/>
                    <w:left w:val="none" w:sz="0" w:space="0" w:color="auto"/>
                    <w:bottom w:val="none" w:sz="0" w:space="0" w:color="auto"/>
                    <w:right w:val="none" w:sz="0" w:space="0" w:color="auto"/>
                  </w:divBdr>
                  <w:divsChild>
                    <w:div w:id="1483158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3949158">
      <w:bodyDiv w:val="1"/>
      <w:marLeft w:val="0"/>
      <w:marRight w:val="0"/>
      <w:marTop w:val="0"/>
      <w:marBottom w:val="0"/>
      <w:divBdr>
        <w:top w:val="none" w:sz="0" w:space="0" w:color="auto"/>
        <w:left w:val="none" w:sz="0" w:space="0" w:color="auto"/>
        <w:bottom w:val="none" w:sz="0" w:space="0" w:color="auto"/>
        <w:right w:val="none" w:sz="0" w:space="0" w:color="auto"/>
      </w:divBdr>
    </w:div>
    <w:div w:id="1389720291">
      <w:bodyDiv w:val="1"/>
      <w:marLeft w:val="0"/>
      <w:marRight w:val="0"/>
      <w:marTop w:val="0"/>
      <w:marBottom w:val="0"/>
      <w:divBdr>
        <w:top w:val="none" w:sz="0" w:space="0" w:color="auto"/>
        <w:left w:val="none" w:sz="0" w:space="0" w:color="auto"/>
        <w:bottom w:val="none" w:sz="0" w:space="0" w:color="auto"/>
        <w:right w:val="none" w:sz="0" w:space="0" w:color="auto"/>
      </w:divBdr>
    </w:div>
    <w:div w:id="1400403339">
      <w:bodyDiv w:val="1"/>
      <w:marLeft w:val="0"/>
      <w:marRight w:val="0"/>
      <w:marTop w:val="0"/>
      <w:marBottom w:val="0"/>
      <w:divBdr>
        <w:top w:val="none" w:sz="0" w:space="0" w:color="auto"/>
        <w:left w:val="none" w:sz="0" w:space="0" w:color="auto"/>
        <w:bottom w:val="none" w:sz="0" w:space="0" w:color="auto"/>
        <w:right w:val="none" w:sz="0" w:space="0" w:color="auto"/>
      </w:divBdr>
    </w:div>
    <w:div w:id="1407998665">
      <w:bodyDiv w:val="1"/>
      <w:marLeft w:val="0"/>
      <w:marRight w:val="0"/>
      <w:marTop w:val="0"/>
      <w:marBottom w:val="0"/>
      <w:divBdr>
        <w:top w:val="none" w:sz="0" w:space="0" w:color="auto"/>
        <w:left w:val="none" w:sz="0" w:space="0" w:color="auto"/>
        <w:bottom w:val="none" w:sz="0" w:space="0" w:color="auto"/>
        <w:right w:val="none" w:sz="0" w:space="0" w:color="auto"/>
      </w:divBdr>
      <w:divsChild>
        <w:div w:id="1810005313">
          <w:marLeft w:val="0"/>
          <w:marRight w:val="0"/>
          <w:marTop w:val="0"/>
          <w:marBottom w:val="0"/>
          <w:divBdr>
            <w:top w:val="none" w:sz="0" w:space="0" w:color="auto"/>
            <w:left w:val="none" w:sz="0" w:space="0" w:color="auto"/>
            <w:bottom w:val="none" w:sz="0" w:space="0" w:color="auto"/>
            <w:right w:val="none" w:sz="0" w:space="0" w:color="auto"/>
          </w:divBdr>
          <w:divsChild>
            <w:div w:id="1156452940">
              <w:marLeft w:val="0"/>
              <w:marRight w:val="0"/>
              <w:marTop w:val="0"/>
              <w:marBottom w:val="0"/>
              <w:divBdr>
                <w:top w:val="none" w:sz="0" w:space="0" w:color="auto"/>
                <w:left w:val="none" w:sz="0" w:space="0" w:color="auto"/>
                <w:bottom w:val="none" w:sz="0" w:space="0" w:color="auto"/>
                <w:right w:val="none" w:sz="0" w:space="0" w:color="auto"/>
              </w:divBdr>
              <w:divsChild>
                <w:div w:id="849300747">
                  <w:marLeft w:val="-150"/>
                  <w:marRight w:val="-150"/>
                  <w:marTop w:val="0"/>
                  <w:marBottom w:val="0"/>
                  <w:divBdr>
                    <w:top w:val="none" w:sz="0" w:space="0" w:color="auto"/>
                    <w:left w:val="none" w:sz="0" w:space="0" w:color="auto"/>
                    <w:bottom w:val="none" w:sz="0" w:space="0" w:color="auto"/>
                    <w:right w:val="none" w:sz="0" w:space="0" w:color="auto"/>
                  </w:divBdr>
                  <w:divsChild>
                    <w:div w:id="1757282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22412926">
      <w:bodyDiv w:val="1"/>
      <w:marLeft w:val="0"/>
      <w:marRight w:val="0"/>
      <w:marTop w:val="0"/>
      <w:marBottom w:val="0"/>
      <w:divBdr>
        <w:top w:val="none" w:sz="0" w:space="0" w:color="auto"/>
        <w:left w:val="none" w:sz="0" w:space="0" w:color="auto"/>
        <w:bottom w:val="none" w:sz="0" w:space="0" w:color="auto"/>
        <w:right w:val="none" w:sz="0" w:space="0" w:color="auto"/>
      </w:divBdr>
    </w:div>
    <w:div w:id="1438211018">
      <w:bodyDiv w:val="1"/>
      <w:marLeft w:val="0"/>
      <w:marRight w:val="0"/>
      <w:marTop w:val="0"/>
      <w:marBottom w:val="0"/>
      <w:divBdr>
        <w:top w:val="none" w:sz="0" w:space="0" w:color="auto"/>
        <w:left w:val="none" w:sz="0" w:space="0" w:color="auto"/>
        <w:bottom w:val="none" w:sz="0" w:space="0" w:color="auto"/>
        <w:right w:val="none" w:sz="0" w:space="0" w:color="auto"/>
      </w:divBdr>
    </w:div>
    <w:div w:id="1439444395">
      <w:bodyDiv w:val="1"/>
      <w:marLeft w:val="0"/>
      <w:marRight w:val="0"/>
      <w:marTop w:val="0"/>
      <w:marBottom w:val="0"/>
      <w:divBdr>
        <w:top w:val="none" w:sz="0" w:space="0" w:color="auto"/>
        <w:left w:val="none" w:sz="0" w:space="0" w:color="auto"/>
        <w:bottom w:val="none" w:sz="0" w:space="0" w:color="auto"/>
        <w:right w:val="none" w:sz="0" w:space="0" w:color="auto"/>
      </w:divBdr>
    </w:div>
    <w:div w:id="1481193464">
      <w:bodyDiv w:val="1"/>
      <w:marLeft w:val="0"/>
      <w:marRight w:val="0"/>
      <w:marTop w:val="0"/>
      <w:marBottom w:val="0"/>
      <w:divBdr>
        <w:top w:val="none" w:sz="0" w:space="0" w:color="auto"/>
        <w:left w:val="none" w:sz="0" w:space="0" w:color="auto"/>
        <w:bottom w:val="none" w:sz="0" w:space="0" w:color="auto"/>
        <w:right w:val="none" w:sz="0" w:space="0" w:color="auto"/>
      </w:divBdr>
      <w:divsChild>
        <w:div w:id="160433218">
          <w:marLeft w:val="0"/>
          <w:marRight w:val="0"/>
          <w:marTop w:val="100"/>
          <w:marBottom w:val="100"/>
          <w:divBdr>
            <w:top w:val="none" w:sz="0" w:space="0" w:color="auto"/>
            <w:left w:val="none" w:sz="0" w:space="0" w:color="auto"/>
            <w:bottom w:val="none" w:sz="0" w:space="0" w:color="auto"/>
            <w:right w:val="none" w:sz="0" w:space="0" w:color="auto"/>
          </w:divBdr>
          <w:divsChild>
            <w:div w:id="2035304600">
              <w:marLeft w:val="450"/>
              <w:marRight w:val="0"/>
              <w:marTop w:val="0"/>
              <w:marBottom w:val="0"/>
              <w:divBdr>
                <w:top w:val="none" w:sz="0" w:space="0" w:color="auto"/>
                <w:left w:val="none" w:sz="0" w:space="0" w:color="auto"/>
                <w:bottom w:val="none" w:sz="0" w:space="0" w:color="auto"/>
                <w:right w:val="none" w:sz="0" w:space="0" w:color="auto"/>
              </w:divBdr>
              <w:divsChild>
                <w:div w:id="1033843348">
                  <w:marLeft w:val="0"/>
                  <w:marRight w:val="0"/>
                  <w:marTop w:val="0"/>
                  <w:marBottom w:val="720"/>
                  <w:divBdr>
                    <w:top w:val="none" w:sz="0" w:space="0" w:color="auto"/>
                    <w:left w:val="none" w:sz="0" w:space="0" w:color="auto"/>
                    <w:bottom w:val="none" w:sz="0" w:space="0" w:color="auto"/>
                    <w:right w:val="none" w:sz="0" w:space="0" w:color="auto"/>
                  </w:divBdr>
                </w:div>
              </w:divsChild>
            </w:div>
          </w:divsChild>
        </w:div>
      </w:divsChild>
    </w:div>
    <w:div w:id="1511994214">
      <w:bodyDiv w:val="1"/>
      <w:marLeft w:val="0"/>
      <w:marRight w:val="0"/>
      <w:marTop w:val="0"/>
      <w:marBottom w:val="0"/>
      <w:divBdr>
        <w:top w:val="none" w:sz="0" w:space="0" w:color="auto"/>
        <w:left w:val="none" w:sz="0" w:space="0" w:color="auto"/>
        <w:bottom w:val="none" w:sz="0" w:space="0" w:color="auto"/>
        <w:right w:val="none" w:sz="0" w:space="0" w:color="auto"/>
      </w:divBdr>
    </w:div>
    <w:div w:id="1540119388">
      <w:bodyDiv w:val="1"/>
      <w:marLeft w:val="0"/>
      <w:marRight w:val="0"/>
      <w:marTop w:val="0"/>
      <w:marBottom w:val="0"/>
      <w:divBdr>
        <w:top w:val="none" w:sz="0" w:space="0" w:color="auto"/>
        <w:left w:val="none" w:sz="0" w:space="0" w:color="auto"/>
        <w:bottom w:val="none" w:sz="0" w:space="0" w:color="auto"/>
        <w:right w:val="none" w:sz="0" w:space="0" w:color="auto"/>
      </w:divBdr>
    </w:div>
    <w:div w:id="1560902667">
      <w:bodyDiv w:val="1"/>
      <w:marLeft w:val="0"/>
      <w:marRight w:val="0"/>
      <w:marTop w:val="0"/>
      <w:marBottom w:val="0"/>
      <w:divBdr>
        <w:top w:val="none" w:sz="0" w:space="0" w:color="auto"/>
        <w:left w:val="none" w:sz="0" w:space="0" w:color="auto"/>
        <w:bottom w:val="none" w:sz="0" w:space="0" w:color="auto"/>
        <w:right w:val="none" w:sz="0" w:space="0" w:color="auto"/>
      </w:divBdr>
    </w:div>
    <w:div w:id="1570266407">
      <w:bodyDiv w:val="1"/>
      <w:marLeft w:val="0"/>
      <w:marRight w:val="0"/>
      <w:marTop w:val="0"/>
      <w:marBottom w:val="0"/>
      <w:divBdr>
        <w:top w:val="none" w:sz="0" w:space="0" w:color="auto"/>
        <w:left w:val="none" w:sz="0" w:space="0" w:color="auto"/>
        <w:bottom w:val="none" w:sz="0" w:space="0" w:color="auto"/>
        <w:right w:val="none" w:sz="0" w:space="0" w:color="auto"/>
      </w:divBdr>
    </w:div>
    <w:div w:id="1570537065">
      <w:bodyDiv w:val="1"/>
      <w:marLeft w:val="0"/>
      <w:marRight w:val="0"/>
      <w:marTop w:val="0"/>
      <w:marBottom w:val="0"/>
      <w:divBdr>
        <w:top w:val="none" w:sz="0" w:space="0" w:color="auto"/>
        <w:left w:val="none" w:sz="0" w:space="0" w:color="auto"/>
        <w:bottom w:val="none" w:sz="0" w:space="0" w:color="auto"/>
        <w:right w:val="none" w:sz="0" w:space="0" w:color="auto"/>
      </w:divBdr>
    </w:div>
    <w:div w:id="1603343240">
      <w:bodyDiv w:val="1"/>
      <w:marLeft w:val="0"/>
      <w:marRight w:val="0"/>
      <w:marTop w:val="0"/>
      <w:marBottom w:val="0"/>
      <w:divBdr>
        <w:top w:val="none" w:sz="0" w:space="0" w:color="auto"/>
        <w:left w:val="none" w:sz="0" w:space="0" w:color="auto"/>
        <w:bottom w:val="none" w:sz="0" w:space="0" w:color="auto"/>
        <w:right w:val="none" w:sz="0" w:space="0" w:color="auto"/>
      </w:divBdr>
    </w:div>
    <w:div w:id="1623152179">
      <w:bodyDiv w:val="1"/>
      <w:marLeft w:val="0"/>
      <w:marRight w:val="0"/>
      <w:marTop w:val="0"/>
      <w:marBottom w:val="0"/>
      <w:divBdr>
        <w:top w:val="none" w:sz="0" w:space="0" w:color="auto"/>
        <w:left w:val="none" w:sz="0" w:space="0" w:color="auto"/>
        <w:bottom w:val="none" w:sz="0" w:space="0" w:color="auto"/>
        <w:right w:val="none" w:sz="0" w:space="0" w:color="auto"/>
      </w:divBdr>
    </w:div>
    <w:div w:id="1646355161">
      <w:bodyDiv w:val="1"/>
      <w:marLeft w:val="0"/>
      <w:marRight w:val="0"/>
      <w:marTop w:val="0"/>
      <w:marBottom w:val="0"/>
      <w:divBdr>
        <w:top w:val="none" w:sz="0" w:space="0" w:color="auto"/>
        <w:left w:val="none" w:sz="0" w:space="0" w:color="auto"/>
        <w:bottom w:val="none" w:sz="0" w:space="0" w:color="auto"/>
        <w:right w:val="none" w:sz="0" w:space="0" w:color="auto"/>
      </w:divBdr>
    </w:div>
    <w:div w:id="1657487298">
      <w:bodyDiv w:val="1"/>
      <w:marLeft w:val="0"/>
      <w:marRight w:val="0"/>
      <w:marTop w:val="0"/>
      <w:marBottom w:val="0"/>
      <w:divBdr>
        <w:top w:val="none" w:sz="0" w:space="0" w:color="auto"/>
        <w:left w:val="none" w:sz="0" w:space="0" w:color="auto"/>
        <w:bottom w:val="none" w:sz="0" w:space="0" w:color="auto"/>
        <w:right w:val="none" w:sz="0" w:space="0" w:color="auto"/>
      </w:divBdr>
    </w:div>
    <w:div w:id="1666590655">
      <w:bodyDiv w:val="1"/>
      <w:marLeft w:val="0"/>
      <w:marRight w:val="0"/>
      <w:marTop w:val="0"/>
      <w:marBottom w:val="0"/>
      <w:divBdr>
        <w:top w:val="none" w:sz="0" w:space="0" w:color="auto"/>
        <w:left w:val="none" w:sz="0" w:space="0" w:color="auto"/>
        <w:bottom w:val="none" w:sz="0" w:space="0" w:color="auto"/>
        <w:right w:val="none" w:sz="0" w:space="0" w:color="auto"/>
      </w:divBdr>
    </w:div>
    <w:div w:id="1666783123">
      <w:bodyDiv w:val="1"/>
      <w:marLeft w:val="0"/>
      <w:marRight w:val="0"/>
      <w:marTop w:val="0"/>
      <w:marBottom w:val="0"/>
      <w:divBdr>
        <w:top w:val="none" w:sz="0" w:space="0" w:color="auto"/>
        <w:left w:val="none" w:sz="0" w:space="0" w:color="auto"/>
        <w:bottom w:val="none" w:sz="0" w:space="0" w:color="auto"/>
        <w:right w:val="none" w:sz="0" w:space="0" w:color="auto"/>
      </w:divBdr>
    </w:div>
    <w:div w:id="1698265533">
      <w:bodyDiv w:val="1"/>
      <w:marLeft w:val="0"/>
      <w:marRight w:val="0"/>
      <w:marTop w:val="0"/>
      <w:marBottom w:val="0"/>
      <w:divBdr>
        <w:top w:val="none" w:sz="0" w:space="0" w:color="auto"/>
        <w:left w:val="none" w:sz="0" w:space="0" w:color="auto"/>
        <w:bottom w:val="none" w:sz="0" w:space="0" w:color="auto"/>
        <w:right w:val="none" w:sz="0" w:space="0" w:color="auto"/>
      </w:divBdr>
      <w:divsChild>
        <w:div w:id="1178731568">
          <w:marLeft w:val="0"/>
          <w:marRight w:val="0"/>
          <w:marTop w:val="0"/>
          <w:marBottom w:val="0"/>
          <w:divBdr>
            <w:top w:val="none" w:sz="0" w:space="0" w:color="auto"/>
            <w:left w:val="none" w:sz="0" w:space="0" w:color="auto"/>
            <w:bottom w:val="none" w:sz="0" w:space="0" w:color="auto"/>
            <w:right w:val="none" w:sz="0" w:space="0" w:color="auto"/>
          </w:divBdr>
          <w:divsChild>
            <w:div w:id="2063140387">
              <w:marLeft w:val="0"/>
              <w:marRight w:val="0"/>
              <w:marTop w:val="0"/>
              <w:marBottom w:val="0"/>
              <w:divBdr>
                <w:top w:val="none" w:sz="0" w:space="0" w:color="auto"/>
                <w:left w:val="none" w:sz="0" w:space="0" w:color="auto"/>
                <w:bottom w:val="none" w:sz="0" w:space="0" w:color="auto"/>
                <w:right w:val="none" w:sz="0" w:space="0" w:color="auto"/>
              </w:divBdr>
              <w:divsChild>
                <w:div w:id="2139565930">
                  <w:marLeft w:val="0"/>
                  <w:marRight w:val="0"/>
                  <w:marTop w:val="0"/>
                  <w:marBottom w:val="0"/>
                  <w:divBdr>
                    <w:top w:val="none" w:sz="0" w:space="0" w:color="auto"/>
                    <w:left w:val="none" w:sz="0" w:space="0" w:color="auto"/>
                    <w:bottom w:val="none" w:sz="0" w:space="0" w:color="auto"/>
                    <w:right w:val="none" w:sz="0" w:space="0" w:color="auto"/>
                  </w:divBdr>
                  <w:divsChild>
                    <w:div w:id="865021238">
                      <w:marLeft w:val="405"/>
                      <w:marRight w:val="0"/>
                      <w:marTop w:val="0"/>
                      <w:marBottom w:val="0"/>
                      <w:divBdr>
                        <w:top w:val="none" w:sz="0" w:space="0" w:color="auto"/>
                        <w:left w:val="none" w:sz="0" w:space="0" w:color="auto"/>
                        <w:bottom w:val="none" w:sz="0" w:space="0" w:color="auto"/>
                        <w:right w:val="none" w:sz="0" w:space="0" w:color="auto"/>
                      </w:divBdr>
                      <w:divsChild>
                        <w:div w:id="999649342">
                          <w:marLeft w:val="0"/>
                          <w:marRight w:val="0"/>
                          <w:marTop w:val="0"/>
                          <w:marBottom w:val="0"/>
                          <w:divBdr>
                            <w:top w:val="none" w:sz="0" w:space="0" w:color="auto"/>
                            <w:left w:val="none" w:sz="0" w:space="0" w:color="auto"/>
                            <w:bottom w:val="none" w:sz="0" w:space="0" w:color="auto"/>
                            <w:right w:val="none" w:sz="0" w:space="0" w:color="auto"/>
                          </w:divBdr>
                          <w:divsChild>
                            <w:div w:id="329141395">
                              <w:marLeft w:val="405"/>
                              <w:marRight w:val="0"/>
                              <w:marTop w:val="0"/>
                              <w:marBottom w:val="0"/>
                              <w:divBdr>
                                <w:top w:val="none" w:sz="0" w:space="0" w:color="auto"/>
                                <w:left w:val="none" w:sz="0" w:space="0" w:color="auto"/>
                                <w:bottom w:val="none" w:sz="0" w:space="0" w:color="auto"/>
                                <w:right w:val="none" w:sz="0" w:space="0" w:color="auto"/>
                              </w:divBdr>
                              <w:divsChild>
                                <w:div w:id="696783433">
                                  <w:marLeft w:val="0"/>
                                  <w:marRight w:val="0"/>
                                  <w:marTop w:val="0"/>
                                  <w:marBottom w:val="0"/>
                                  <w:divBdr>
                                    <w:top w:val="none" w:sz="0" w:space="0" w:color="auto"/>
                                    <w:left w:val="none" w:sz="0" w:space="0" w:color="auto"/>
                                    <w:bottom w:val="none" w:sz="0" w:space="0" w:color="auto"/>
                                    <w:right w:val="none" w:sz="0" w:space="0" w:color="auto"/>
                                  </w:divBdr>
                                  <w:divsChild>
                                    <w:div w:id="911893910">
                                      <w:marLeft w:val="405"/>
                                      <w:marRight w:val="0"/>
                                      <w:marTop w:val="0"/>
                                      <w:marBottom w:val="0"/>
                                      <w:divBdr>
                                        <w:top w:val="none" w:sz="0" w:space="0" w:color="auto"/>
                                        <w:left w:val="none" w:sz="0" w:space="0" w:color="auto"/>
                                        <w:bottom w:val="none" w:sz="0" w:space="0" w:color="auto"/>
                                        <w:right w:val="none" w:sz="0" w:space="0" w:color="auto"/>
                                      </w:divBdr>
                                    </w:div>
                                    <w:div w:id="1000885276">
                                      <w:marLeft w:val="405"/>
                                      <w:marRight w:val="0"/>
                                      <w:marTop w:val="0"/>
                                      <w:marBottom w:val="0"/>
                                      <w:divBdr>
                                        <w:top w:val="none" w:sz="0" w:space="0" w:color="auto"/>
                                        <w:left w:val="none" w:sz="0" w:space="0" w:color="auto"/>
                                        <w:bottom w:val="none" w:sz="0" w:space="0" w:color="auto"/>
                                        <w:right w:val="none" w:sz="0" w:space="0" w:color="auto"/>
                                      </w:divBdr>
                                    </w:div>
                                    <w:div w:id="1080640081">
                                      <w:marLeft w:val="405"/>
                                      <w:marRight w:val="0"/>
                                      <w:marTop w:val="0"/>
                                      <w:marBottom w:val="0"/>
                                      <w:divBdr>
                                        <w:top w:val="none" w:sz="0" w:space="0" w:color="auto"/>
                                        <w:left w:val="none" w:sz="0" w:space="0" w:color="auto"/>
                                        <w:bottom w:val="none" w:sz="0" w:space="0" w:color="auto"/>
                                        <w:right w:val="none" w:sz="0" w:space="0" w:color="auto"/>
                                      </w:divBdr>
                                    </w:div>
                                    <w:div w:id="1702516593">
                                      <w:marLeft w:val="40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10297953">
      <w:bodyDiv w:val="1"/>
      <w:marLeft w:val="0"/>
      <w:marRight w:val="0"/>
      <w:marTop w:val="0"/>
      <w:marBottom w:val="0"/>
      <w:divBdr>
        <w:top w:val="none" w:sz="0" w:space="0" w:color="auto"/>
        <w:left w:val="none" w:sz="0" w:space="0" w:color="auto"/>
        <w:bottom w:val="none" w:sz="0" w:space="0" w:color="auto"/>
        <w:right w:val="none" w:sz="0" w:space="0" w:color="auto"/>
      </w:divBdr>
      <w:divsChild>
        <w:div w:id="629281659">
          <w:marLeft w:val="0"/>
          <w:marRight w:val="0"/>
          <w:marTop w:val="0"/>
          <w:marBottom w:val="0"/>
          <w:divBdr>
            <w:top w:val="none" w:sz="0" w:space="0" w:color="auto"/>
            <w:left w:val="none" w:sz="0" w:space="0" w:color="auto"/>
            <w:bottom w:val="none" w:sz="0" w:space="0" w:color="auto"/>
            <w:right w:val="none" w:sz="0" w:space="0" w:color="auto"/>
          </w:divBdr>
          <w:divsChild>
            <w:div w:id="1057434788">
              <w:marLeft w:val="0"/>
              <w:marRight w:val="0"/>
              <w:marTop w:val="0"/>
              <w:marBottom w:val="0"/>
              <w:divBdr>
                <w:top w:val="none" w:sz="0" w:space="0" w:color="auto"/>
                <w:left w:val="none" w:sz="0" w:space="0" w:color="auto"/>
                <w:bottom w:val="none" w:sz="0" w:space="0" w:color="auto"/>
                <w:right w:val="none" w:sz="0" w:space="0" w:color="auto"/>
              </w:divBdr>
              <w:divsChild>
                <w:div w:id="812714907">
                  <w:marLeft w:val="-225"/>
                  <w:marRight w:val="-225"/>
                  <w:marTop w:val="0"/>
                  <w:marBottom w:val="0"/>
                  <w:divBdr>
                    <w:top w:val="none" w:sz="0" w:space="0" w:color="auto"/>
                    <w:left w:val="none" w:sz="0" w:space="0" w:color="auto"/>
                    <w:bottom w:val="none" w:sz="0" w:space="0" w:color="auto"/>
                    <w:right w:val="none" w:sz="0" w:space="0" w:color="auto"/>
                  </w:divBdr>
                  <w:divsChild>
                    <w:div w:id="399404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44057869">
      <w:bodyDiv w:val="1"/>
      <w:marLeft w:val="0"/>
      <w:marRight w:val="0"/>
      <w:marTop w:val="0"/>
      <w:marBottom w:val="0"/>
      <w:divBdr>
        <w:top w:val="none" w:sz="0" w:space="0" w:color="auto"/>
        <w:left w:val="none" w:sz="0" w:space="0" w:color="auto"/>
        <w:bottom w:val="none" w:sz="0" w:space="0" w:color="auto"/>
        <w:right w:val="none" w:sz="0" w:space="0" w:color="auto"/>
      </w:divBdr>
    </w:div>
    <w:div w:id="1754081610">
      <w:bodyDiv w:val="1"/>
      <w:marLeft w:val="0"/>
      <w:marRight w:val="0"/>
      <w:marTop w:val="0"/>
      <w:marBottom w:val="0"/>
      <w:divBdr>
        <w:top w:val="none" w:sz="0" w:space="0" w:color="auto"/>
        <w:left w:val="none" w:sz="0" w:space="0" w:color="auto"/>
        <w:bottom w:val="none" w:sz="0" w:space="0" w:color="auto"/>
        <w:right w:val="none" w:sz="0" w:space="0" w:color="auto"/>
      </w:divBdr>
    </w:div>
    <w:div w:id="1756785454">
      <w:bodyDiv w:val="1"/>
      <w:marLeft w:val="0"/>
      <w:marRight w:val="0"/>
      <w:marTop w:val="0"/>
      <w:marBottom w:val="0"/>
      <w:divBdr>
        <w:top w:val="none" w:sz="0" w:space="0" w:color="auto"/>
        <w:left w:val="none" w:sz="0" w:space="0" w:color="auto"/>
        <w:bottom w:val="none" w:sz="0" w:space="0" w:color="auto"/>
        <w:right w:val="none" w:sz="0" w:space="0" w:color="auto"/>
      </w:divBdr>
      <w:divsChild>
        <w:div w:id="352877118">
          <w:marLeft w:val="547"/>
          <w:marRight w:val="0"/>
          <w:marTop w:val="0"/>
          <w:marBottom w:val="0"/>
          <w:divBdr>
            <w:top w:val="none" w:sz="0" w:space="0" w:color="auto"/>
            <w:left w:val="none" w:sz="0" w:space="0" w:color="auto"/>
            <w:bottom w:val="none" w:sz="0" w:space="0" w:color="auto"/>
            <w:right w:val="none" w:sz="0" w:space="0" w:color="auto"/>
          </w:divBdr>
        </w:div>
        <w:div w:id="1318267286">
          <w:marLeft w:val="547"/>
          <w:marRight w:val="0"/>
          <w:marTop w:val="0"/>
          <w:marBottom w:val="0"/>
          <w:divBdr>
            <w:top w:val="none" w:sz="0" w:space="0" w:color="auto"/>
            <w:left w:val="none" w:sz="0" w:space="0" w:color="auto"/>
            <w:bottom w:val="none" w:sz="0" w:space="0" w:color="auto"/>
            <w:right w:val="none" w:sz="0" w:space="0" w:color="auto"/>
          </w:divBdr>
        </w:div>
      </w:divsChild>
    </w:div>
    <w:div w:id="1799371175">
      <w:bodyDiv w:val="1"/>
      <w:marLeft w:val="0"/>
      <w:marRight w:val="0"/>
      <w:marTop w:val="0"/>
      <w:marBottom w:val="0"/>
      <w:divBdr>
        <w:top w:val="none" w:sz="0" w:space="0" w:color="auto"/>
        <w:left w:val="none" w:sz="0" w:space="0" w:color="auto"/>
        <w:bottom w:val="none" w:sz="0" w:space="0" w:color="auto"/>
        <w:right w:val="none" w:sz="0" w:space="0" w:color="auto"/>
      </w:divBdr>
    </w:div>
    <w:div w:id="1818764633">
      <w:bodyDiv w:val="1"/>
      <w:marLeft w:val="0"/>
      <w:marRight w:val="0"/>
      <w:marTop w:val="0"/>
      <w:marBottom w:val="0"/>
      <w:divBdr>
        <w:top w:val="none" w:sz="0" w:space="0" w:color="auto"/>
        <w:left w:val="none" w:sz="0" w:space="0" w:color="auto"/>
        <w:bottom w:val="none" w:sz="0" w:space="0" w:color="auto"/>
        <w:right w:val="none" w:sz="0" w:space="0" w:color="auto"/>
      </w:divBdr>
      <w:divsChild>
        <w:div w:id="439833845">
          <w:marLeft w:val="0"/>
          <w:marRight w:val="0"/>
          <w:marTop w:val="0"/>
          <w:marBottom w:val="0"/>
          <w:divBdr>
            <w:top w:val="none" w:sz="0" w:space="0" w:color="auto"/>
            <w:left w:val="none" w:sz="0" w:space="0" w:color="auto"/>
            <w:bottom w:val="none" w:sz="0" w:space="0" w:color="auto"/>
            <w:right w:val="none" w:sz="0" w:space="0" w:color="auto"/>
          </w:divBdr>
          <w:divsChild>
            <w:div w:id="966468995">
              <w:marLeft w:val="0"/>
              <w:marRight w:val="0"/>
              <w:marTop w:val="0"/>
              <w:marBottom w:val="0"/>
              <w:divBdr>
                <w:top w:val="none" w:sz="0" w:space="0" w:color="auto"/>
                <w:left w:val="none" w:sz="0" w:space="0" w:color="auto"/>
                <w:bottom w:val="none" w:sz="0" w:space="0" w:color="auto"/>
                <w:right w:val="none" w:sz="0" w:space="0" w:color="auto"/>
              </w:divBdr>
              <w:divsChild>
                <w:div w:id="1609386337">
                  <w:marLeft w:val="0"/>
                  <w:marRight w:val="0"/>
                  <w:marTop w:val="0"/>
                  <w:marBottom w:val="0"/>
                  <w:divBdr>
                    <w:top w:val="none" w:sz="0" w:space="0" w:color="auto"/>
                    <w:left w:val="none" w:sz="0" w:space="0" w:color="auto"/>
                    <w:bottom w:val="none" w:sz="0" w:space="0" w:color="auto"/>
                    <w:right w:val="none" w:sz="0" w:space="0" w:color="auto"/>
                  </w:divBdr>
                  <w:divsChild>
                    <w:div w:id="983777660">
                      <w:marLeft w:val="405"/>
                      <w:marRight w:val="0"/>
                      <w:marTop w:val="0"/>
                      <w:marBottom w:val="0"/>
                      <w:divBdr>
                        <w:top w:val="none" w:sz="0" w:space="0" w:color="auto"/>
                        <w:left w:val="none" w:sz="0" w:space="0" w:color="auto"/>
                        <w:bottom w:val="none" w:sz="0" w:space="0" w:color="auto"/>
                        <w:right w:val="none" w:sz="0" w:space="0" w:color="auto"/>
                      </w:divBdr>
                      <w:divsChild>
                        <w:div w:id="935790357">
                          <w:marLeft w:val="0"/>
                          <w:marRight w:val="0"/>
                          <w:marTop w:val="0"/>
                          <w:marBottom w:val="0"/>
                          <w:divBdr>
                            <w:top w:val="none" w:sz="0" w:space="0" w:color="auto"/>
                            <w:left w:val="none" w:sz="0" w:space="0" w:color="auto"/>
                            <w:bottom w:val="none" w:sz="0" w:space="0" w:color="auto"/>
                            <w:right w:val="none" w:sz="0" w:space="0" w:color="auto"/>
                          </w:divBdr>
                          <w:divsChild>
                            <w:div w:id="1237783231">
                              <w:marLeft w:val="405"/>
                              <w:marRight w:val="0"/>
                              <w:marTop w:val="0"/>
                              <w:marBottom w:val="0"/>
                              <w:divBdr>
                                <w:top w:val="none" w:sz="0" w:space="0" w:color="auto"/>
                                <w:left w:val="none" w:sz="0" w:space="0" w:color="auto"/>
                                <w:bottom w:val="none" w:sz="0" w:space="0" w:color="auto"/>
                                <w:right w:val="none" w:sz="0" w:space="0" w:color="auto"/>
                              </w:divBdr>
                              <w:divsChild>
                                <w:div w:id="1668359272">
                                  <w:marLeft w:val="0"/>
                                  <w:marRight w:val="0"/>
                                  <w:marTop w:val="0"/>
                                  <w:marBottom w:val="0"/>
                                  <w:divBdr>
                                    <w:top w:val="none" w:sz="0" w:space="0" w:color="auto"/>
                                    <w:left w:val="none" w:sz="0" w:space="0" w:color="auto"/>
                                    <w:bottom w:val="none" w:sz="0" w:space="0" w:color="auto"/>
                                    <w:right w:val="none" w:sz="0" w:space="0" w:color="auto"/>
                                  </w:divBdr>
                                  <w:divsChild>
                                    <w:div w:id="1489248161">
                                      <w:marLeft w:val="405"/>
                                      <w:marRight w:val="0"/>
                                      <w:marTop w:val="0"/>
                                      <w:marBottom w:val="0"/>
                                      <w:divBdr>
                                        <w:top w:val="none" w:sz="0" w:space="0" w:color="auto"/>
                                        <w:left w:val="none" w:sz="0" w:space="0" w:color="auto"/>
                                        <w:bottom w:val="none" w:sz="0" w:space="0" w:color="auto"/>
                                        <w:right w:val="none" w:sz="0" w:space="0" w:color="auto"/>
                                      </w:divBdr>
                                      <w:divsChild>
                                        <w:div w:id="1079408444">
                                          <w:marLeft w:val="0"/>
                                          <w:marRight w:val="0"/>
                                          <w:marTop w:val="0"/>
                                          <w:marBottom w:val="0"/>
                                          <w:divBdr>
                                            <w:top w:val="none" w:sz="0" w:space="0" w:color="auto"/>
                                            <w:left w:val="none" w:sz="0" w:space="0" w:color="auto"/>
                                            <w:bottom w:val="none" w:sz="0" w:space="0" w:color="auto"/>
                                            <w:right w:val="none" w:sz="0" w:space="0" w:color="auto"/>
                                          </w:divBdr>
                                          <w:divsChild>
                                            <w:div w:id="58673816">
                                              <w:marLeft w:val="405"/>
                                              <w:marRight w:val="0"/>
                                              <w:marTop w:val="0"/>
                                              <w:marBottom w:val="0"/>
                                              <w:divBdr>
                                                <w:top w:val="none" w:sz="0" w:space="0" w:color="auto"/>
                                                <w:left w:val="none" w:sz="0" w:space="0" w:color="auto"/>
                                                <w:bottom w:val="none" w:sz="0" w:space="0" w:color="auto"/>
                                                <w:right w:val="none" w:sz="0" w:space="0" w:color="auto"/>
                                              </w:divBdr>
                                            </w:div>
                                            <w:div w:id="469834610">
                                              <w:marLeft w:val="405"/>
                                              <w:marRight w:val="0"/>
                                              <w:marTop w:val="0"/>
                                              <w:marBottom w:val="0"/>
                                              <w:divBdr>
                                                <w:top w:val="none" w:sz="0" w:space="0" w:color="auto"/>
                                                <w:left w:val="none" w:sz="0" w:space="0" w:color="auto"/>
                                                <w:bottom w:val="none" w:sz="0" w:space="0" w:color="auto"/>
                                                <w:right w:val="none" w:sz="0" w:space="0" w:color="auto"/>
                                              </w:divBdr>
                                            </w:div>
                                            <w:div w:id="1439712265">
                                              <w:marLeft w:val="405"/>
                                              <w:marRight w:val="0"/>
                                              <w:marTop w:val="0"/>
                                              <w:marBottom w:val="0"/>
                                              <w:divBdr>
                                                <w:top w:val="none" w:sz="0" w:space="0" w:color="auto"/>
                                                <w:left w:val="none" w:sz="0" w:space="0" w:color="auto"/>
                                                <w:bottom w:val="none" w:sz="0" w:space="0" w:color="auto"/>
                                                <w:right w:val="none" w:sz="0" w:space="0" w:color="auto"/>
                                              </w:divBdr>
                                            </w:div>
                                          </w:divsChild>
                                        </w:div>
                                      </w:divsChild>
                                    </w:div>
                                    <w:div w:id="1981225541">
                                      <w:marLeft w:val="405"/>
                                      <w:marRight w:val="0"/>
                                      <w:marTop w:val="0"/>
                                      <w:marBottom w:val="0"/>
                                      <w:divBdr>
                                        <w:top w:val="none" w:sz="0" w:space="0" w:color="auto"/>
                                        <w:left w:val="none" w:sz="0" w:space="0" w:color="auto"/>
                                        <w:bottom w:val="none" w:sz="0" w:space="0" w:color="auto"/>
                                        <w:right w:val="none" w:sz="0" w:space="0" w:color="auto"/>
                                      </w:divBdr>
                                      <w:divsChild>
                                        <w:div w:id="1462504815">
                                          <w:marLeft w:val="0"/>
                                          <w:marRight w:val="0"/>
                                          <w:marTop w:val="0"/>
                                          <w:marBottom w:val="0"/>
                                          <w:divBdr>
                                            <w:top w:val="none" w:sz="0" w:space="0" w:color="auto"/>
                                            <w:left w:val="none" w:sz="0" w:space="0" w:color="auto"/>
                                            <w:bottom w:val="none" w:sz="0" w:space="0" w:color="auto"/>
                                            <w:right w:val="none" w:sz="0" w:space="0" w:color="auto"/>
                                          </w:divBdr>
                                          <w:divsChild>
                                            <w:div w:id="365524048">
                                              <w:marLeft w:val="405"/>
                                              <w:marRight w:val="0"/>
                                              <w:marTop w:val="0"/>
                                              <w:marBottom w:val="0"/>
                                              <w:divBdr>
                                                <w:top w:val="none" w:sz="0" w:space="0" w:color="auto"/>
                                                <w:left w:val="none" w:sz="0" w:space="0" w:color="auto"/>
                                                <w:bottom w:val="none" w:sz="0" w:space="0" w:color="auto"/>
                                                <w:right w:val="none" w:sz="0" w:space="0" w:color="auto"/>
                                              </w:divBdr>
                                            </w:div>
                                            <w:div w:id="1174876492">
                                              <w:marLeft w:val="405"/>
                                              <w:marRight w:val="0"/>
                                              <w:marTop w:val="0"/>
                                              <w:marBottom w:val="0"/>
                                              <w:divBdr>
                                                <w:top w:val="none" w:sz="0" w:space="0" w:color="auto"/>
                                                <w:left w:val="none" w:sz="0" w:space="0" w:color="auto"/>
                                                <w:bottom w:val="none" w:sz="0" w:space="0" w:color="auto"/>
                                                <w:right w:val="none" w:sz="0" w:space="0" w:color="auto"/>
                                              </w:divBdr>
                                            </w:div>
                                            <w:div w:id="1233348124">
                                              <w:marLeft w:val="405"/>
                                              <w:marRight w:val="0"/>
                                              <w:marTop w:val="0"/>
                                              <w:marBottom w:val="0"/>
                                              <w:divBdr>
                                                <w:top w:val="none" w:sz="0" w:space="0" w:color="auto"/>
                                                <w:left w:val="none" w:sz="0" w:space="0" w:color="auto"/>
                                                <w:bottom w:val="none" w:sz="0" w:space="0" w:color="auto"/>
                                                <w:right w:val="none" w:sz="0" w:space="0" w:color="auto"/>
                                              </w:divBdr>
                                            </w:div>
                                            <w:div w:id="1240214823">
                                              <w:marLeft w:val="405"/>
                                              <w:marRight w:val="0"/>
                                              <w:marTop w:val="0"/>
                                              <w:marBottom w:val="0"/>
                                              <w:divBdr>
                                                <w:top w:val="none" w:sz="0" w:space="0" w:color="auto"/>
                                                <w:left w:val="none" w:sz="0" w:space="0" w:color="auto"/>
                                                <w:bottom w:val="none" w:sz="0" w:space="0" w:color="auto"/>
                                                <w:right w:val="none" w:sz="0" w:space="0" w:color="auto"/>
                                              </w:divBdr>
                                            </w:div>
                                            <w:div w:id="1879395027">
                                              <w:marLeft w:val="40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830827984">
      <w:bodyDiv w:val="1"/>
      <w:marLeft w:val="0"/>
      <w:marRight w:val="0"/>
      <w:marTop w:val="0"/>
      <w:marBottom w:val="0"/>
      <w:divBdr>
        <w:top w:val="none" w:sz="0" w:space="0" w:color="auto"/>
        <w:left w:val="none" w:sz="0" w:space="0" w:color="auto"/>
        <w:bottom w:val="none" w:sz="0" w:space="0" w:color="auto"/>
        <w:right w:val="none" w:sz="0" w:space="0" w:color="auto"/>
      </w:divBdr>
      <w:divsChild>
        <w:div w:id="894005559">
          <w:marLeft w:val="0"/>
          <w:marRight w:val="0"/>
          <w:marTop w:val="0"/>
          <w:marBottom w:val="0"/>
          <w:divBdr>
            <w:top w:val="none" w:sz="0" w:space="0" w:color="auto"/>
            <w:left w:val="none" w:sz="0" w:space="0" w:color="auto"/>
            <w:bottom w:val="none" w:sz="0" w:space="0" w:color="auto"/>
            <w:right w:val="none" w:sz="0" w:space="0" w:color="auto"/>
          </w:divBdr>
          <w:divsChild>
            <w:div w:id="26804229">
              <w:marLeft w:val="0"/>
              <w:marRight w:val="0"/>
              <w:marTop w:val="0"/>
              <w:marBottom w:val="0"/>
              <w:divBdr>
                <w:top w:val="none" w:sz="0" w:space="0" w:color="auto"/>
                <w:left w:val="none" w:sz="0" w:space="0" w:color="auto"/>
                <w:bottom w:val="none" w:sz="0" w:space="0" w:color="auto"/>
                <w:right w:val="none" w:sz="0" w:space="0" w:color="auto"/>
              </w:divBdr>
              <w:divsChild>
                <w:div w:id="665401074">
                  <w:marLeft w:val="0"/>
                  <w:marRight w:val="0"/>
                  <w:marTop w:val="0"/>
                  <w:marBottom w:val="0"/>
                  <w:divBdr>
                    <w:top w:val="none" w:sz="0" w:space="0" w:color="auto"/>
                    <w:left w:val="none" w:sz="0" w:space="0" w:color="auto"/>
                    <w:bottom w:val="none" w:sz="0" w:space="0" w:color="auto"/>
                    <w:right w:val="none" w:sz="0" w:space="0" w:color="auto"/>
                  </w:divBdr>
                  <w:divsChild>
                    <w:div w:id="401299293">
                      <w:marLeft w:val="0"/>
                      <w:marRight w:val="0"/>
                      <w:marTop w:val="0"/>
                      <w:marBottom w:val="0"/>
                      <w:divBdr>
                        <w:top w:val="none" w:sz="0" w:space="0" w:color="auto"/>
                        <w:left w:val="none" w:sz="0" w:space="0" w:color="auto"/>
                        <w:bottom w:val="none" w:sz="0" w:space="0" w:color="auto"/>
                        <w:right w:val="none" w:sz="0" w:space="0" w:color="auto"/>
                      </w:divBdr>
                      <w:divsChild>
                        <w:div w:id="1321234173">
                          <w:marLeft w:val="0"/>
                          <w:marRight w:val="0"/>
                          <w:marTop w:val="0"/>
                          <w:marBottom w:val="0"/>
                          <w:divBdr>
                            <w:top w:val="none" w:sz="0" w:space="0" w:color="auto"/>
                            <w:left w:val="none" w:sz="0" w:space="0" w:color="auto"/>
                            <w:bottom w:val="none" w:sz="0" w:space="0" w:color="auto"/>
                            <w:right w:val="none" w:sz="0" w:space="0" w:color="auto"/>
                          </w:divBdr>
                          <w:divsChild>
                            <w:div w:id="955402734">
                              <w:marLeft w:val="0"/>
                              <w:marRight w:val="0"/>
                              <w:marTop w:val="0"/>
                              <w:marBottom w:val="0"/>
                              <w:divBdr>
                                <w:top w:val="none" w:sz="0" w:space="0" w:color="auto"/>
                                <w:left w:val="none" w:sz="0" w:space="0" w:color="auto"/>
                                <w:bottom w:val="none" w:sz="0" w:space="0" w:color="auto"/>
                                <w:right w:val="none" w:sz="0" w:space="0" w:color="auto"/>
                              </w:divBdr>
                              <w:divsChild>
                                <w:div w:id="1147168853">
                                  <w:marLeft w:val="0"/>
                                  <w:marRight w:val="0"/>
                                  <w:marTop w:val="0"/>
                                  <w:marBottom w:val="0"/>
                                  <w:divBdr>
                                    <w:top w:val="none" w:sz="0" w:space="0" w:color="auto"/>
                                    <w:left w:val="none" w:sz="0" w:space="0" w:color="auto"/>
                                    <w:bottom w:val="none" w:sz="0" w:space="0" w:color="auto"/>
                                    <w:right w:val="none" w:sz="0" w:space="0" w:color="auto"/>
                                  </w:divBdr>
                                  <w:divsChild>
                                    <w:div w:id="1214780564">
                                      <w:marLeft w:val="0"/>
                                      <w:marRight w:val="0"/>
                                      <w:marTop w:val="0"/>
                                      <w:marBottom w:val="0"/>
                                      <w:divBdr>
                                        <w:top w:val="none" w:sz="0" w:space="0" w:color="auto"/>
                                        <w:left w:val="none" w:sz="0" w:space="0" w:color="auto"/>
                                        <w:bottom w:val="none" w:sz="0" w:space="0" w:color="auto"/>
                                        <w:right w:val="none" w:sz="0" w:space="0" w:color="auto"/>
                                      </w:divBdr>
                                    </w:div>
                                    <w:div w:id="1791164741">
                                      <w:marLeft w:val="0"/>
                                      <w:marRight w:val="0"/>
                                      <w:marTop w:val="0"/>
                                      <w:marBottom w:val="0"/>
                                      <w:divBdr>
                                        <w:top w:val="none" w:sz="0" w:space="0" w:color="auto"/>
                                        <w:left w:val="none" w:sz="0" w:space="0" w:color="auto"/>
                                        <w:bottom w:val="none" w:sz="0" w:space="0" w:color="auto"/>
                                        <w:right w:val="none" w:sz="0" w:space="0" w:color="auto"/>
                                      </w:divBdr>
                                      <w:divsChild>
                                        <w:div w:id="513496726">
                                          <w:marLeft w:val="0"/>
                                          <w:marRight w:val="0"/>
                                          <w:marTop w:val="0"/>
                                          <w:marBottom w:val="0"/>
                                          <w:divBdr>
                                            <w:top w:val="none" w:sz="0" w:space="0" w:color="auto"/>
                                            <w:left w:val="none" w:sz="0" w:space="0" w:color="auto"/>
                                            <w:bottom w:val="none" w:sz="0" w:space="0" w:color="auto"/>
                                            <w:right w:val="none" w:sz="0" w:space="0" w:color="auto"/>
                                          </w:divBdr>
                                          <w:divsChild>
                                            <w:div w:id="1217623389">
                                              <w:marLeft w:val="0"/>
                                              <w:marRight w:val="0"/>
                                              <w:marTop w:val="0"/>
                                              <w:marBottom w:val="0"/>
                                              <w:divBdr>
                                                <w:top w:val="none" w:sz="0" w:space="0" w:color="auto"/>
                                                <w:left w:val="none" w:sz="0" w:space="0" w:color="auto"/>
                                                <w:bottom w:val="none" w:sz="0" w:space="0" w:color="auto"/>
                                                <w:right w:val="none" w:sz="0" w:space="0" w:color="auto"/>
                                              </w:divBdr>
                                              <w:divsChild>
                                                <w:div w:id="122695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91988614">
      <w:bodyDiv w:val="1"/>
      <w:marLeft w:val="0"/>
      <w:marRight w:val="0"/>
      <w:marTop w:val="0"/>
      <w:marBottom w:val="0"/>
      <w:divBdr>
        <w:top w:val="none" w:sz="0" w:space="0" w:color="auto"/>
        <w:left w:val="none" w:sz="0" w:space="0" w:color="auto"/>
        <w:bottom w:val="none" w:sz="0" w:space="0" w:color="auto"/>
        <w:right w:val="none" w:sz="0" w:space="0" w:color="auto"/>
      </w:divBdr>
    </w:div>
    <w:div w:id="1911454331">
      <w:bodyDiv w:val="1"/>
      <w:marLeft w:val="0"/>
      <w:marRight w:val="0"/>
      <w:marTop w:val="0"/>
      <w:marBottom w:val="0"/>
      <w:divBdr>
        <w:top w:val="none" w:sz="0" w:space="0" w:color="auto"/>
        <w:left w:val="none" w:sz="0" w:space="0" w:color="auto"/>
        <w:bottom w:val="none" w:sz="0" w:space="0" w:color="auto"/>
        <w:right w:val="none" w:sz="0" w:space="0" w:color="auto"/>
      </w:divBdr>
    </w:div>
    <w:div w:id="1914312998">
      <w:bodyDiv w:val="1"/>
      <w:marLeft w:val="0"/>
      <w:marRight w:val="0"/>
      <w:marTop w:val="0"/>
      <w:marBottom w:val="0"/>
      <w:divBdr>
        <w:top w:val="none" w:sz="0" w:space="0" w:color="auto"/>
        <w:left w:val="none" w:sz="0" w:space="0" w:color="auto"/>
        <w:bottom w:val="none" w:sz="0" w:space="0" w:color="auto"/>
        <w:right w:val="none" w:sz="0" w:space="0" w:color="auto"/>
      </w:divBdr>
    </w:div>
    <w:div w:id="1916889765">
      <w:bodyDiv w:val="1"/>
      <w:marLeft w:val="0"/>
      <w:marRight w:val="0"/>
      <w:marTop w:val="0"/>
      <w:marBottom w:val="0"/>
      <w:divBdr>
        <w:top w:val="none" w:sz="0" w:space="0" w:color="auto"/>
        <w:left w:val="none" w:sz="0" w:space="0" w:color="auto"/>
        <w:bottom w:val="none" w:sz="0" w:space="0" w:color="auto"/>
        <w:right w:val="none" w:sz="0" w:space="0" w:color="auto"/>
      </w:divBdr>
    </w:div>
    <w:div w:id="1938906412">
      <w:bodyDiv w:val="1"/>
      <w:marLeft w:val="0"/>
      <w:marRight w:val="0"/>
      <w:marTop w:val="0"/>
      <w:marBottom w:val="0"/>
      <w:divBdr>
        <w:top w:val="none" w:sz="0" w:space="0" w:color="auto"/>
        <w:left w:val="none" w:sz="0" w:space="0" w:color="auto"/>
        <w:bottom w:val="none" w:sz="0" w:space="0" w:color="auto"/>
        <w:right w:val="none" w:sz="0" w:space="0" w:color="auto"/>
      </w:divBdr>
    </w:div>
    <w:div w:id="1942757933">
      <w:bodyDiv w:val="1"/>
      <w:marLeft w:val="0"/>
      <w:marRight w:val="0"/>
      <w:marTop w:val="0"/>
      <w:marBottom w:val="0"/>
      <w:divBdr>
        <w:top w:val="none" w:sz="0" w:space="0" w:color="auto"/>
        <w:left w:val="none" w:sz="0" w:space="0" w:color="auto"/>
        <w:bottom w:val="none" w:sz="0" w:space="0" w:color="auto"/>
        <w:right w:val="none" w:sz="0" w:space="0" w:color="auto"/>
      </w:divBdr>
      <w:divsChild>
        <w:div w:id="474104302">
          <w:marLeft w:val="0"/>
          <w:marRight w:val="0"/>
          <w:marTop w:val="0"/>
          <w:marBottom w:val="0"/>
          <w:divBdr>
            <w:top w:val="none" w:sz="0" w:space="0" w:color="auto"/>
            <w:left w:val="none" w:sz="0" w:space="0" w:color="auto"/>
            <w:bottom w:val="none" w:sz="0" w:space="0" w:color="auto"/>
            <w:right w:val="none" w:sz="0" w:space="0" w:color="auto"/>
          </w:divBdr>
          <w:divsChild>
            <w:div w:id="1752390600">
              <w:marLeft w:val="0"/>
              <w:marRight w:val="0"/>
              <w:marTop w:val="0"/>
              <w:marBottom w:val="0"/>
              <w:divBdr>
                <w:top w:val="none" w:sz="0" w:space="0" w:color="auto"/>
                <w:left w:val="none" w:sz="0" w:space="0" w:color="auto"/>
                <w:bottom w:val="none" w:sz="0" w:space="0" w:color="auto"/>
                <w:right w:val="none" w:sz="0" w:space="0" w:color="auto"/>
              </w:divBdr>
              <w:divsChild>
                <w:div w:id="1794250049">
                  <w:marLeft w:val="0"/>
                  <w:marRight w:val="0"/>
                  <w:marTop w:val="0"/>
                  <w:marBottom w:val="0"/>
                  <w:divBdr>
                    <w:top w:val="none" w:sz="0" w:space="0" w:color="auto"/>
                    <w:left w:val="none" w:sz="0" w:space="0" w:color="auto"/>
                    <w:bottom w:val="none" w:sz="0" w:space="0" w:color="auto"/>
                    <w:right w:val="none" w:sz="0" w:space="0" w:color="auto"/>
                  </w:divBdr>
                  <w:divsChild>
                    <w:div w:id="546529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2953694">
      <w:bodyDiv w:val="1"/>
      <w:marLeft w:val="0"/>
      <w:marRight w:val="0"/>
      <w:marTop w:val="0"/>
      <w:marBottom w:val="0"/>
      <w:divBdr>
        <w:top w:val="none" w:sz="0" w:space="0" w:color="auto"/>
        <w:left w:val="none" w:sz="0" w:space="0" w:color="auto"/>
        <w:bottom w:val="none" w:sz="0" w:space="0" w:color="auto"/>
        <w:right w:val="none" w:sz="0" w:space="0" w:color="auto"/>
      </w:divBdr>
    </w:div>
    <w:div w:id="1978535268">
      <w:bodyDiv w:val="1"/>
      <w:marLeft w:val="0"/>
      <w:marRight w:val="0"/>
      <w:marTop w:val="0"/>
      <w:marBottom w:val="0"/>
      <w:divBdr>
        <w:top w:val="none" w:sz="0" w:space="0" w:color="auto"/>
        <w:left w:val="none" w:sz="0" w:space="0" w:color="auto"/>
        <w:bottom w:val="none" w:sz="0" w:space="0" w:color="auto"/>
        <w:right w:val="none" w:sz="0" w:space="0" w:color="auto"/>
      </w:divBdr>
    </w:div>
    <w:div w:id="1985038033">
      <w:bodyDiv w:val="1"/>
      <w:marLeft w:val="0"/>
      <w:marRight w:val="0"/>
      <w:marTop w:val="0"/>
      <w:marBottom w:val="0"/>
      <w:divBdr>
        <w:top w:val="none" w:sz="0" w:space="0" w:color="auto"/>
        <w:left w:val="none" w:sz="0" w:space="0" w:color="auto"/>
        <w:bottom w:val="none" w:sz="0" w:space="0" w:color="auto"/>
        <w:right w:val="none" w:sz="0" w:space="0" w:color="auto"/>
      </w:divBdr>
    </w:div>
    <w:div w:id="1989892375">
      <w:bodyDiv w:val="1"/>
      <w:marLeft w:val="0"/>
      <w:marRight w:val="0"/>
      <w:marTop w:val="0"/>
      <w:marBottom w:val="0"/>
      <w:divBdr>
        <w:top w:val="none" w:sz="0" w:space="0" w:color="auto"/>
        <w:left w:val="none" w:sz="0" w:space="0" w:color="auto"/>
        <w:bottom w:val="none" w:sz="0" w:space="0" w:color="auto"/>
        <w:right w:val="none" w:sz="0" w:space="0" w:color="auto"/>
      </w:divBdr>
    </w:div>
    <w:div w:id="2032145453">
      <w:bodyDiv w:val="1"/>
      <w:marLeft w:val="0"/>
      <w:marRight w:val="0"/>
      <w:marTop w:val="0"/>
      <w:marBottom w:val="0"/>
      <w:divBdr>
        <w:top w:val="none" w:sz="0" w:space="0" w:color="auto"/>
        <w:left w:val="none" w:sz="0" w:space="0" w:color="auto"/>
        <w:bottom w:val="none" w:sz="0" w:space="0" w:color="auto"/>
        <w:right w:val="none" w:sz="0" w:space="0" w:color="auto"/>
      </w:divBdr>
    </w:div>
    <w:div w:id="2048942012">
      <w:bodyDiv w:val="1"/>
      <w:marLeft w:val="0"/>
      <w:marRight w:val="0"/>
      <w:marTop w:val="0"/>
      <w:marBottom w:val="0"/>
      <w:divBdr>
        <w:top w:val="none" w:sz="0" w:space="0" w:color="auto"/>
        <w:left w:val="none" w:sz="0" w:space="0" w:color="auto"/>
        <w:bottom w:val="none" w:sz="0" w:space="0" w:color="auto"/>
        <w:right w:val="none" w:sz="0" w:space="0" w:color="auto"/>
      </w:divBdr>
    </w:div>
    <w:div w:id="2074697440">
      <w:bodyDiv w:val="1"/>
      <w:marLeft w:val="0"/>
      <w:marRight w:val="0"/>
      <w:marTop w:val="0"/>
      <w:marBottom w:val="0"/>
      <w:divBdr>
        <w:top w:val="none" w:sz="0" w:space="0" w:color="auto"/>
        <w:left w:val="none" w:sz="0" w:space="0" w:color="auto"/>
        <w:bottom w:val="none" w:sz="0" w:space="0" w:color="auto"/>
        <w:right w:val="none" w:sz="0" w:space="0" w:color="auto"/>
      </w:divBdr>
      <w:divsChild>
        <w:div w:id="1092627385">
          <w:marLeft w:val="0"/>
          <w:marRight w:val="0"/>
          <w:marTop w:val="0"/>
          <w:marBottom w:val="0"/>
          <w:divBdr>
            <w:top w:val="none" w:sz="0" w:space="0" w:color="auto"/>
            <w:left w:val="none" w:sz="0" w:space="0" w:color="auto"/>
            <w:bottom w:val="none" w:sz="0" w:space="0" w:color="auto"/>
            <w:right w:val="none" w:sz="0" w:space="0" w:color="auto"/>
          </w:divBdr>
          <w:divsChild>
            <w:div w:id="1261450686">
              <w:marLeft w:val="0"/>
              <w:marRight w:val="0"/>
              <w:marTop w:val="0"/>
              <w:marBottom w:val="0"/>
              <w:divBdr>
                <w:top w:val="none" w:sz="0" w:space="0" w:color="auto"/>
                <w:left w:val="none" w:sz="0" w:space="0" w:color="auto"/>
                <w:bottom w:val="none" w:sz="0" w:space="0" w:color="auto"/>
                <w:right w:val="none" w:sz="0" w:space="0" w:color="auto"/>
              </w:divBdr>
              <w:divsChild>
                <w:div w:id="2084058725">
                  <w:marLeft w:val="0"/>
                  <w:marRight w:val="0"/>
                  <w:marTop w:val="0"/>
                  <w:marBottom w:val="0"/>
                  <w:divBdr>
                    <w:top w:val="none" w:sz="0" w:space="0" w:color="auto"/>
                    <w:left w:val="none" w:sz="0" w:space="0" w:color="auto"/>
                    <w:bottom w:val="none" w:sz="0" w:space="0" w:color="auto"/>
                    <w:right w:val="none" w:sz="0" w:space="0" w:color="auto"/>
                  </w:divBdr>
                  <w:divsChild>
                    <w:div w:id="1134909423">
                      <w:marLeft w:val="0"/>
                      <w:marRight w:val="0"/>
                      <w:marTop w:val="0"/>
                      <w:marBottom w:val="0"/>
                      <w:divBdr>
                        <w:top w:val="none" w:sz="0" w:space="0" w:color="auto"/>
                        <w:left w:val="none" w:sz="0" w:space="0" w:color="auto"/>
                        <w:bottom w:val="none" w:sz="0" w:space="0" w:color="auto"/>
                        <w:right w:val="none" w:sz="0" w:space="0" w:color="auto"/>
                      </w:divBdr>
                      <w:divsChild>
                        <w:div w:id="675690545">
                          <w:marLeft w:val="0"/>
                          <w:marRight w:val="0"/>
                          <w:marTop w:val="0"/>
                          <w:marBottom w:val="0"/>
                          <w:divBdr>
                            <w:top w:val="none" w:sz="0" w:space="0" w:color="auto"/>
                            <w:left w:val="none" w:sz="0" w:space="0" w:color="auto"/>
                            <w:bottom w:val="none" w:sz="0" w:space="0" w:color="auto"/>
                            <w:right w:val="none" w:sz="0" w:space="0" w:color="auto"/>
                          </w:divBdr>
                          <w:divsChild>
                            <w:div w:id="842548123">
                              <w:marLeft w:val="0"/>
                              <w:marRight w:val="0"/>
                              <w:marTop w:val="0"/>
                              <w:marBottom w:val="0"/>
                              <w:divBdr>
                                <w:top w:val="none" w:sz="0" w:space="0" w:color="auto"/>
                                <w:left w:val="none" w:sz="0" w:space="0" w:color="auto"/>
                                <w:bottom w:val="none" w:sz="0" w:space="0" w:color="auto"/>
                                <w:right w:val="none" w:sz="0" w:space="0" w:color="auto"/>
                              </w:divBdr>
                              <w:divsChild>
                                <w:div w:id="303972878">
                                  <w:marLeft w:val="0"/>
                                  <w:marRight w:val="0"/>
                                  <w:marTop w:val="0"/>
                                  <w:marBottom w:val="0"/>
                                  <w:divBdr>
                                    <w:top w:val="none" w:sz="0" w:space="0" w:color="auto"/>
                                    <w:left w:val="none" w:sz="0" w:space="0" w:color="auto"/>
                                    <w:bottom w:val="none" w:sz="0" w:space="0" w:color="auto"/>
                                    <w:right w:val="none" w:sz="0" w:space="0" w:color="auto"/>
                                  </w:divBdr>
                                  <w:divsChild>
                                    <w:div w:id="85227425">
                                      <w:marLeft w:val="0"/>
                                      <w:marRight w:val="0"/>
                                      <w:marTop w:val="0"/>
                                      <w:marBottom w:val="0"/>
                                      <w:divBdr>
                                        <w:top w:val="none" w:sz="0" w:space="0" w:color="auto"/>
                                        <w:left w:val="none" w:sz="0" w:space="0" w:color="auto"/>
                                        <w:bottom w:val="none" w:sz="0" w:space="0" w:color="auto"/>
                                        <w:right w:val="none" w:sz="0" w:space="0" w:color="auto"/>
                                      </w:divBdr>
                                      <w:divsChild>
                                        <w:div w:id="162013491">
                                          <w:marLeft w:val="0"/>
                                          <w:marRight w:val="0"/>
                                          <w:marTop w:val="0"/>
                                          <w:marBottom w:val="0"/>
                                          <w:divBdr>
                                            <w:top w:val="none" w:sz="0" w:space="0" w:color="auto"/>
                                            <w:left w:val="none" w:sz="0" w:space="0" w:color="auto"/>
                                            <w:bottom w:val="none" w:sz="0" w:space="0" w:color="auto"/>
                                            <w:right w:val="none" w:sz="0" w:space="0" w:color="auto"/>
                                          </w:divBdr>
                                        </w:div>
                                        <w:div w:id="702022438">
                                          <w:marLeft w:val="0"/>
                                          <w:marRight w:val="0"/>
                                          <w:marTop w:val="0"/>
                                          <w:marBottom w:val="0"/>
                                          <w:divBdr>
                                            <w:top w:val="none" w:sz="0" w:space="0" w:color="auto"/>
                                            <w:left w:val="none" w:sz="0" w:space="0" w:color="auto"/>
                                            <w:bottom w:val="none" w:sz="0" w:space="0" w:color="auto"/>
                                            <w:right w:val="none" w:sz="0" w:space="0" w:color="auto"/>
                                          </w:divBdr>
                                        </w:div>
                                        <w:div w:id="789785780">
                                          <w:marLeft w:val="0"/>
                                          <w:marRight w:val="0"/>
                                          <w:marTop w:val="0"/>
                                          <w:marBottom w:val="0"/>
                                          <w:divBdr>
                                            <w:top w:val="none" w:sz="0" w:space="0" w:color="auto"/>
                                            <w:left w:val="none" w:sz="0" w:space="0" w:color="auto"/>
                                            <w:bottom w:val="none" w:sz="0" w:space="0" w:color="auto"/>
                                            <w:right w:val="none" w:sz="0" w:space="0" w:color="auto"/>
                                          </w:divBdr>
                                        </w:div>
                                        <w:div w:id="1249539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085565302">
      <w:bodyDiv w:val="1"/>
      <w:marLeft w:val="0"/>
      <w:marRight w:val="0"/>
      <w:marTop w:val="0"/>
      <w:marBottom w:val="0"/>
      <w:divBdr>
        <w:top w:val="none" w:sz="0" w:space="0" w:color="auto"/>
        <w:left w:val="none" w:sz="0" w:space="0" w:color="auto"/>
        <w:bottom w:val="none" w:sz="0" w:space="0" w:color="auto"/>
        <w:right w:val="none" w:sz="0" w:space="0" w:color="auto"/>
      </w:divBdr>
    </w:div>
    <w:div w:id="2106148807">
      <w:bodyDiv w:val="1"/>
      <w:marLeft w:val="0"/>
      <w:marRight w:val="0"/>
      <w:marTop w:val="0"/>
      <w:marBottom w:val="0"/>
      <w:divBdr>
        <w:top w:val="none" w:sz="0" w:space="0" w:color="auto"/>
        <w:left w:val="none" w:sz="0" w:space="0" w:color="auto"/>
        <w:bottom w:val="none" w:sz="0" w:space="0" w:color="auto"/>
        <w:right w:val="none" w:sz="0" w:space="0" w:color="auto"/>
      </w:divBdr>
    </w:div>
    <w:div w:id="2109110759">
      <w:bodyDiv w:val="1"/>
      <w:marLeft w:val="0"/>
      <w:marRight w:val="0"/>
      <w:marTop w:val="0"/>
      <w:marBottom w:val="0"/>
      <w:divBdr>
        <w:top w:val="none" w:sz="0" w:space="0" w:color="auto"/>
        <w:left w:val="none" w:sz="0" w:space="0" w:color="auto"/>
        <w:bottom w:val="none" w:sz="0" w:space="0" w:color="auto"/>
        <w:right w:val="none" w:sz="0" w:space="0" w:color="auto"/>
      </w:divBdr>
      <w:divsChild>
        <w:div w:id="363482855">
          <w:marLeft w:val="0"/>
          <w:marRight w:val="0"/>
          <w:marTop w:val="0"/>
          <w:marBottom w:val="0"/>
          <w:divBdr>
            <w:top w:val="none" w:sz="0" w:space="0" w:color="auto"/>
            <w:left w:val="none" w:sz="0" w:space="0" w:color="auto"/>
            <w:bottom w:val="none" w:sz="0" w:space="0" w:color="auto"/>
            <w:right w:val="none" w:sz="0" w:space="0" w:color="auto"/>
          </w:divBdr>
          <w:divsChild>
            <w:div w:id="645285414">
              <w:marLeft w:val="0"/>
              <w:marRight w:val="0"/>
              <w:marTop w:val="0"/>
              <w:marBottom w:val="0"/>
              <w:divBdr>
                <w:top w:val="none" w:sz="0" w:space="0" w:color="auto"/>
                <w:left w:val="none" w:sz="0" w:space="0" w:color="auto"/>
                <w:bottom w:val="none" w:sz="0" w:space="0" w:color="auto"/>
                <w:right w:val="none" w:sz="0" w:space="0" w:color="auto"/>
              </w:divBdr>
              <w:divsChild>
                <w:div w:id="67075445">
                  <w:marLeft w:val="0"/>
                  <w:marRight w:val="0"/>
                  <w:marTop w:val="0"/>
                  <w:marBottom w:val="0"/>
                  <w:divBdr>
                    <w:top w:val="none" w:sz="0" w:space="0" w:color="auto"/>
                    <w:left w:val="none" w:sz="0" w:space="0" w:color="auto"/>
                    <w:bottom w:val="none" w:sz="0" w:space="0" w:color="auto"/>
                    <w:right w:val="none" w:sz="0" w:space="0" w:color="auto"/>
                  </w:divBdr>
                  <w:divsChild>
                    <w:div w:id="1524435625">
                      <w:marLeft w:val="405"/>
                      <w:marRight w:val="0"/>
                      <w:marTop w:val="0"/>
                      <w:marBottom w:val="0"/>
                      <w:divBdr>
                        <w:top w:val="none" w:sz="0" w:space="0" w:color="auto"/>
                        <w:left w:val="none" w:sz="0" w:space="0" w:color="auto"/>
                        <w:bottom w:val="none" w:sz="0" w:space="0" w:color="auto"/>
                        <w:right w:val="none" w:sz="0" w:space="0" w:color="auto"/>
                      </w:divBdr>
                      <w:divsChild>
                        <w:div w:id="234048353">
                          <w:marLeft w:val="0"/>
                          <w:marRight w:val="0"/>
                          <w:marTop w:val="0"/>
                          <w:marBottom w:val="0"/>
                          <w:divBdr>
                            <w:top w:val="none" w:sz="0" w:space="0" w:color="auto"/>
                            <w:left w:val="none" w:sz="0" w:space="0" w:color="auto"/>
                            <w:bottom w:val="none" w:sz="0" w:space="0" w:color="auto"/>
                            <w:right w:val="none" w:sz="0" w:space="0" w:color="auto"/>
                          </w:divBdr>
                          <w:divsChild>
                            <w:div w:id="216281388">
                              <w:marLeft w:val="405"/>
                              <w:marRight w:val="0"/>
                              <w:marTop w:val="0"/>
                              <w:marBottom w:val="0"/>
                              <w:divBdr>
                                <w:top w:val="none" w:sz="0" w:space="0" w:color="auto"/>
                                <w:left w:val="none" w:sz="0" w:space="0" w:color="auto"/>
                                <w:bottom w:val="none" w:sz="0" w:space="0" w:color="auto"/>
                                <w:right w:val="none" w:sz="0" w:space="0" w:color="auto"/>
                              </w:divBdr>
                              <w:divsChild>
                                <w:div w:id="483203981">
                                  <w:marLeft w:val="0"/>
                                  <w:marRight w:val="0"/>
                                  <w:marTop w:val="0"/>
                                  <w:marBottom w:val="0"/>
                                  <w:divBdr>
                                    <w:top w:val="none" w:sz="0" w:space="0" w:color="auto"/>
                                    <w:left w:val="none" w:sz="0" w:space="0" w:color="auto"/>
                                    <w:bottom w:val="none" w:sz="0" w:space="0" w:color="auto"/>
                                    <w:right w:val="none" w:sz="0" w:space="0" w:color="auto"/>
                                  </w:divBdr>
                                  <w:divsChild>
                                    <w:div w:id="1470511529">
                                      <w:marLeft w:val="405"/>
                                      <w:marRight w:val="0"/>
                                      <w:marTop w:val="0"/>
                                      <w:marBottom w:val="0"/>
                                      <w:divBdr>
                                        <w:top w:val="none" w:sz="0" w:space="0" w:color="auto"/>
                                        <w:left w:val="none" w:sz="0" w:space="0" w:color="auto"/>
                                        <w:bottom w:val="none" w:sz="0" w:space="0" w:color="auto"/>
                                        <w:right w:val="none" w:sz="0" w:space="0" w:color="auto"/>
                                      </w:divBdr>
                                      <w:divsChild>
                                        <w:div w:id="1107123052">
                                          <w:marLeft w:val="0"/>
                                          <w:marRight w:val="0"/>
                                          <w:marTop w:val="0"/>
                                          <w:marBottom w:val="0"/>
                                          <w:divBdr>
                                            <w:top w:val="none" w:sz="0" w:space="0" w:color="auto"/>
                                            <w:left w:val="none" w:sz="0" w:space="0" w:color="auto"/>
                                            <w:bottom w:val="none" w:sz="0" w:space="0" w:color="auto"/>
                                            <w:right w:val="none" w:sz="0" w:space="0" w:color="auto"/>
                                          </w:divBdr>
                                          <w:divsChild>
                                            <w:div w:id="175773654">
                                              <w:marLeft w:val="405"/>
                                              <w:marRight w:val="0"/>
                                              <w:marTop w:val="0"/>
                                              <w:marBottom w:val="0"/>
                                              <w:divBdr>
                                                <w:top w:val="none" w:sz="0" w:space="0" w:color="auto"/>
                                                <w:left w:val="none" w:sz="0" w:space="0" w:color="auto"/>
                                                <w:bottom w:val="none" w:sz="0" w:space="0" w:color="auto"/>
                                                <w:right w:val="none" w:sz="0" w:space="0" w:color="auto"/>
                                              </w:divBdr>
                                            </w:div>
                                            <w:div w:id="669478913">
                                              <w:marLeft w:val="405"/>
                                              <w:marRight w:val="0"/>
                                              <w:marTop w:val="0"/>
                                              <w:marBottom w:val="0"/>
                                              <w:divBdr>
                                                <w:top w:val="none" w:sz="0" w:space="0" w:color="auto"/>
                                                <w:left w:val="none" w:sz="0" w:space="0" w:color="auto"/>
                                                <w:bottom w:val="none" w:sz="0" w:space="0" w:color="auto"/>
                                                <w:right w:val="none" w:sz="0" w:space="0" w:color="auto"/>
                                              </w:divBdr>
                                            </w:div>
                                            <w:div w:id="1449424018">
                                              <w:marLeft w:val="405"/>
                                              <w:marRight w:val="0"/>
                                              <w:marTop w:val="0"/>
                                              <w:marBottom w:val="0"/>
                                              <w:divBdr>
                                                <w:top w:val="none" w:sz="0" w:space="0" w:color="auto"/>
                                                <w:left w:val="none" w:sz="0" w:space="0" w:color="auto"/>
                                                <w:bottom w:val="none" w:sz="0" w:space="0" w:color="auto"/>
                                                <w:right w:val="none" w:sz="0" w:space="0" w:color="auto"/>
                                              </w:divBdr>
                                            </w:div>
                                            <w:div w:id="1824470702">
                                              <w:marLeft w:val="405"/>
                                              <w:marRight w:val="0"/>
                                              <w:marTop w:val="0"/>
                                              <w:marBottom w:val="0"/>
                                              <w:divBdr>
                                                <w:top w:val="none" w:sz="0" w:space="0" w:color="auto"/>
                                                <w:left w:val="none" w:sz="0" w:space="0" w:color="auto"/>
                                                <w:bottom w:val="none" w:sz="0" w:space="0" w:color="auto"/>
                                                <w:right w:val="none" w:sz="0" w:space="0" w:color="auto"/>
                                              </w:divBdr>
                                            </w:div>
                                            <w:div w:id="2115778966">
                                              <w:marLeft w:val="405"/>
                                              <w:marRight w:val="0"/>
                                              <w:marTop w:val="0"/>
                                              <w:marBottom w:val="0"/>
                                              <w:divBdr>
                                                <w:top w:val="none" w:sz="0" w:space="0" w:color="auto"/>
                                                <w:left w:val="none" w:sz="0" w:space="0" w:color="auto"/>
                                                <w:bottom w:val="none" w:sz="0" w:space="0" w:color="auto"/>
                                                <w:right w:val="none" w:sz="0" w:space="0" w:color="auto"/>
                                              </w:divBdr>
                                            </w:div>
                                          </w:divsChild>
                                        </w:div>
                                      </w:divsChild>
                                    </w:div>
                                    <w:div w:id="1959990234">
                                      <w:marLeft w:val="405"/>
                                      <w:marRight w:val="0"/>
                                      <w:marTop w:val="0"/>
                                      <w:marBottom w:val="0"/>
                                      <w:divBdr>
                                        <w:top w:val="none" w:sz="0" w:space="0" w:color="auto"/>
                                        <w:left w:val="none" w:sz="0" w:space="0" w:color="auto"/>
                                        <w:bottom w:val="none" w:sz="0" w:space="0" w:color="auto"/>
                                        <w:right w:val="none" w:sz="0" w:space="0" w:color="auto"/>
                                      </w:divBdr>
                                      <w:divsChild>
                                        <w:div w:id="1917201884">
                                          <w:marLeft w:val="0"/>
                                          <w:marRight w:val="0"/>
                                          <w:marTop w:val="0"/>
                                          <w:marBottom w:val="0"/>
                                          <w:divBdr>
                                            <w:top w:val="none" w:sz="0" w:space="0" w:color="auto"/>
                                            <w:left w:val="none" w:sz="0" w:space="0" w:color="auto"/>
                                            <w:bottom w:val="none" w:sz="0" w:space="0" w:color="auto"/>
                                            <w:right w:val="none" w:sz="0" w:space="0" w:color="auto"/>
                                          </w:divBdr>
                                          <w:divsChild>
                                            <w:div w:id="573123872">
                                              <w:marLeft w:val="405"/>
                                              <w:marRight w:val="0"/>
                                              <w:marTop w:val="0"/>
                                              <w:marBottom w:val="0"/>
                                              <w:divBdr>
                                                <w:top w:val="none" w:sz="0" w:space="0" w:color="auto"/>
                                                <w:left w:val="none" w:sz="0" w:space="0" w:color="auto"/>
                                                <w:bottom w:val="none" w:sz="0" w:space="0" w:color="auto"/>
                                                <w:right w:val="none" w:sz="0" w:space="0" w:color="auto"/>
                                              </w:divBdr>
                                            </w:div>
                                            <w:div w:id="773672665">
                                              <w:marLeft w:val="405"/>
                                              <w:marRight w:val="0"/>
                                              <w:marTop w:val="0"/>
                                              <w:marBottom w:val="0"/>
                                              <w:divBdr>
                                                <w:top w:val="none" w:sz="0" w:space="0" w:color="auto"/>
                                                <w:left w:val="none" w:sz="0" w:space="0" w:color="auto"/>
                                                <w:bottom w:val="none" w:sz="0" w:space="0" w:color="auto"/>
                                                <w:right w:val="none" w:sz="0" w:space="0" w:color="auto"/>
                                              </w:divBdr>
                                            </w:div>
                                            <w:div w:id="1134176627">
                                              <w:marLeft w:val="405"/>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2121340860">
      <w:bodyDiv w:val="1"/>
      <w:marLeft w:val="0"/>
      <w:marRight w:val="0"/>
      <w:marTop w:val="0"/>
      <w:marBottom w:val="0"/>
      <w:divBdr>
        <w:top w:val="none" w:sz="0" w:space="0" w:color="auto"/>
        <w:left w:val="none" w:sz="0" w:space="0" w:color="auto"/>
        <w:bottom w:val="none" w:sz="0" w:space="0" w:color="auto"/>
        <w:right w:val="none" w:sz="0" w:space="0" w:color="auto"/>
      </w:divBdr>
    </w:div>
    <w:div w:id="2125924309">
      <w:bodyDiv w:val="1"/>
      <w:marLeft w:val="0"/>
      <w:marRight w:val="0"/>
      <w:marTop w:val="0"/>
      <w:marBottom w:val="0"/>
      <w:divBdr>
        <w:top w:val="none" w:sz="0" w:space="0" w:color="auto"/>
        <w:left w:val="none" w:sz="0" w:space="0" w:color="auto"/>
        <w:bottom w:val="none" w:sz="0" w:space="0" w:color="auto"/>
        <w:right w:val="none" w:sz="0" w:space="0" w:color="auto"/>
      </w:divBdr>
    </w:div>
    <w:div w:id="2131197929">
      <w:bodyDiv w:val="1"/>
      <w:marLeft w:val="0"/>
      <w:marRight w:val="0"/>
      <w:marTop w:val="0"/>
      <w:marBottom w:val="0"/>
      <w:divBdr>
        <w:top w:val="none" w:sz="0" w:space="0" w:color="auto"/>
        <w:left w:val="none" w:sz="0" w:space="0" w:color="auto"/>
        <w:bottom w:val="none" w:sz="0" w:space="0" w:color="auto"/>
        <w:right w:val="none" w:sz="0" w:space="0" w:color="auto"/>
      </w:divBdr>
    </w:div>
    <w:div w:id="2139293703">
      <w:bodyDiv w:val="1"/>
      <w:marLeft w:val="0"/>
      <w:marRight w:val="0"/>
      <w:marTop w:val="0"/>
      <w:marBottom w:val="0"/>
      <w:divBdr>
        <w:top w:val="none" w:sz="0" w:space="0" w:color="auto"/>
        <w:left w:val="none" w:sz="0" w:space="0" w:color="auto"/>
        <w:bottom w:val="none" w:sz="0" w:space="0" w:color="auto"/>
        <w:right w:val="none" w:sz="0" w:space="0" w:color="auto"/>
      </w:divBdr>
      <w:divsChild>
        <w:div w:id="505948456">
          <w:marLeft w:val="0"/>
          <w:marRight w:val="0"/>
          <w:marTop w:val="0"/>
          <w:marBottom w:val="0"/>
          <w:divBdr>
            <w:top w:val="none" w:sz="0" w:space="0" w:color="auto"/>
            <w:left w:val="none" w:sz="0" w:space="0" w:color="auto"/>
            <w:bottom w:val="none" w:sz="0" w:space="0" w:color="auto"/>
            <w:right w:val="none" w:sz="0" w:space="0" w:color="auto"/>
          </w:divBdr>
          <w:divsChild>
            <w:div w:id="54740861">
              <w:marLeft w:val="0"/>
              <w:marRight w:val="0"/>
              <w:marTop w:val="0"/>
              <w:marBottom w:val="0"/>
              <w:divBdr>
                <w:top w:val="none" w:sz="0" w:space="0" w:color="auto"/>
                <w:left w:val="none" w:sz="0" w:space="0" w:color="auto"/>
                <w:bottom w:val="none" w:sz="0" w:space="0" w:color="auto"/>
                <w:right w:val="none" w:sz="0" w:space="0" w:color="auto"/>
              </w:divBdr>
              <w:divsChild>
                <w:div w:id="301351477">
                  <w:marLeft w:val="0"/>
                  <w:marRight w:val="0"/>
                  <w:marTop w:val="0"/>
                  <w:marBottom w:val="0"/>
                  <w:divBdr>
                    <w:top w:val="none" w:sz="0" w:space="0" w:color="auto"/>
                    <w:left w:val="none" w:sz="0" w:space="0" w:color="auto"/>
                    <w:bottom w:val="none" w:sz="0" w:space="0" w:color="auto"/>
                    <w:right w:val="none" w:sz="0" w:space="0" w:color="auto"/>
                  </w:divBdr>
                  <w:divsChild>
                    <w:div w:id="1547832945">
                      <w:marLeft w:val="0"/>
                      <w:marRight w:val="0"/>
                      <w:marTop w:val="0"/>
                      <w:marBottom w:val="0"/>
                      <w:divBdr>
                        <w:top w:val="none" w:sz="0" w:space="0" w:color="auto"/>
                        <w:left w:val="none" w:sz="0" w:space="0" w:color="auto"/>
                        <w:bottom w:val="none" w:sz="0" w:space="0" w:color="auto"/>
                        <w:right w:val="none" w:sz="0" w:space="0" w:color="auto"/>
                      </w:divBdr>
                      <w:divsChild>
                        <w:div w:id="342365741">
                          <w:marLeft w:val="0"/>
                          <w:marRight w:val="0"/>
                          <w:marTop w:val="0"/>
                          <w:marBottom w:val="0"/>
                          <w:divBdr>
                            <w:top w:val="none" w:sz="0" w:space="0" w:color="auto"/>
                            <w:left w:val="none" w:sz="0" w:space="0" w:color="auto"/>
                            <w:bottom w:val="none" w:sz="0" w:space="0" w:color="auto"/>
                            <w:right w:val="none" w:sz="0" w:space="0" w:color="auto"/>
                          </w:divBdr>
                          <w:divsChild>
                            <w:div w:id="1445078016">
                              <w:marLeft w:val="0"/>
                              <w:marRight w:val="0"/>
                              <w:marTop w:val="0"/>
                              <w:marBottom w:val="0"/>
                              <w:divBdr>
                                <w:top w:val="none" w:sz="0" w:space="0" w:color="auto"/>
                                <w:left w:val="none" w:sz="0" w:space="0" w:color="auto"/>
                                <w:bottom w:val="none" w:sz="0" w:space="0" w:color="auto"/>
                                <w:right w:val="none" w:sz="0" w:space="0" w:color="auto"/>
                              </w:divBdr>
                              <w:divsChild>
                                <w:div w:id="2081172845">
                                  <w:marLeft w:val="0"/>
                                  <w:marRight w:val="0"/>
                                  <w:marTop w:val="0"/>
                                  <w:marBottom w:val="0"/>
                                  <w:divBdr>
                                    <w:top w:val="none" w:sz="0" w:space="0" w:color="auto"/>
                                    <w:left w:val="none" w:sz="0" w:space="0" w:color="auto"/>
                                    <w:bottom w:val="none" w:sz="0" w:space="0" w:color="auto"/>
                                    <w:right w:val="none" w:sz="0" w:space="0" w:color="auto"/>
                                  </w:divBdr>
                                  <w:divsChild>
                                    <w:div w:id="840701076">
                                      <w:marLeft w:val="0"/>
                                      <w:marRight w:val="0"/>
                                      <w:marTop w:val="0"/>
                                      <w:marBottom w:val="0"/>
                                      <w:divBdr>
                                        <w:top w:val="none" w:sz="0" w:space="0" w:color="auto"/>
                                        <w:left w:val="none" w:sz="0" w:space="0" w:color="auto"/>
                                        <w:bottom w:val="none" w:sz="0" w:space="0" w:color="auto"/>
                                        <w:right w:val="none" w:sz="0" w:space="0" w:color="auto"/>
                                      </w:divBdr>
                                      <w:divsChild>
                                        <w:div w:id="529219436">
                                          <w:marLeft w:val="0"/>
                                          <w:marRight w:val="0"/>
                                          <w:marTop w:val="0"/>
                                          <w:marBottom w:val="0"/>
                                          <w:divBdr>
                                            <w:top w:val="none" w:sz="0" w:space="0" w:color="auto"/>
                                            <w:left w:val="none" w:sz="0" w:space="0" w:color="auto"/>
                                            <w:bottom w:val="none" w:sz="0" w:space="0" w:color="auto"/>
                                            <w:right w:val="none" w:sz="0" w:space="0" w:color="auto"/>
                                          </w:divBdr>
                                          <w:divsChild>
                                            <w:div w:id="333731633">
                                              <w:marLeft w:val="0"/>
                                              <w:marRight w:val="0"/>
                                              <w:marTop w:val="0"/>
                                              <w:marBottom w:val="0"/>
                                              <w:divBdr>
                                                <w:top w:val="none" w:sz="0" w:space="0" w:color="auto"/>
                                                <w:left w:val="none" w:sz="0" w:space="0" w:color="auto"/>
                                                <w:bottom w:val="none" w:sz="0" w:space="0" w:color="auto"/>
                                                <w:right w:val="none" w:sz="0" w:space="0" w:color="auto"/>
                                              </w:divBdr>
                                              <w:divsChild>
                                                <w:div w:id="2046785515">
                                                  <w:marLeft w:val="0"/>
                                                  <w:marRight w:val="0"/>
                                                  <w:marTop w:val="0"/>
                                                  <w:marBottom w:val="0"/>
                                                  <w:divBdr>
                                                    <w:top w:val="none" w:sz="0" w:space="0" w:color="auto"/>
                                                    <w:left w:val="none" w:sz="0" w:space="0" w:color="auto"/>
                                                    <w:bottom w:val="none" w:sz="0" w:space="0" w:color="auto"/>
                                                    <w:right w:val="none" w:sz="0" w:space="0" w:color="auto"/>
                                                  </w:divBdr>
                                                  <w:divsChild>
                                                    <w:div w:id="304049256">
                                                      <w:marLeft w:val="0"/>
                                                      <w:marRight w:val="0"/>
                                                      <w:marTop w:val="0"/>
                                                      <w:marBottom w:val="0"/>
                                                      <w:divBdr>
                                                        <w:top w:val="none" w:sz="0" w:space="0" w:color="auto"/>
                                                        <w:left w:val="none" w:sz="0" w:space="0" w:color="auto"/>
                                                        <w:bottom w:val="none" w:sz="0" w:space="0" w:color="auto"/>
                                                        <w:right w:val="none" w:sz="0" w:space="0" w:color="auto"/>
                                                      </w:divBdr>
                                                      <w:divsChild>
                                                        <w:div w:id="936910190">
                                                          <w:marLeft w:val="0"/>
                                                          <w:marRight w:val="0"/>
                                                          <w:marTop w:val="0"/>
                                                          <w:marBottom w:val="0"/>
                                                          <w:divBdr>
                                                            <w:top w:val="none" w:sz="0" w:space="0" w:color="auto"/>
                                                            <w:left w:val="none" w:sz="0" w:space="0" w:color="auto"/>
                                                            <w:bottom w:val="none" w:sz="0" w:space="0" w:color="auto"/>
                                                            <w:right w:val="none" w:sz="0" w:space="0" w:color="auto"/>
                                                          </w:divBdr>
                                                          <w:divsChild>
                                                            <w:div w:id="151531618">
                                                              <w:marLeft w:val="0"/>
                                                              <w:marRight w:val="0"/>
                                                              <w:marTop w:val="0"/>
                                                              <w:marBottom w:val="0"/>
                                                              <w:divBdr>
                                                                <w:top w:val="none" w:sz="0" w:space="0" w:color="auto"/>
                                                                <w:left w:val="none" w:sz="0" w:space="0" w:color="auto"/>
                                                                <w:bottom w:val="none" w:sz="0" w:space="0" w:color="auto"/>
                                                                <w:right w:val="none" w:sz="0" w:space="0" w:color="auto"/>
                                                              </w:divBdr>
                                                              <w:divsChild>
                                                                <w:div w:id="604460151">
                                                                  <w:marLeft w:val="0"/>
                                                                  <w:marRight w:val="0"/>
                                                                  <w:marTop w:val="0"/>
                                                                  <w:marBottom w:val="0"/>
                                                                  <w:divBdr>
                                                                    <w:top w:val="none" w:sz="0" w:space="0" w:color="auto"/>
                                                                    <w:left w:val="none" w:sz="0" w:space="0" w:color="auto"/>
                                                                    <w:bottom w:val="none" w:sz="0" w:space="0" w:color="auto"/>
                                                                    <w:right w:val="none" w:sz="0" w:space="0" w:color="auto"/>
                                                                  </w:divBdr>
                                                                  <w:divsChild>
                                                                    <w:div w:id="842160669">
                                                                      <w:marLeft w:val="0"/>
                                                                      <w:marRight w:val="0"/>
                                                                      <w:marTop w:val="0"/>
                                                                      <w:marBottom w:val="0"/>
                                                                      <w:divBdr>
                                                                        <w:top w:val="none" w:sz="0" w:space="0" w:color="auto"/>
                                                                        <w:left w:val="none" w:sz="0" w:space="0" w:color="auto"/>
                                                                        <w:bottom w:val="none" w:sz="0" w:space="0" w:color="auto"/>
                                                                        <w:right w:val="none" w:sz="0" w:space="0" w:color="auto"/>
                                                                      </w:divBdr>
                                                                      <w:divsChild>
                                                                        <w:div w:id="563032766">
                                                                          <w:marLeft w:val="0"/>
                                                                          <w:marRight w:val="0"/>
                                                                          <w:marTop w:val="0"/>
                                                                          <w:marBottom w:val="0"/>
                                                                          <w:divBdr>
                                                                            <w:top w:val="none" w:sz="0" w:space="0" w:color="auto"/>
                                                                            <w:left w:val="none" w:sz="0" w:space="0" w:color="auto"/>
                                                                            <w:bottom w:val="none" w:sz="0" w:space="0" w:color="auto"/>
                                                                            <w:right w:val="none" w:sz="0" w:space="0" w:color="auto"/>
                                                                          </w:divBdr>
                                                                          <w:divsChild>
                                                                            <w:div w:id="474880032">
                                                                              <w:marLeft w:val="0"/>
                                                                              <w:marRight w:val="0"/>
                                                                              <w:marTop w:val="0"/>
                                                                              <w:marBottom w:val="0"/>
                                                                              <w:divBdr>
                                                                                <w:top w:val="none" w:sz="0" w:space="0" w:color="auto"/>
                                                                                <w:left w:val="none" w:sz="0" w:space="0" w:color="auto"/>
                                                                                <w:bottom w:val="none" w:sz="0" w:space="0" w:color="auto"/>
                                                                                <w:right w:val="none" w:sz="0" w:space="0" w:color="auto"/>
                                                                              </w:divBdr>
                                                                              <w:divsChild>
                                                                                <w:div w:id="1786584053">
                                                                                  <w:marLeft w:val="0"/>
                                                                                  <w:marRight w:val="0"/>
                                                                                  <w:marTop w:val="0"/>
                                                                                  <w:marBottom w:val="0"/>
                                                                                  <w:divBdr>
                                                                                    <w:top w:val="none" w:sz="0" w:space="0" w:color="auto"/>
                                                                                    <w:left w:val="none" w:sz="0" w:space="0" w:color="auto"/>
                                                                                    <w:bottom w:val="none" w:sz="0" w:space="0" w:color="auto"/>
                                                                                    <w:right w:val="none" w:sz="0" w:space="0" w:color="auto"/>
                                                                                  </w:divBdr>
                                                                                  <w:divsChild>
                                                                                    <w:div w:id="1235892421">
                                                                                      <w:marLeft w:val="0"/>
                                                                                      <w:marRight w:val="0"/>
                                                                                      <w:marTop w:val="0"/>
                                                                                      <w:marBottom w:val="0"/>
                                                                                      <w:divBdr>
                                                                                        <w:top w:val="none" w:sz="0" w:space="0" w:color="auto"/>
                                                                                        <w:left w:val="none" w:sz="0" w:space="0" w:color="auto"/>
                                                                                        <w:bottom w:val="none" w:sz="0" w:space="0" w:color="auto"/>
                                                                                        <w:right w:val="none" w:sz="0" w:space="0" w:color="auto"/>
                                                                                      </w:divBdr>
                                                                                      <w:divsChild>
                                                                                        <w:div w:id="192573013">
                                                                                          <w:marLeft w:val="0"/>
                                                                                          <w:marRight w:val="0"/>
                                                                                          <w:marTop w:val="0"/>
                                                                                          <w:marBottom w:val="0"/>
                                                                                          <w:divBdr>
                                                                                            <w:top w:val="none" w:sz="0" w:space="0" w:color="auto"/>
                                                                                            <w:left w:val="none" w:sz="0" w:space="0" w:color="auto"/>
                                                                                            <w:bottom w:val="none" w:sz="0" w:space="0" w:color="auto"/>
                                                                                            <w:right w:val="none" w:sz="0" w:space="0" w:color="auto"/>
                                                                                          </w:divBdr>
                                                                                          <w:divsChild>
                                                                                            <w:div w:id="323974786">
                                                                                              <w:marLeft w:val="0"/>
                                                                                              <w:marRight w:val="0"/>
                                                                                              <w:marTop w:val="0"/>
                                                                                              <w:marBottom w:val="0"/>
                                                                                              <w:divBdr>
                                                                                                <w:top w:val="none" w:sz="0" w:space="0" w:color="auto"/>
                                                                                                <w:left w:val="none" w:sz="0" w:space="0" w:color="auto"/>
                                                                                                <w:bottom w:val="none" w:sz="0" w:space="0" w:color="auto"/>
                                                                                                <w:right w:val="none" w:sz="0" w:space="0" w:color="auto"/>
                                                                                              </w:divBdr>
                                                                                              <w:divsChild>
                                                                                                <w:div w:id="1182208165">
                                                                                                  <w:marLeft w:val="0"/>
                                                                                                  <w:marRight w:val="0"/>
                                                                                                  <w:marTop w:val="0"/>
                                                                                                  <w:marBottom w:val="0"/>
                                                                                                  <w:divBdr>
                                                                                                    <w:top w:val="none" w:sz="0" w:space="0" w:color="auto"/>
                                                                                                    <w:left w:val="none" w:sz="0" w:space="0" w:color="auto"/>
                                                                                                    <w:bottom w:val="none" w:sz="0" w:space="0" w:color="auto"/>
                                                                                                    <w:right w:val="none" w:sz="0" w:space="0" w:color="auto"/>
                                                                                                  </w:divBdr>
                                                                                                  <w:divsChild>
                                                                                                    <w:div w:id="1399598972">
                                                                                                      <w:marLeft w:val="0"/>
                                                                                                      <w:marRight w:val="0"/>
                                                                                                      <w:marTop w:val="0"/>
                                                                                                      <w:marBottom w:val="0"/>
                                                                                                      <w:divBdr>
                                                                                                        <w:top w:val="none" w:sz="0" w:space="0" w:color="auto"/>
                                                                                                        <w:left w:val="none" w:sz="0" w:space="0" w:color="auto"/>
                                                                                                        <w:bottom w:val="none" w:sz="0" w:space="0" w:color="auto"/>
                                                                                                        <w:right w:val="none" w:sz="0" w:space="0" w:color="auto"/>
                                                                                                      </w:divBdr>
                                                                                                      <w:divsChild>
                                                                                                        <w:div w:id="642854974">
                                                                                                          <w:marLeft w:val="0"/>
                                                                                                          <w:marRight w:val="0"/>
                                                                                                          <w:marTop w:val="0"/>
                                                                                                          <w:marBottom w:val="0"/>
                                                                                                          <w:divBdr>
                                                                                                            <w:top w:val="none" w:sz="0" w:space="0" w:color="auto"/>
                                                                                                            <w:left w:val="none" w:sz="0" w:space="0" w:color="auto"/>
                                                                                                            <w:bottom w:val="none" w:sz="0" w:space="0" w:color="auto"/>
                                                                                                            <w:right w:val="none" w:sz="0" w:space="0" w:color="auto"/>
                                                                                                          </w:divBdr>
                                                                                                          <w:divsChild>
                                                                                                            <w:div w:id="1379932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14692334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geoportalpraha.cz/" TargetMode="External"/><Relationship Id="rId117" Type="http://schemas.openxmlformats.org/officeDocument/2006/relationships/image" Target="media/image74.png"/><Relationship Id="rId21" Type="http://schemas.openxmlformats.org/officeDocument/2006/relationships/hyperlink" Target="http://www.czso.cz/" TargetMode="External"/><Relationship Id="rId42" Type="http://schemas.openxmlformats.org/officeDocument/2006/relationships/image" Target="media/image8.png"/><Relationship Id="rId47" Type="http://schemas.openxmlformats.org/officeDocument/2006/relationships/image" Target="media/image13.png"/><Relationship Id="rId63" Type="http://schemas.openxmlformats.org/officeDocument/2006/relationships/image" Target="media/image29.png"/><Relationship Id="rId68" Type="http://schemas.openxmlformats.org/officeDocument/2006/relationships/image" Target="media/image34.png"/><Relationship Id="rId84" Type="http://schemas.openxmlformats.org/officeDocument/2006/relationships/image" Target="media/image46.png"/><Relationship Id="rId89" Type="http://schemas.openxmlformats.org/officeDocument/2006/relationships/hyperlink" Target="http://www.ozko.cz" TargetMode="External"/><Relationship Id="rId112" Type="http://schemas.openxmlformats.org/officeDocument/2006/relationships/image" Target="media/image71.png"/><Relationship Id="rId133" Type="http://schemas.openxmlformats.org/officeDocument/2006/relationships/header" Target="header9.xml"/><Relationship Id="rId138" Type="http://schemas.openxmlformats.org/officeDocument/2006/relationships/header" Target="header10.xml"/><Relationship Id="rId16" Type="http://schemas.openxmlformats.org/officeDocument/2006/relationships/hyperlink" Target="http://bpej.vumop.cz/index.php" TargetMode="External"/><Relationship Id="rId107" Type="http://schemas.openxmlformats.org/officeDocument/2006/relationships/image" Target="media/image66.png"/><Relationship Id="rId11" Type="http://schemas.openxmlformats.org/officeDocument/2006/relationships/hyperlink" Target="http://geoportal.gov.cz" TargetMode="External"/><Relationship Id="rId32" Type="http://schemas.openxmlformats.org/officeDocument/2006/relationships/hyperlink" Target="http://isad.npu.cz/" TargetMode="External"/><Relationship Id="rId37" Type="http://schemas.openxmlformats.org/officeDocument/2006/relationships/image" Target="media/image3.png"/><Relationship Id="rId53" Type="http://schemas.openxmlformats.org/officeDocument/2006/relationships/image" Target="media/image19.png"/><Relationship Id="rId58" Type="http://schemas.openxmlformats.org/officeDocument/2006/relationships/image" Target="media/image24.png"/><Relationship Id="rId74" Type="http://schemas.openxmlformats.org/officeDocument/2006/relationships/image" Target="media/image40.png"/><Relationship Id="rId79" Type="http://schemas.openxmlformats.org/officeDocument/2006/relationships/image" Target="media/image44.png"/><Relationship Id="rId102" Type="http://schemas.openxmlformats.org/officeDocument/2006/relationships/image" Target="media/image61.png"/><Relationship Id="rId123" Type="http://schemas.openxmlformats.org/officeDocument/2006/relationships/header" Target="header5.xml"/><Relationship Id="rId128" Type="http://schemas.openxmlformats.org/officeDocument/2006/relationships/image" Target="media/image77.png"/><Relationship Id="rId144" Type="http://schemas.openxmlformats.org/officeDocument/2006/relationships/footer" Target="footer10.xml"/><Relationship Id="rId149"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49.png"/><Relationship Id="rId95" Type="http://schemas.openxmlformats.org/officeDocument/2006/relationships/image" Target="media/image54.png"/><Relationship Id="rId22" Type="http://schemas.openxmlformats.org/officeDocument/2006/relationships/hyperlink" Target="http://www.risy.cz/" TargetMode="External"/><Relationship Id="rId27" Type="http://schemas.openxmlformats.org/officeDocument/2006/relationships/hyperlink" Target="http://www.iprpraha.cz/" TargetMode="External"/><Relationship Id="rId43" Type="http://schemas.openxmlformats.org/officeDocument/2006/relationships/image" Target="media/image9.png"/><Relationship Id="rId48" Type="http://schemas.openxmlformats.org/officeDocument/2006/relationships/image" Target="media/image14.png"/><Relationship Id="rId64" Type="http://schemas.openxmlformats.org/officeDocument/2006/relationships/image" Target="media/image30.png"/><Relationship Id="rId69" Type="http://schemas.openxmlformats.org/officeDocument/2006/relationships/image" Target="media/image35.jpeg"/><Relationship Id="rId113" Type="http://schemas.openxmlformats.org/officeDocument/2006/relationships/header" Target="header1.xml"/><Relationship Id="rId118" Type="http://schemas.openxmlformats.org/officeDocument/2006/relationships/image" Target="media/image75.png"/><Relationship Id="rId134" Type="http://schemas.openxmlformats.org/officeDocument/2006/relationships/footer" Target="footer6.xml"/><Relationship Id="rId139" Type="http://schemas.openxmlformats.org/officeDocument/2006/relationships/footer" Target="footer8.xml"/><Relationship Id="rId80" Type="http://schemas.openxmlformats.org/officeDocument/2006/relationships/image" Target="media/image45.png"/><Relationship Id="rId85" Type="http://schemas.openxmlformats.org/officeDocument/2006/relationships/image" Target="media/image47.png"/><Relationship Id="rId15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hyperlink" Target="http://scitani2016.rsd.cz/pages/map/default.aspx" TargetMode="External"/><Relationship Id="rId17" Type="http://schemas.openxmlformats.org/officeDocument/2006/relationships/hyperlink" Target="http://www.mapy.cz" TargetMode="External"/><Relationship Id="rId25" Type="http://schemas.openxmlformats.org/officeDocument/2006/relationships/hyperlink" Target="http://www.kontaminace.cenia.cz" TargetMode="External"/><Relationship Id="rId33" Type="http://schemas.openxmlformats.org/officeDocument/2006/relationships/hyperlink" Target="https://praha-suchdol.cz/mestska-cast-praha-suchdol/uzemni-plan/krajinarska-studie-kozi-hrbety" TargetMode="External"/><Relationship Id="rId38" Type="http://schemas.openxmlformats.org/officeDocument/2006/relationships/image" Target="media/image4.png"/><Relationship Id="rId46" Type="http://schemas.openxmlformats.org/officeDocument/2006/relationships/image" Target="media/image12.png"/><Relationship Id="rId59" Type="http://schemas.openxmlformats.org/officeDocument/2006/relationships/image" Target="media/image25.png"/><Relationship Id="rId67" Type="http://schemas.openxmlformats.org/officeDocument/2006/relationships/image" Target="media/image33.png"/><Relationship Id="rId103" Type="http://schemas.openxmlformats.org/officeDocument/2006/relationships/image" Target="media/image62.png"/><Relationship Id="rId108" Type="http://schemas.openxmlformats.org/officeDocument/2006/relationships/image" Target="media/image67.png"/><Relationship Id="rId116" Type="http://schemas.openxmlformats.org/officeDocument/2006/relationships/image" Target="media/image73.png"/><Relationship Id="rId124" Type="http://schemas.openxmlformats.org/officeDocument/2006/relationships/header" Target="header6.xml"/><Relationship Id="rId129" Type="http://schemas.openxmlformats.org/officeDocument/2006/relationships/image" Target="media/image78.jpeg"/><Relationship Id="rId137" Type="http://schemas.openxmlformats.org/officeDocument/2006/relationships/image" Target="media/image81.png"/><Relationship Id="rId20" Type="http://schemas.openxmlformats.org/officeDocument/2006/relationships/hyperlink" Target="http://heis.vuv.cz/" TargetMode="External"/><Relationship Id="rId41" Type="http://schemas.openxmlformats.org/officeDocument/2006/relationships/image" Target="media/image7.png"/><Relationship Id="rId54" Type="http://schemas.openxmlformats.org/officeDocument/2006/relationships/image" Target="media/image20.png"/><Relationship Id="rId62" Type="http://schemas.openxmlformats.org/officeDocument/2006/relationships/image" Target="media/image28.png"/><Relationship Id="rId70" Type="http://schemas.openxmlformats.org/officeDocument/2006/relationships/image" Target="media/image36.png"/><Relationship Id="rId75" Type="http://schemas.openxmlformats.org/officeDocument/2006/relationships/image" Target="media/image41.png"/><Relationship Id="rId83" Type="http://schemas.openxmlformats.org/officeDocument/2006/relationships/hyperlink" Target="http://www.ozko.cz" TargetMode="External"/><Relationship Id="rId88" Type="http://schemas.openxmlformats.org/officeDocument/2006/relationships/hyperlink" Target="http://www.ozko.cz" TargetMode="External"/><Relationship Id="rId91" Type="http://schemas.openxmlformats.org/officeDocument/2006/relationships/image" Target="media/image50.png"/><Relationship Id="rId96" Type="http://schemas.openxmlformats.org/officeDocument/2006/relationships/image" Target="media/image55.png"/><Relationship Id="rId111" Type="http://schemas.openxmlformats.org/officeDocument/2006/relationships/image" Target="media/image70.png"/><Relationship Id="rId132" Type="http://schemas.openxmlformats.org/officeDocument/2006/relationships/footer" Target="footer5.xml"/><Relationship Id="rId140" Type="http://schemas.openxmlformats.org/officeDocument/2006/relationships/header" Target="header11.xml"/><Relationship Id="rId145" Type="http://schemas.openxmlformats.org/officeDocument/2006/relationships/header" Target="header1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cuzk.cz/" TargetMode="External"/><Relationship Id="rId23" Type="http://schemas.openxmlformats.org/officeDocument/2006/relationships/hyperlink" Target="http://portal.chmi.cz/" TargetMode="External"/><Relationship Id="rId28" Type="http://schemas.openxmlformats.org/officeDocument/2006/relationships/hyperlink" Target="http://www.Praha.eu/" TargetMode="External"/><Relationship Id="rId36" Type="http://schemas.openxmlformats.org/officeDocument/2006/relationships/image" Target="media/image2.png"/><Relationship Id="rId49" Type="http://schemas.openxmlformats.org/officeDocument/2006/relationships/image" Target="media/image15.png"/><Relationship Id="rId57" Type="http://schemas.openxmlformats.org/officeDocument/2006/relationships/image" Target="media/image23.png"/><Relationship Id="rId106" Type="http://schemas.openxmlformats.org/officeDocument/2006/relationships/image" Target="media/image65.png"/><Relationship Id="rId114" Type="http://schemas.openxmlformats.org/officeDocument/2006/relationships/footer" Target="footer1.xml"/><Relationship Id="rId119" Type="http://schemas.openxmlformats.org/officeDocument/2006/relationships/header" Target="header3.xml"/><Relationship Id="rId127" Type="http://schemas.openxmlformats.org/officeDocument/2006/relationships/image" Target="media/image76.png"/><Relationship Id="rId10" Type="http://schemas.openxmlformats.org/officeDocument/2006/relationships/hyperlink" Target="mailto:trojackova@amec.cz" TargetMode="External"/><Relationship Id="rId31" Type="http://schemas.openxmlformats.org/officeDocument/2006/relationships/hyperlink" Target="http://geoportal.mzcr.cz" TargetMode="External"/><Relationship Id="rId44" Type="http://schemas.openxmlformats.org/officeDocument/2006/relationships/image" Target="media/image10.png"/><Relationship Id="rId52" Type="http://schemas.openxmlformats.org/officeDocument/2006/relationships/image" Target="media/image18.png"/><Relationship Id="rId60" Type="http://schemas.openxmlformats.org/officeDocument/2006/relationships/image" Target="media/image26.png"/><Relationship Id="rId65" Type="http://schemas.openxmlformats.org/officeDocument/2006/relationships/image" Target="media/image31.png"/><Relationship Id="rId73" Type="http://schemas.openxmlformats.org/officeDocument/2006/relationships/image" Target="media/image39.png"/><Relationship Id="rId78" Type="http://schemas.openxmlformats.org/officeDocument/2006/relationships/image" Target="media/image43.png"/><Relationship Id="rId81" Type="http://schemas.openxmlformats.org/officeDocument/2006/relationships/hyperlink" Target="http://www.ozko.cz" TargetMode="External"/><Relationship Id="rId86" Type="http://schemas.openxmlformats.org/officeDocument/2006/relationships/image" Target="media/image48.png"/><Relationship Id="rId94" Type="http://schemas.openxmlformats.org/officeDocument/2006/relationships/image" Target="media/image53.png"/><Relationship Id="rId99" Type="http://schemas.openxmlformats.org/officeDocument/2006/relationships/image" Target="media/image58.png"/><Relationship Id="rId101" Type="http://schemas.openxmlformats.org/officeDocument/2006/relationships/image" Target="media/image60.png"/><Relationship Id="rId122" Type="http://schemas.openxmlformats.org/officeDocument/2006/relationships/footer" Target="footer3.xml"/><Relationship Id="rId130" Type="http://schemas.openxmlformats.org/officeDocument/2006/relationships/image" Target="media/image79.jpeg"/><Relationship Id="rId135" Type="http://schemas.openxmlformats.org/officeDocument/2006/relationships/footer" Target="footer7.xml"/><Relationship Id="rId143" Type="http://schemas.openxmlformats.org/officeDocument/2006/relationships/header" Target="header13.xml"/><Relationship Id="rId148" Type="http://schemas.openxmlformats.org/officeDocument/2006/relationships/footer" Target="footer12.xml"/><Relationship Id="rId4" Type="http://schemas.openxmlformats.org/officeDocument/2006/relationships/settings" Target="settings.xml"/><Relationship Id="rId9" Type="http://schemas.openxmlformats.org/officeDocument/2006/relationships/hyperlink" Target="mailto:trojackova@amec.cz" TargetMode="External"/><Relationship Id="rId13" Type="http://schemas.openxmlformats.org/officeDocument/2006/relationships/hyperlink" Target="http://www.geology.cz/extranet/mapy/mapy-online" TargetMode="External"/><Relationship Id="rId18" Type="http://schemas.openxmlformats.org/officeDocument/2006/relationships/hyperlink" Target="https://www.google.cz/maps" TargetMode="External"/><Relationship Id="rId39" Type="http://schemas.openxmlformats.org/officeDocument/2006/relationships/image" Target="media/image5.png"/><Relationship Id="rId109" Type="http://schemas.openxmlformats.org/officeDocument/2006/relationships/image" Target="media/image68.png"/><Relationship Id="rId34" Type="http://schemas.openxmlformats.org/officeDocument/2006/relationships/hyperlink" Target="https://portal.cenia.cz/eiasea/detail/EIA_MZP486" TargetMode="External"/><Relationship Id="rId50" Type="http://schemas.openxmlformats.org/officeDocument/2006/relationships/image" Target="media/image16.png"/><Relationship Id="rId55" Type="http://schemas.openxmlformats.org/officeDocument/2006/relationships/image" Target="media/image21.png"/><Relationship Id="rId76" Type="http://schemas.openxmlformats.org/officeDocument/2006/relationships/image" Target="media/image42.png"/><Relationship Id="rId97" Type="http://schemas.openxmlformats.org/officeDocument/2006/relationships/image" Target="media/image56.png"/><Relationship Id="rId104" Type="http://schemas.openxmlformats.org/officeDocument/2006/relationships/image" Target="media/image63.png"/><Relationship Id="rId120" Type="http://schemas.openxmlformats.org/officeDocument/2006/relationships/footer" Target="footer2.xml"/><Relationship Id="rId125" Type="http://schemas.openxmlformats.org/officeDocument/2006/relationships/footer" Target="footer4.xml"/><Relationship Id="rId141" Type="http://schemas.openxmlformats.org/officeDocument/2006/relationships/footer" Target="footer9.xml"/><Relationship Id="rId146" Type="http://schemas.openxmlformats.org/officeDocument/2006/relationships/footer" Target="footer11.xml"/><Relationship Id="rId7" Type="http://schemas.openxmlformats.org/officeDocument/2006/relationships/endnotes" Target="endnotes.xml"/><Relationship Id="rId71" Type="http://schemas.openxmlformats.org/officeDocument/2006/relationships/image" Target="media/image37.png"/><Relationship Id="rId92" Type="http://schemas.openxmlformats.org/officeDocument/2006/relationships/image" Target="media/image51.emf"/><Relationship Id="rId2" Type="http://schemas.openxmlformats.org/officeDocument/2006/relationships/numbering" Target="numbering.xml"/><Relationship Id="rId29" Type="http://schemas.openxmlformats.org/officeDocument/2006/relationships/hyperlink" Target="http://mestskyokruh.info/" TargetMode="External"/><Relationship Id="rId24" Type="http://schemas.openxmlformats.org/officeDocument/2006/relationships/hyperlink" Target="https://helpdesk.cenia.cz/hdPublic/helpdesk/" TargetMode="External"/><Relationship Id="rId40" Type="http://schemas.openxmlformats.org/officeDocument/2006/relationships/image" Target="media/image6.png"/><Relationship Id="rId45" Type="http://schemas.openxmlformats.org/officeDocument/2006/relationships/image" Target="media/image11.png"/><Relationship Id="rId66" Type="http://schemas.openxmlformats.org/officeDocument/2006/relationships/image" Target="media/image32.png"/><Relationship Id="rId87" Type="http://schemas.openxmlformats.org/officeDocument/2006/relationships/hyperlink" Target="http://www.ozko.cz" TargetMode="External"/><Relationship Id="rId110" Type="http://schemas.openxmlformats.org/officeDocument/2006/relationships/image" Target="media/image69.png"/><Relationship Id="rId115" Type="http://schemas.openxmlformats.org/officeDocument/2006/relationships/header" Target="header2.xml"/><Relationship Id="rId131" Type="http://schemas.openxmlformats.org/officeDocument/2006/relationships/header" Target="header8.xml"/><Relationship Id="rId136" Type="http://schemas.openxmlformats.org/officeDocument/2006/relationships/image" Target="media/image80.png"/><Relationship Id="rId61" Type="http://schemas.openxmlformats.org/officeDocument/2006/relationships/image" Target="media/image27.png"/><Relationship Id="rId82" Type="http://schemas.openxmlformats.org/officeDocument/2006/relationships/hyperlink" Target="http://www.ozko.cz" TargetMode="External"/><Relationship Id="rId19" Type="http://schemas.openxmlformats.org/officeDocument/2006/relationships/hyperlink" Target="http://mapy.nature.cz/" TargetMode="External"/><Relationship Id="rId14" Type="http://schemas.openxmlformats.org/officeDocument/2006/relationships/hyperlink" Target="http://eagri.cz/public/app/lpisext/lpis/verejny2/plpis/" TargetMode="External"/><Relationship Id="rId30" Type="http://schemas.openxmlformats.org/officeDocument/2006/relationships/hyperlink" Target="http://www.Praha-priroda.cz/" TargetMode="External"/><Relationship Id="rId35" Type="http://schemas.openxmlformats.org/officeDocument/2006/relationships/hyperlink" Target="https://praha-suchdol.cz/mestska-cast-praha-suchdol/uzemni-plan/uzemni-studie-stary-suchdol/" TargetMode="External"/><Relationship Id="rId56" Type="http://schemas.openxmlformats.org/officeDocument/2006/relationships/image" Target="media/image22.png"/><Relationship Id="rId77" Type="http://schemas.openxmlformats.org/officeDocument/2006/relationships/hyperlink" Target="http://www.ozko.cz" TargetMode="External"/><Relationship Id="rId100" Type="http://schemas.openxmlformats.org/officeDocument/2006/relationships/image" Target="media/image59.png"/><Relationship Id="rId105" Type="http://schemas.openxmlformats.org/officeDocument/2006/relationships/image" Target="media/image64.png"/><Relationship Id="rId126" Type="http://schemas.openxmlformats.org/officeDocument/2006/relationships/header" Target="header7.xml"/><Relationship Id="rId147" Type="http://schemas.openxmlformats.org/officeDocument/2006/relationships/header" Target="header15.xml"/><Relationship Id="rId8" Type="http://schemas.openxmlformats.org/officeDocument/2006/relationships/image" Target="media/image1.png"/><Relationship Id="rId51" Type="http://schemas.openxmlformats.org/officeDocument/2006/relationships/image" Target="media/image17.png"/><Relationship Id="rId72" Type="http://schemas.openxmlformats.org/officeDocument/2006/relationships/image" Target="media/image38.jpeg"/><Relationship Id="rId93" Type="http://schemas.openxmlformats.org/officeDocument/2006/relationships/image" Target="media/image52.png"/><Relationship Id="rId98" Type="http://schemas.openxmlformats.org/officeDocument/2006/relationships/image" Target="media/image57.png"/><Relationship Id="rId121" Type="http://schemas.openxmlformats.org/officeDocument/2006/relationships/header" Target="header4.xml"/><Relationship Id="rId142" Type="http://schemas.openxmlformats.org/officeDocument/2006/relationships/header" Target="header12.xm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72.emf"/></Relationships>
</file>

<file path=word/_rels/header10.xml.rels><?xml version="1.0" encoding="UTF-8" standalone="yes"?>
<Relationships xmlns="http://schemas.openxmlformats.org/package/2006/relationships"><Relationship Id="rId2" Type="http://schemas.openxmlformats.org/officeDocument/2006/relationships/oleObject" Target="embeddings/oleObject10.bin"/><Relationship Id="rId1" Type="http://schemas.openxmlformats.org/officeDocument/2006/relationships/image" Target="media/image72.emf"/></Relationships>
</file>

<file path=word/_rels/header11.xml.rels><?xml version="1.0" encoding="UTF-8" standalone="yes"?>
<Relationships xmlns="http://schemas.openxmlformats.org/package/2006/relationships"><Relationship Id="rId2" Type="http://schemas.openxmlformats.org/officeDocument/2006/relationships/oleObject" Target="embeddings/oleObject11.bin"/><Relationship Id="rId1" Type="http://schemas.openxmlformats.org/officeDocument/2006/relationships/image" Target="media/image72.emf"/></Relationships>
</file>

<file path=word/_rels/header12.xml.rels><?xml version="1.0" encoding="UTF-8" standalone="yes"?>
<Relationships xmlns="http://schemas.openxmlformats.org/package/2006/relationships"><Relationship Id="rId2" Type="http://schemas.openxmlformats.org/officeDocument/2006/relationships/oleObject" Target="embeddings/oleObject12.bin"/><Relationship Id="rId1" Type="http://schemas.openxmlformats.org/officeDocument/2006/relationships/image" Target="media/image72.emf"/></Relationships>
</file>

<file path=word/_rels/header13.xml.rels><?xml version="1.0" encoding="UTF-8" standalone="yes"?>
<Relationships xmlns="http://schemas.openxmlformats.org/package/2006/relationships"><Relationship Id="rId2" Type="http://schemas.openxmlformats.org/officeDocument/2006/relationships/oleObject" Target="embeddings/oleObject13.bin"/><Relationship Id="rId1" Type="http://schemas.openxmlformats.org/officeDocument/2006/relationships/image" Target="media/image72.emf"/></Relationships>
</file>

<file path=word/_rels/header14.xml.rels><?xml version="1.0" encoding="UTF-8" standalone="yes"?>
<Relationships xmlns="http://schemas.openxmlformats.org/package/2006/relationships"><Relationship Id="rId2" Type="http://schemas.openxmlformats.org/officeDocument/2006/relationships/oleObject" Target="embeddings/oleObject14.bin"/><Relationship Id="rId1" Type="http://schemas.openxmlformats.org/officeDocument/2006/relationships/image" Target="media/image72.emf"/></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72.emf"/></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3.bin"/><Relationship Id="rId1" Type="http://schemas.openxmlformats.org/officeDocument/2006/relationships/image" Target="media/image72.emf"/></Relationships>
</file>

<file path=word/_rels/header4.xml.rels><?xml version="1.0" encoding="UTF-8" standalone="yes"?>
<Relationships xmlns="http://schemas.openxmlformats.org/package/2006/relationships"><Relationship Id="rId2" Type="http://schemas.openxmlformats.org/officeDocument/2006/relationships/oleObject" Target="embeddings/oleObject4.bin"/><Relationship Id="rId1" Type="http://schemas.openxmlformats.org/officeDocument/2006/relationships/image" Target="media/image72.emf"/></Relationships>
</file>

<file path=word/_rels/header5.xml.rels><?xml version="1.0" encoding="UTF-8" standalone="yes"?>
<Relationships xmlns="http://schemas.openxmlformats.org/package/2006/relationships"><Relationship Id="rId2" Type="http://schemas.openxmlformats.org/officeDocument/2006/relationships/oleObject" Target="embeddings/oleObject5.bin"/><Relationship Id="rId1" Type="http://schemas.openxmlformats.org/officeDocument/2006/relationships/image" Target="media/image72.emf"/></Relationships>
</file>

<file path=word/_rels/header6.xml.rels><?xml version="1.0" encoding="UTF-8" standalone="yes"?>
<Relationships xmlns="http://schemas.openxmlformats.org/package/2006/relationships"><Relationship Id="rId2" Type="http://schemas.openxmlformats.org/officeDocument/2006/relationships/oleObject" Target="embeddings/oleObject6.bin"/><Relationship Id="rId1" Type="http://schemas.openxmlformats.org/officeDocument/2006/relationships/image" Target="media/image72.emf"/></Relationships>
</file>

<file path=word/_rels/header7.xml.rels><?xml version="1.0" encoding="UTF-8" standalone="yes"?>
<Relationships xmlns="http://schemas.openxmlformats.org/package/2006/relationships"><Relationship Id="rId2" Type="http://schemas.openxmlformats.org/officeDocument/2006/relationships/oleObject" Target="embeddings/oleObject7.bin"/><Relationship Id="rId1" Type="http://schemas.openxmlformats.org/officeDocument/2006/relationships/image" Target="media/image72.emf"/></Relationships>
</file>

<file path=word/_rels/header8.xml.rels><?xml version="1.0" encoding="UTF-8" standalone="yes"?>
<Relationships xmlns="http://schemas.openxmlformats.org/package/2006/relationships"><Relationship Id="rId2" Type="http://schemas.openxmlformats.org/officeDocument/2006/relationships/oleObject" Target="embeddings/oleObject8.bin"/><Relationship Id="rId1" Type="http://schemas.openxmlformats.org/officeDocument/2006/relationships/image" Target="media/image72.emf"/></Relationships>
</file>

<file path=word/_rels/header9.xml.rels><?xml version="1.0" encoding="UTF-8" standalone="yes"?>
<Relationships xmlns="http://schemas.openxmlformats.org/package/2006/relationships"><Relationship Id="rId2" Type="http://schemas.openxmlformats.org/officeDocument/2006/relationships/oleObject" Target="embeddings/oleObject9.bin"/><Relationship Id="rId1" Type="http://schemas.openxmlformats.org/officeDocument/2006/relationships/image" Target="media/image72.emf"/></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0AEA74-7D22-4780-8EB5-02C95898E4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203</Pages>
  <Words>98171</Words>
  <Characters>579214</Characters>
  <Application>Microsoft Office Word</Application>
  <DocSecurity>0</DocSecurity>
  <Lines>4826</Lines>
  <Paragraphs>1352</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Amec Foster Wheeler</vt:lpstr>
      <vt:lpstr>Amec Foster Wheeler</vt:lpstr>
    </vt:vector>
  </TitlesOfParts>
  <Company>Amec Plc</Company>
  <LinksUpToDate>false</LinksUpToDate>
  <CharactersWithSpaces>676033</CharactersWithSpaces>
  <SharedDoc>false</SharedDoc>
  <HLinks>
    <vt:vector size="354" baseType="variant">
      <vt:variant>
        <vt:i4>1769486</vt:i4>
      </vt:variant>
      <vt:variant>
        <vt:i4>477</vt:i4>
      </vt:variant>
      <vt:variant>
        <vt:i4>0</vt:i4>
      </vt:variant>
      <vt:variant>
        <vt:i4>5</vt:i4>
      </vt:variant>
      <vt:variant>
        <vt:lpwstr>https://regiony.kurzy.cz/katastr/ku/658201/ostatni-plocha</vt:lpwstr>
      </vt:variant>
      <vt:variant>
        <vt:lpwstr/>
      </vt:variant>
      <vt:variant>
        <vt:i4>2883624</vt:i4>
      </vt:variant>
      <vt:variant>
        <vt:i4>474</vt:i4>
      </vt:variant>
      <vt:variant>
        <vt:i4>0</vt:i4>
      </vt:variant>
      <vt:variant>
        <vt:i4>5</vt:i4>
      </vt:variant>
      <vt:variant>
        <vt:lpwstr>https://regiony.kurzy.cz/katastr/ku/658201/ostatni-plocha/neplodna-puda</vt:lpwstr>
      </vt:variant>
      <vt:variant>
        <vt:lpwstr/>
      </vt:variant>
      <vt:variant>
        <vt:i4>4915273</vt:i4>
      </vt:variant>
      <vt:variant>
        <vt:i4>471</vt:i4>
      </vt:variant>
      <vt:variant>
        <vt:i4>0</vt:i4>
      </vt:variant>
      <vt:variant>
        <vt:i4>5</vt:i4>
      </vt:variant>
      <vt:variant>
        <vt:lpwstr>https://regiony.kurzy.cz/katastr/ku/658201/ostatni-plocha/jina-plocha</vt:lpwstr>
      </vt:variant>
      <vt:variant>
        <vt:lpwstr/>
      </vt:variant>
      <vt:variant>
        <vt:i4>327693</vt:i4>
      </vt:variant>
      <vt:variant>
        <vt:i4>468</vt:i4>
      </vt:variant>
      <vt:variant>
        <vt:i4>0</vt:i4>
      </vt:variant>
      <vt:variant>
        <vt:i4>5</vt:i4>
      </vt:variant>
      <vt:variant>
        <vt:lpwstr>https://regiony.kurzy.cz/katastr/ku/658201/ostatni-plocha/manipulacni-plocha</vt:lpwstr>
      </vt:variant>
      <vt:variant>
        <vt:lpwstr/>
      </vt:variant>
      <vt:variant>
        <vt:i4>720966</vt:i4>
      </vt:variant>
      <vt:variant>
        <vt:i4>465</vt:i4>
      </vt:variant>
      <vt:variant>
        <vt:i4>0</vt:i4>
      </vt:variant>
      <vt:variant>
        <vt:i4>5</vt:i4>
      </vt:variant>
      <vt:variant>
        <vt:lpwstr>https://regiony.kurzy.cz/katastr/ku/658201/ostatni-plocha/hrbitov-urnovy-haj</vt:lpwstr>
      </vt:variant>
      <vt:variant>
        <vt:lpwstr/>
      </vt:variant>
      <vt:variant>
        <vt:i4>2031623</vt:i4>
      </vt:variant>
      <vt:variant>
        <vt:i4>462</vt:i4>
      </vt:variant>
      <vt:variant>
        <vt:i4>0</vt:i4>
      </vt:variant>
      <vt:variant>
        <vt:i4>5</vt:i4>
      </vt:variant>
      <vt:variant>
        <vt:lpwstr>https://regiony.kurzy.cz/katastr/ku/658201/ostatni-plocha/sportoviste-a-rekreacni-plocha</vt:lpwstr>
      </vt:variant>
      <vt:variant>
        <vt:lpwstr/>
      </vt:variant>
      <vt:variant>
        <vt:i4>3407993</vt:i4>
      </vt:variant>
      <vt:variant>
        <vt:i4>459</vt:i4>
      </vt:variant>
      <vt:variant>
        <vt:i4>0</vt:i4>
      </vt:variant>
      <vt:variant>
        <vt:i4>5</vt:i4>
      </vt:variant>
      <vt:variant>
        <vt:lpwstr>https://regiony.kurzy.cz/katastr/ku/658201/ostatni-plocha/zelen</vt:lpwstr>
      </vt:variant>
      <vt:variant>
        <vt:lpwstr/>
      </vt:variant>
      <vt:variant>
        <vt:i4>1048656</vt:i4>
      </vt:variant>
      <vt:variant>
        <vt:i4>456</vt:i4>
      </vt:variant>
      <vt:variant>
        <vt:i4>0</vt:i4>
      </vt:variant>
      <vt:variant>
        <vt:i4>5</vt:i4>
      </vt:variant>
      <vt:variant>
        <vt:lpwstr>https://regiony.kurzy.cz/katastr/ku/658201/ostatni-plocha/ostatni-dopravni-plocha</vt:lpwstr>
      </vt:variant>
      <vt:variant>
        <vt:lpwstr/>
      </vt:variant>
      <vt:variant>
        <vt:i4>1179657</vt:i4>
      </vt:variant>
      <vt:variant>
        <vt:i4>453</vt:i4>
      </vt:variant>
      <vt:variant>
        <vt:i4>0</vt:i4>
      </vt:variant>
      <vt:variant>
        <vt:i4>5</vt:i4>
      </vt:variant>
      <vt:variant>
        <vt:lpwstr>https://regiony.kurzy.cz/katastr/ku/658201/ostatni-plocha/ostatni-komunikace</vt:lpwstr>
      </vt:variant>
      <vt:variant>
        <vt:lpwstr/>
      </vt:variant>
      <vt:variant>
        <vt:i4>5242905</vt:i4>
      </vt:variant>
      <vt:variant>
        <vt:i4>450</vt:i4>
      </vt:variant>
      <vt:variant>
        <vt:i4>0</vt:i4>
      </vt:variant>
      <vt:variant>
        <vt:i4>5</vt:i4>
      </vt:variant>
      <vt:variant>
        <vt:lpwstr>https://regiony.kurzy.cz/katastr/ku/658201/ostatni-plocha/silnice</vt:lpwstr>
      </vt:variant>
      <vt:variant>
        <vt:lpwstr/>
      </vt:variant>
      <vt:variant>
        <vt:i4>3014762</vt:i4>
      </vt:variant>
      <vt:variant>
        <vt:i4>447</vt:i4>
      </vt:variant>
      <vt:variant>
        <vt:i4>0</vt:i4>
      </vt:variant>
      <vt:variant>
        <vt:i4>5</vt:i4>
      </vt:variant>
      <vt:variant>
        <vt:lpwstr>https://regiony.kurzy.cz/katastr/ku/658201/ostatni-plocha/draha</vt:lpwstr>
      </vt:variant>
      <vt:variant>
        <vt:lpwstr/>
      </vt:variant>
      <vt:variant>
        <vt:i4>6619232</vt:i4>
      </vt:variant>
      <vt:variant>
        <vt:i4>444</vt:i4>
      </vt:variant>
      <vt:variant>
        <vt:i4>0</vt:i4>
      </vt:variant>
      <vt:variant>
        <vt:i4>5</vt:i4>
      </vt:variant>
      <vt:variant>
        <vt:lpwstr>https://regiony.kurzy.cz/katastr/ku/658201/ostatni-plocha/zamokrena-plocha</vt:lpwstr>
      </vt:variant>
      <vt:variant>
        <vt:lpwstr/>
      </vt:variant>
      <vt:variant>
        <vt:i4>1310746</vt:i4>
      </vt:variant>
      <vt:variant>
        <vt:i4>441</vt:i4>
      </vt:variant>
      <vt:variant>
        <vt:i4>0</vt:i4>
      </vt:variant>
      <vt:variant>
        <vt:i4>5</vt:i4>
      </vt:variant>
      <vt:variant>
        <vt:lpwstr>https://regiony.kurzy.cz/katastr/ku/658201/zastavena-plocha-a-nadvori</vt:lpwstr>
      </vt:variant>
      <vt:variant>
        <vt:lpwstr/>
      </vt:variant>
      <vt:variant>
        <vt:i4>5439518</vt:i4>
      </vt:variant>
      <vt:variant>
        <vt:i4>438</vt:i4>
      </vt:variant>
      <vt:variant>
        <vt:i4>0</vt:i4>
      </vt:variant>
      <vt:variant>
        <vt:i4>5</vt:i4>
      </vt:variant>
      <vt:variant>
        <vt:lpwstr>https://regiony.kurzy.cz/katastr/ku/658201/zastavena-plocha-a-nadvori/zboreniste</vt:lpwstr>
      </vt:variant>
      <vt:variant>
        <vt:lpwstr/>
      </vt:variant>
      <vt:variant>
        <vt:i4>2883647</vt:i4>
      </vt:variant>
      <vt:variant>
        <vt:i4>435</vt:i4>
      </vt:variant>
      <vt:variant>
        <vt:i4>0</vt:i4>
      </vt:variant>
      <vt:variant>
        <vt:i4>5</vt:i4>
      </vt:variant>
      <vt:variant>
        <vt:lpwstr>https://regiony.kurzy.cz/katastr/ku/658201/zastavena-plocha-a-nadvori/spolecny-dvur</vt:lpwstr>
      </vt:variant>
      <vt:variant>
        <vt:lpwstr/>
      </vt:variant>
      <vt:variant>
        <vt:i4>1310746</vt:i4>
      </vt:variant>
      <vt:variant>
        <vt:i4>432</vt:i4>
      </vt:variant>
      <vt:variant>
        <vt:i4>0</vt:i4>
      </vt:variant>
      <vt:variant>
        <vt:i4>5</vt:i4>
      </vt:variant>
      <vt:variant>
        <vt:lpwstr>https://regiony.kurzy.cz/katastr/ku/658201/zastavena-plocha-a-nadvori</vt:lpwstr>
      </vt:variant>
      <vt:variant>
        <vt:lpwstr/>
      </vt:variant>
      <vt:variant>
        <vt:i4>6684787</vt:i4>
      </vt:variant>
      <vt:variant>
        <vt:i4>429</vt:i4>
      </vt:variant>
      <vt:variant>
        <vt:i4>0</vt:i4>
      </vt:variant>
      <vt:variant>
        <vt:i4>5</vt:i4>
      </vt:variant>
      <vt:variant>
        <vt:lpwstr>https://regiony.kurzy.cz/katastr/ku/658201/vodni-plocha</vt:lpwstr>
      </vt:variant>
      <vt:variant>
        <vt:lpwstr/>
      </vt:variant>
      <vt:variant>
        <vt:i4>1572893</vt:i4>
      </vt:variant>
      <vt:variant>
        <vt:i4>426</vt:i4>
      </vt:variant>
      <vt:variant>
        <vt:i4>0</vt:i4>
      </vt:variant>
      <vt:variant>
        <vt:i4>5</vt:i4>
      </vt:variant>
      <vt:variant>
        <vt:lpwstr>https://regiony.kurzy.cz/katastr/ku/658201/vodni-plocha/zamokrena-plocha</vt:lpwstr>
      </vt:variant>
      <vt:variant>
        <vt:lpwstr/>
      </vt:variant>
      <vt:variant>
        <vt:i4>5636097</vt:i4>
      </vt:variant>
      <vt:variant>
        <vt:i4>423</vt:i4>
      </vt:variant>
      <vt:variant>
        <vt:i4>0</vt:i4>
      </vt:variant>
      <vt:variant>
        <vt:i4>5</vt:i4>
      </vt:variant>
      <vt:variant>
        <vt:lpwstr>https://regiony.kurzy.cz/katastr/ku/658201/vodni-plocha/vodni-nadrz-prirodni</vt:lpwstr>
      </vt:variant>
      <vt:variant>
        <vt:lpwstr/>
      </vt:variant>
      <vt:variant>
        <vt:i4>1507356</vt:i4>
      </vt:variant>
      <vt:variant>
        <vt:i4>420</vt:i4>
      </vt:variant>
      <vt:variant>
        <vt:i4>0</vt:i4>
      </vt:variant>
      <vt:variant>
        <vt:i4>5</vt:i4>
      </vt:variant>
      <vt:variant>
        <vt:lpwstr>https://regiony.kurzy.cz/katastr/ku/658201/vodni-plocha/koryto-vodniho-toku-umele</vt:lpwstr>
      </vt:variant>
      <vt:variant>
        <vt:lpwstr/>
      </vt:variant>
      <vt:variant>
        <vt:i4>3801135</vt:i4>
      </vt:variant>
      <vt:variant>
        <vt:i4>417</vt:i4>
      </vt:variant>
      <vt:variant>
        <vt:i4>0</vt:i4>
      </vt:variant>
      <vt:variant>
        <vt:i4>5</vt:i4>
      </vt:variant>
      <vt:variant>
        <vt:lpwstr>https://regiony.kurzy.cz/katastr/ku/658201/vodni-plocha/koryto-vodniho-toku-prirozene-nebo-upravene</vt:lpwstr>
      </vt:variant>
      <vt:variant>
        <vt:lpwstr/>
      </vt:variant>
      <vt:variant>
        <vt:i4>3473515</vt:i4>
      </vt:variant>
      <vt:variant>
        <vt:i4>414</vt:i4>
      </vt:variant>
      <vt:variant>
        <vt:i4>0</vt:i4>
      </vt:variant>
      <vt:variant>
        <vt:i4>5</vt:i4>
      </vt:variant>
      <vt:variant>
        <vt:lpwstr>https://regiony.kurzy.cz/katastr/ku/658201/vodni-plocha/rybnik</vt:lpwstr>
      </vt:variant>
      <vt:variant>
        <vt:lpwstr/>
      </vt:variant>
      <vt:variant>
        <vt:i4>1048601</vt:i4>
      </vt:variant>
      <vt:variant>
        <vt:i4>411</vt:i4>
      </vt:variant>
      <vt:variant>
        <vt:i4>0</vt:i4>
      </vt:variant>
      <vt:variant>
        <vt:i4>5</vt:i4>
      </vt:variant>
      <vt:variant>
        <vt:lpwstr>https://regiony.kurzy.cz/katastr/ku/658201/lesni-pozemek</vt:lpwstr>
      </vt:variant>
      <vt:variant>
        <vt:lpwstr/>
      </vt:variant>
      <vt:variant>
        <vt:i4>3473516</vt:i4>
      </vt:variant>
      <vt:variant>
        <vt:i4>408</vt:i4>
      </vt:variant>
      <vt:variant>
        <vt:i4>0</vt:i4>
      </vt:variant>
      <vt:variant>
        <vt:i4>5</vt:i4>
      </vt:variant>
      <vt:variant>
        <vt:lpwstr>https://regiony.kurzy.cz/katastr/ku/658201/trvaly-travni-porost</vt:lpwstr>
      </vt:variant>
      <vt:variant>
        <vt:lpwstr/>
      </vt:variant>
      <vt:variant>
        <vt:i4>1048600</vt:i4>
      </vt:variant>
      <vt:variant>
        <vt:i4>405</vt:i4>
      </vt:variant>
      <vt:variant>
        <vt:i4>0</vt:i4>
      </vt:variant>
      <vt:variant>
        <vt:i4>5</vt:i4>
      </vt:variant>
      <vt:variant>
        <vt:lpwstr>https://regiony.kurzy.cz/katastr/ku/658201/trvaly-travni-porost/None</vt:lpwstr>
      </vt:variant>
      <vt:variant>
        <vt:lpwstr/>
      </vt:variant>
      <vt:variant>
        <vt:i4>3473516</vt:i4>
      </vt:variant>
      <vt:variant>
        <vt:i4>402</vt:i4>
      </vt:variant>
      <vt:variant>
        <vt:i4>0</vt:i4>
      </vt:variant>
      <vt:variant>
        <vt:i4>5</vt:i4>
      </vt:variant>
      <vt:variant>
        <vt:lpwstr>https://regiony.kurzy.cz/katastr/ku/658201/trvaly-travni-porost</vt:lpwstr>
      </vt:variant>
      <vt:variant>
        <vt:lpwstr/>
      </vt:variant>
      <vt:variant>
        <vt:i4>4718671</vt:i4>
      </vt:variant>
      <vt:variant>
        <vt:i4>399</vt:i4>
      </vt:variant>
      <vt:variant>
        <vt:i4>0</vt:i4>
      </vt:variant>
      <vt:variant>
        <vt:i4>5</vt:i4>
      </vt:variant>
      <vt:variant>
        <vt:lpwstr>https://regiony.kurzy.cz/katastr/ku/658201/ovocny-sad</vt:lpwstr>
      </vt:variant>
      <vt:variant>
        <vt:lpwstr/>
      </vt:variant>
      <vt:variant>
        <vt:i4>7864359</vt:i4>
      </vt:variant>
      <vt:variant>
        <vt:i4>396</vt:i4>
      </vt:variant>
      <vt:variant>
        <vt:i4>0</vt:i4>
      </vt:variant>
      <vt:variant>
        <vt:i4>5</vt:i4>
      </vt:variant>
      <vt:variant>
        <vt:lpwstr>https://regiony.kurzy.cz/katastr/ku/658201/zahrada</vt:lpwstr>
      </vt:variant>
      <vt:variant>
        <vt:lpwstr/>
      </vt:variant>
      <vt:variant>
        <vt:i4>5374039</vt:i4>
      </vt:variant>
      <vt:variant>
        <vt:i4>393</vt:i4>
      </vt:variant>
      <vt:variant>
        <vt:i4>0</vt:i4>
      </vt:variant>
      <vt:variant>
        <vt:i4>5</vt:i4>
      </vt:variant>
      <vt:variant>
        <vt:lpwstr>https://regiony.kurzy.cz/katastr/ku/658201/orna-puda</vt:lpwstr>
      </vt:variant>
      <vt:variant>
        <vt:lpwstr/>
      </vt:variant>
      <vt:variant>
        <vt:i4>1900607</vt:i4>
      </vt:variant>
      <vt:variant>
        <vt:i4>350</vt:i4>
      </vt:variant>
      <vt:variant>
        <vt:i4>0</vt:i4>
      </vt:variant>
      <vt:variant>
        <vt:i4>5</vt:i4>
      </vt:variant>
      <vt:variant>
        <vt:lpwstr/>
      </vt:variant>
      <vt:variant>
        <vt:lpwstr>_Toc532203888</vt:lpwstr>
      </vt:variant>
      <vt:variant>
        <vt:i4>1900607</vt:i4>
      </vt:variant>
      <vt:variant>
        <vt:i4>344</vt:i4>
      </vt:variant>
      <vt:variant>
        <vt:i4>0</vt:i4>
      </vt:variant>
      <vt:variant>
        <vt:i4>5</vt:i4>
      </vt:variant>
      <vt:variant>
        <vt:lpwstr/>
      </vt:variant>
      <vt:variant>
        <vt:lpwstr>_Toc532203887</vt:lpwstr>
      </vt:variant>
      <vt:variant>
        <vt:i4>1900607</vt:i4>
      </vt:variant>
      <vt:variant>
        <vt:i4>338</vt:i4>
      </vt:variant>
      <vt:variant>
        <vt:i4>0</vt:i4>
      </vt:variant>
      <vt:variant>
        <vt:i4>5</vt:i4>
      </vt:variant>
      <vt:variant>
        <vt:lpwstr/>
      </vt:variant>
      <vt:variant>
        <vt:lpwstr>_Toc532203886</vt:lpwstr>
      </vt:variant>
      <vt:variant>
        <vt:i4>1900607</vt:i4>
      </vt:variant>
      <vt:variant>
        <vt:i4>332</vt:i4>
      </vt:variant>
      <vt:variant>
        <vt:i4>0</vt:i4>
      </vt:variant>
      <vt:variant>
        <vt:i4>5</vt:i4>
      </vt:variant>
      <vt:variant>
        <vt:lpwstr/>
      </vt:variant>
      <vt:variant>
        <vt:lpwstr>_Toc532203885</vt:lpwstr>
      </vt:variant>
      <vt:variant>
        <vt:i4>1900607</vt:i4>
      </vt:variant>
      <vt:variant>
        <vt:i4>326</vt:i4>
      </vt:variant>
      <vt:variant>
        <vt:i4>0</vt:i4>
      </vt:variant>
      <vt:variant>
        <vt:i4>5</vt:i4>
      </vt:variant>
      <vt:variant>
        <vt:lpwstr/>
      </vt:variant>
      <vt:variant>
        <vt:lpwstr>_Toc532203884</vt:lpwstr>
      </vt:variant>
      <vt:variant>
        <vt:i4>1900607</vt:i4>
      </vt:variant>
      <vt:variant>
        <vt:i4>320</vt:i4>
      </vt:variant>
      <vt:variant>
        <vt:i4>0</vt:i4>
      </vt:variant>
      <vt:variant>
        <vt:i4>5</vt:i4>
      </vt:variant>
      <vt:variant>
        <vt:lpwstr/>
      </vt:variant>
      <vt:variant>
        <vt:lpwstr>_Toc532203883</vt:lpwstr>
      </vt:variant>
      <vt:variant>
        <vt:i4>1900607</vt:i4>
      </vt:variant>
      <vt:variant>
        <vt:i4>314</vt:i4>
      </vt:variant>
      <vt:variant>
        <vt:i4>0</vt:i4>
      </vt:variant>
      <vt:variant>
        <vt:i4>5</vt:i4>
      </vt:variant>
      <vt:variant>
        <vt:lpwstr/>
      </vt:variant>
      <vt:variant>
        <vt:lpwstr>_Toc532203882</vt:lpwstr>
      </vt:variant>
      <vt:variant>
        <vt:i4>1900607</vt:i4>
      </vt:variant>
      <vt:variant>
        <vt:i4>308</vt:i4>
      </vt:variant>
      <vt:variant>
        <vt:i4>0</vt:i4>
      </vt:variant>
      <vt:variant>
        <vt:i4>5</vt:i4>
      </vt:variant>
      <vt:variant>
        <vt:lpwstr/>
      </vt:variant>
      <vt:variant>
        <vt:lpwstr>_Toc532203881</vt:lpwstr>
      </vt:variant>
      <vt:variant>
        <vt:i4>1900607</vt:i4>
      </vt:variant>
      <vt:variant>
        <vt:i4>302</vt:i4>
      </vt:variant>
      <vt:variant>
        <vt:i4>0</vt:i4>
      </vt:variant>
      <vt:variant>
        <vt:i4>5</vt:i4>
      </vt:variant>
      <vt:variant>
        <vt:lpwstr/>
      </vt:variant>
      <vt:variant>
        <vt:lpwstr>_Toc532203880</vt:lpwstr>
      </vt:variant>
      <vt:variant>
        <vt:i4>1179711</vt:i4>
      </vt:variant>
      <vt:variant>
        <vt:i4>296</vt:i4>
      </vt:variant>
      <vt:variant>
        <vt:i4>0</vt:i4>
      </vt:variant>
      <vt:variant>
        <vt:i4>5</vt:i4>
      </vt:variant>
      <vt:variant>
        <vt:lpwstr/>
      </vt:variant>
      <vt:variant>
        <vt:lpwstr>_Toc532203879</vt:lpwstr>
      </vt:variant>
      <vt:variant>
        <vt:i4>1179711</vt:i4>
      </vt:variant>
      <vt:variant>
        <vt:i4>290</vt:i4>
      </vt:variant>
      <vt:variant>
        <vt:i4>0</vt:i4>
      </vt:variant>
      <vt:variant>
        <vt:i4>5</vt:i4>
      </vt:variant>
      <vt:variant>
        <vt:lpwstr/>
      </vt:variant>
      <vt:variant>
        <vt:lpwstr>_Toc532203878</vt:lpwstr>
      </vt:variant>
      <vt:variant>
        <vt:i4>1179711</vt:i4>
      </vt:variant>
      <vt:variant>
        <vt:i4>284</vt:i4>
      </vt:variant>
      <vt:variant>
        <vt:i4>0</vt:i4>
      </vt:variant>
      <vt:variant>
        <vt:i4>5</vt:i4>
      </vt:variant>
      <vt:variant>
        <vt:lpwstr/>
      </vt:variant>
      <vt:variant>
        <vt:lpwstr>_Toc532203877</vt:lpwstr>
      </vt:variant>
      <vt:variant>
        <vt:i4>1179711</vt:i4>
      </vt:variant>
      <vt:variant>
        <vt:i4>278</vt:i4>
      </vt:variant>
      <vt:variant>
        <vt:i4>0</vt:i4>
      </vt:variant>
      <vt:variant>
        <vt:i4>5</vt:i4>
      </vt:variant>
      <vt:variant>
        <vt:lpwstr/>
      </vt:variant>
      <vt:variant>
        <vt:lpwstr>_Toc532203876</vt:lpwstr>
      </vt:variant>
      <vt:variant>
        <vt:i4>1179711</vt:i4>
      </vt:variant>
      <vt:variant>
        <vt:i4>272</vt:i4>
      </vt:variant>
      <vt:variant>
        <vt:i4>0</vt:i4>
      </vt:variant>
      <vt:variant>
        <vt:i4>5</vt:i4>
      </vt:variant>
      <vt:variant>
        <vt:lpwstr/>
      </vt:variant>
      <vt:variant>
        <vt:lpwstr>_Toc532203875</vt:lpwstr>
      </vt:variant>
      <vt:variant>
        <vt:i4>1179711</vt:i4>
      </vt:variant>
      <vt:variant>
        <vt:i4>266</vt:i4>
      </vt:variant>
      <vt:variant>
        <vt:i4>0</vt:i4>
      </vt:variant>
      <vt:variant>
        <vt:i4>5</vt:i4>
      </vt:variant>
      <vt:variant>
        <vt:lpwstr/>
      </vt:variant>
      <vt:variant>
        <vt:lpwstr>_Toc532203874</vt:lpwstr>
      </vt:variant>
      <vt:variant>
        <vt:i4>5046374</vt:i4>
      </vt:variant>
      <vt:variant>
        <vt:i4>3</vt:i4>
      </vt:variant>
      <vt:variant>
        <vt:i4>0</vt:i4>
      </vt:variant>
      <vt:variant>
        <vt:i4>5</vt:i4>
      </vt:variant>
      <vt:variant>
        <vt:lpwstr>mailto:marikova@amec.cz</vt:lpwstr>
      </vt:variant>
      <vt:variant>
        <vt:lpwstr/>
      </vt:variant>
      <vt:variant>
        <vt:i4>2621461</vt:i4>
      </vt:variant>
      <vt:variant>
        <vt:i4>0</vt:i4>
      </vt:variant>
      <vt:variant>
        <vt:i4>0</vt:i4>
      </vt:variant>
      <vt:variant>
        <vt:i4>5</vt:i4>
      </vt:variant>
      <vt:variant>
        <vt:lpwstr>mailto:trojackova@amec.cz</vt:lpwstr>
      </vt:variant>
      <vt:variant>
        <vt:lpwstr/>
      </vt:variant>
      <vt:variant>
        <vt:i4>786446</vt:i4>
      </vt:variant>
      <vt:variant>
        <vt:i4>15</vt:i4>
      </vt:variant>
      <vt:variant>
        <vt:i4>0</vt:i4>
      </vt:variant>
      <vt:variant>
        <vt:i4>5</vt:i4>
      </vt:variant>
      <vt:variant>
        <vt:lpwstr>http://www.ncbi.nlm.nih.gov/pmc/articles/PMC2836340/</vt:lpwstr>
      </vt:variant>
      <vt:variant>
        <vt:lpwstr/>
      </vt:variant>
      <vt:variant>
        <vt:i4>589837</vt:i4>
      </vt:variant>
      <vt:variant>
        <vt:i4>12</vt:i4>
      </vt:variant>
      <vt:variant>
        <vt:i4>0</vt:i4>
      </vt:variant>
      <vt:variant>
        <vt:i4>5</vt:i4>
      </vt:variant>
      <vt:variant>
        <vt:lpwstr>http://www.who.int/hia/network/en/HIA_as_part_of_SEA.pdf</vt:lpwstr>
      </vt:variant>
      <vt:variant>
        <vt:lpwstr/>
      </vt:variant>
      <vt:variant>
        <vt:i4>7143551</vt:i4>
      </vt:variant>
      <vt:variant>
        <vt:i4>9</vt:i4>
      </vt:variant>
      <vt:variant>
        <vt:i4>0</vt:i4>
      </vt:variant>
      <vt:variant>
        <vt:i4>5</vt:i4>
      </vt:variant>
      <vt:variant>
        <vt:lpwstr>http://www.who.int/hia/en/</vt:lpwstr>
      </vt:variant>
      <vt:variant>
        <vt:lpwstr/>
      </vt:variant>
      <vt:variant>
        <vt:i4>1441903</vt:i4>
      </vt:variant>
      <vt:variant>
        <vt:i4>6</vt:i4>
      </vt:variant>
      <vt:variant>
        <vt:i4>0</vt:i4>
      </vt:variant>
      <vt:variant>
        <vt:i4>5</vt:i4>
      </vt:variant>
      <vt:variant>
        <vt:lpwstr>http://www.euro.who.int/__data/assets/pdf_file/0005/98438/e81384.pdf</vt:lpwstr>
      </vt:variant>
      <vt:variant>
        <vt:lpwstr/>
      </vt:variant>
      <vt:variant>
        <vt:i4>2883681</vt:i4>
      </vt:variant>
      <vt:variant>
        <vt:i4>3</vt:i4>
      </vt:variant>
      <vt:variant>
        <vt:i4>0</vt:i4>
      </vt:variant>
      <vt:variant>
        <vt:i4>5</vt:i4>
      </vt:variant>
      <vt:variant>
        <vt:lpwstr>http://www.who.int/hia/evidence/doh/en/</vt:lpwstr>
      </vt:variant>
      <vt:variant>
        <vt:lpwstr/>
      </vt:variant>
      <vt:variant>
        <vt:i4>6160479</vt:i4>
      </vt:variant>
      <vt:variant>
        <vt:i4>0</vt:i4>
      </vt:variant>
      <vt:variant>
        <vt:i4>0</vt:i4>
      </vt:variant>
      <vt:variant>
        <vt:i4>5</vt:i4>
      </vt:variant>
      <vt:variant>
        <vt:lpwstr>http://www.who.int/ceh/publications/cehframework/en/</vt:lpwstr>
      </vt:variant>
      <vt:variant>
        <vt:lpwstr/>
      </vt:variant>
      <vt:variant>
        <vt:i4>4128849</vt:i4>
      </vt:variant>
      <vt:variant>
        <vt:i4>-1</vt:i4>
      </vt:variant>
      <vt:variant>
        <vt:i4>2076</vt:i4>
      </vt:variant>
      <vt:variant>
        <vt:i4>1</vt:i4>
      </vt:variant>
      <vt:variant>
        <vt:lpwstr>cid:image001.png@01D35A03.38FB6E80</vt:lpwstr>
      </vt:variant>
      <vt:variant>
        <vt:lpwstr/>
      </vt:variant>
      <vt:variant>
        <vt:i4>4128849</vt:i4>
      </vt:variant>
      <vt:variant>
        <vt:i4>-1</vt:i4>
      </vt:variant>
      <vt:variant>
        <vt:i4>2071</vt:i4>
      </vt:variant>
      <vt:variant>
        <vt:i4>1</vt:i4>
      </vt:variant>
      <vt:variant>
        <vt:lpwstr>cid:image001.png@01D35A03.38FB6E80</vt:lpwstr>
      </vt:variant>
      <vt:variant>
        <vt:lpwstr/>
      </vt:variant>
      <vt:variant>
        <vt:i4>4128849</vt:i4>
      </vt:variant>
      <vt:variant>
        <vt:i4>-1</vt:i4>
      </vt:variant>
      <vt:variant>
        <vt:i4>2057</vt:i4>
      </vt:variant>
      <vt:variant>
        <vt:i4>1</vt:i4>
      </vt:variant>
      <vt:variant>
        <vt:lpwstr>cid:image001.png@01D35A03.38FB6E80</vt:lpwstr>
      </vt:variant>
      <vt:variant>
        <vt:lpwstr/>
      </vt:variant>
      <vt:variant>
        <vt:i4>4128849</vt:i4>
      </vt:variant>
      <vt:variant>
        <vt:i4>-1</vt:i4>
      </vt:variant>
      <vt:variant>
        <vt:i4>2055</vt:i4>
      </vt:variant>
      <vt:variant>
        <vt:i4>1</vt:i4>
      </vt:variant>
      <vt:variant>
        <vt:lpwstr>cid:image001.png@01D35A03.38FB6E80</vt:lpwstr>
      </vt:variant>
      <vt:variant>
        <vt:lpwstr/>
      </vt:variant>
      <vt:variant>
        <vt:i4>4128849</vt:i4>
      </vt:variant>
      <vt:variant>
        <vt:i4>-1</vt:i4>
      </vt:variant>
      <vt:variant>
        <vt:i4>2054</vt:i4>
      </vt:variant>
      <vt:variant>
        <vt:i4>1</vt:i4>
      </vt:variant>
      <vt:variant>
        <vt:lpwstr>cid:image001.png@01D35A03.38FB6E80</vt:lpwstr>
      </vt:variant>
      <vt:variant>
        <vt:lpwstr/>
      </vt:variant>
      <vt:variant>
        <vt:i4>4128849</vt:i4>
      </vt:variant>
      <vt:variant>
        <vt:i4>-1</vt:i4>
      </vt:variant>
      <vt:variant>
        <vt:i4>2056</vt:i4>
      </vt:variant>
      <vt:variant>
        <vt:i4>1</vt:i4>
      </vt:variant>
      <vt:variant>
        <vt:lpwstr>cid:image001.png@01D35A03.38FB6E80</vt:lpwstr>
      </vt:variant>
      <vt:variant>
        <vt:lpwstr/>
      </vt:variant>
      <vt:variant>
        <vt:i4>4128849</vt:i4>
      </vt:variant>
      <vt:variant>
        <vt:i4>-1</vt:i4>
      </vt:variant>
      <vt:variant>
        <vt:i4>2062</vt:i4>
      </vt:variant>
      <vt:variant>
        <vt:i4>1</vt:i4>
      </vt:variant>
      <vt:variant>
        <vt:lpwstr>cid:image001.png@01D35A03.38FB6E80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Amec Foster Wheeler</dc:title>
  <dc:subject/>
  <dc:creator>Tomáš Bartoš</dc:creator>
  <cp:keywords/>
  <dc:description/>
  <cp:lastModifiedBy>Jana Švábová Nezvalová</cp:lastModifiedBy>
  <cp:revision>2</cp:revision>
  <cp:lastPrinted>2023-08-02T12:02:00Z</cp:lastPrinted>
  <dcterms:created xsi:type="dcterms:W3CDTF">2023-08-07T13:04:00Z</dcterms:created>
  <dcterms:modified xsi:type="dcterms:W3CDTF">2023-08-07T13:04:00Z</dcterms:modified>
</cp:coreProperties>
</file>